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E32105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55501A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B874A223EB5463EAFBE0CCC190A4F9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92D834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0EB559D7DD14D439C1B7C1BBB68D62A"/>
            </w:placeholder>
            <w:text/>
          </w:sdtPr>
          <w:sdtEndPr/>
          <w:sdtContent>
            <w:tc>
              <w:tcPr>
                <w:tcW w:w="2073" w:type="dxa"/>
              </w:tcPr>
              <w:p w14:paraId="22119D80" w14:textId="77777777" w:rsidR="00B574C9" w:rsidRDefault="004611C7" w:rsidP="004611C7">
                <w:r>
                  <w:t>Bruce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50681A14C2344E380AF54496CF94FB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8D3EA2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F46A08FE03244DBB2CE9A9748A64E18"/>
            </w:placeholder>
            <w:text/>
          </w:sdtPr>
          <w:sdtEndPr/>
          <w:sdtContent>
            <w:tc>
              <w:tcPr>
                <w:tcW w:w="2642" w:type="dxa"/>
              </w:tcPr>
              <w:p w14:paraId="14CAABEB" w14:textId="77777777" w:rsidR="00B574C9" w:rsidRDefault="004611C7" w:rsidP="004611C7">
                <w:r>
                  <w:t>Elder</w:t>
                </w:r>
              </w:p>
            </w:tc>
          </w:sdtContent>
        </w:sdt>
      </w:tr>
      <w:tr w:rsidR="00B574C9" w14:paraId="0DA3367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1AAB04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B29FEC5C204143218C7189B2A688D78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C3879B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4809BE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6DD8F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B2C76F402EE4163AD2CAC73602940F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6292BC3" w14:textId="77777777" w:rsidR="00B574C9" w:rsidRDefault="004611C7" w:rsidP="004611C7">
                <w:r>
                  <w:t>Ryerson University</w:t>
                </w:r>
              </w:p>
            </w:tc>
          </w:sdtContent>
        </w:sdt>
      </w:tr>
    </w:tbl>
    <w:p w14:paraId="14E8B785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2B78F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ED5264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1022D50" w14:textId="77777777" w:rsidTr="003F0D73">
        <w:sdt>
          <w:sdtPr>
            <w:alias w:val="Article headword"/>
            <w:tag w:val="articleHeadword"/>
            <w:id w:val="-361440020"/>
            <w:placeholder>
              <w:docPart w:val="D899F9E1596A482FB1D1EC697D1835E9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8CD8F60" w14:textId="77777777" w:rsidR="003F0D73" w:rsidRPr="00B65315" w:rsidRDefault="004611C7" w:rsidP="00B65315">
                <w:pPr>
                  <w:keepNext/>
                  <w:keepLines/>
                  <w:spacing w:line="259" w:lineRule="auto"/>
                  <w:outlineLvl w:val="3"/>
                  <w:rPr>
                    <w:b/>
                  </w:rPr>
                </w:pPr>
                <w:proofErr w:type="spellStart"/>
                <w:r w:rsidRPr="00B65315">
                  <w:t>Acéphale</w:t>
                </w:r>
                <w:proofErr w:type="spellEnd"/>
              </w:p>
            </w:tc>
          </w:sdtContent>
        </w:sdt>
      </w:tr>
      <w:tr w:rsidR="00464699" w14:paraId="1181E236" w14:textId="77777777" w:rsidTr="007821B0">
        <w:sdt>
          <w:sdtPr>
            <w:alias w:val="Variant headwords"/>
            <w:tag w:val="variantHeadwords"/>
            <w:id w:val="173464402"/>
            <w:placeholder>
              <w:docPart w:val="C588E09FC569485A922CE6CC1530A76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91554A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4E532B6" w14:textId="77777777" w:rsidTr="003F0D73">
        <w:sdt>
          <w:sdtPr>
            <w:rPr>
              <w:rFonts w:ascii="Calibri" w:eastAsiaTheme="minorHAnsi" w:hAnsi="Calibri" w:cstheme="minorBidi"/>
              <w:color w:val="auto"/>
              <w:kern w:val="0"/>
              <w:sz w:val="22"/>
              <w:szCs w:val="22"/>
              <w:lang w:val="en-GB" w:eastAsia="en-US" w:bidi="ar-SA"/>
            </w:rPr>
            <w:alias w:val="Abstract"/>
            <w:tag w:val="abstract"/>
            <w:id w:val="-635871867"/>
            <w:placeholder>
              <w:docPart w:val="539DFBDF23124EC3AF39637711FA6A1F"/>
            </w:placeholder>
          </w:sdtPr>
          <w:sdtEndPr>
            <w:rPr>
              <w:rFonts w:ascii="Times New Roman" w:eastAsia="Droid Sans Fallback" w:hAnsi="Times New Roman" w:cs="Lohit Hindi"/>
              <w:color w:val="00000A"/>
              <w:kern w:val="3"/>
              <w:lang w:val="en-CA" w:eastAsia="zh-CN" w:bidi="hi-IN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24ABF2" w14:textId="5E42692B" w:rsidR="00E85A05" w:rsidRPr="0086757E" w:rsidRDefault="004611C7" w:rsidP="00B65315">
                <w:pPr>
                  <w:pStyle w:val="Standard"/>
                  <w:contextualSpacing/>
                </w:pPr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The name </w:t>
                </w:r>
                <w:proofErr w:type="spellStart"/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Ac</w:t>
                </w:r>
                <w:r w:rsidRPr="00B65315">
                  <w:rPr>
                    <w:rFonts w:ascii="Calibri" w:hAnsi="Calibri" w:cs="Times New Roman"/>
                    <w:i/>
                    <w:sz w:val="22"/>
                    <w:szCs w:val="22"/>
                  </w:rPr>
                  <w:t>é</w:t>
                </w:r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phale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refers to two related projects: one is a journal, founded by Georges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(1887-1962), published between 1936 and 1939, whose articles often extolled Friedrich Nietzsche’s philosophy; the second refers to a secret society that formed around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. That the term derives from the Greek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ἀκέφ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>α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λος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(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akephalos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, ‘headless’) made it an appropriate name for the counter-religion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aimed at founding to revitalize the mythic experience of plenitude: the head,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maintained, stands for hierarchical organization and God, so the society and journal that gave the gnostic-inflected counter-religion expression should be headless.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Bataille’s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interest in an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atheological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counter-religion was grounded in the principle of expenditure he saw manifested in unproductive forms of consumption, which have no end beyond </w:t>
                </w:r>
                <w:proofErr w:type="gramStart"/>
                <w:r w:rsidRPr="00B65315">
                  <w:rPr>
                    <w:rFonts w:ascii="Calibri" w:hAnsi="Calibri"/>
                    <w:sz w:val="22"/>
                    <w:szCs w:val="22"/>
                  </w:rPr>
                  <w:t>themselves</w:t>
                </w:r>
                <w:proofErr w:type="gramEnd"/>
                <w:r w:rsidRPr="00B65315">
                  <w:rPr>
                    <w:rFonts w:ascii="Calibri" w:hAnsi="Calibri"/>
                    <w:sz w:val="22"/>
                    <w:szCs w:val="22"/>
                  </w:rPr>
                  <w:t>, and thereby constitute an irrecoverable loss. This anti-Platonic, anti-renascence social body would be</w:t>
                </w:r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 xml:space="preserve"> </w:t>
                </w:r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headless because it would recover, within the isolation </w:t>
                </w:r>
                <w:proofErr w:type="gramStart"/>
                <w:r w:rsidRPr="00B65315">
                  <w:rPr>
                    <w:rFonts w:ascii="Calibri" w:hAnsi="Calibri"/>
                    <w:sz w:val="22"/>
                    <w:szCs w:val="22"/>
                  </w:rPr>
                  <w:t>that confines modern humans</w:t>
                </w:r>
                <w:proofErr w:type="gram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, the vitalizing experience of the sacred—that is, of a privileged moment of communal unity and convulsive communication of ordinarily suppressed sensations. It would headless, too, because the Dionysian-orgiastic rituals of the secret society would be aimed against both reason and identity.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Bataille’s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conviction that ultimate expenditure is ‘the gift of the self’ led the participants in </w:t>
                </w:r>
                <w:proofErr w:type="spellStart"/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Ac</w:t>
                </w:r>
                <w:r w:rsidRPr="00B65315">
                  <w:rPr>
                    <w:rFonts w:ascii="Calibri" w:hAnsi="Calibri" w:cs="Times New Roman"/>
                    <w:i/>
                    <w:sz w:val="22"/>
                    <w:szCs w:val="22"/>
                  </w:rPr>
                  <w:t>é</w:t>
                </w:r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phale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to an interest in sacrifice</w:t>
                </w:r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.</w:t>
                </w:r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</w:p>
            </w:tc>
          </w:sdtContent>
        </w:sdt>
      </w:tr>
      <w:tr w:rsidR="003F0D73" w14:paraId="0406404A" w14:textId="77777777" w:rsidTr="003F0D73">
        <w:sdt>
          <w:sdtPr>
            <w:rPr>
              <w:rFonts w:ascii="Calibri" w:hAnsi="Calibri"/>
              <w:sz w:val="22"/>
              <w:szCs w:val="22"/>
            </w:rPr>
            <w:alias w:val="Article text"/>
            <w:tag w:val="articleText"/>
            <w:id w:val="634067588"/>
            <w:placeholder>
              <w:docPart w:val="A538411B55854A1C9F677EFB7CC154B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7D75B1D" w14:textId="77777777" w:rsidR="004611C7" w:rsidRPr="00B65315" w:rsidRDefault="004611C7" w:rsidP="00B65315">
                <w:pPr>
                  <w:pStyle w:val="Standard"/>
                  <w:contextualSpacing/>
                  <w:rPr>
                    <w:rFonts w:ascii="Calibri" w:hAnsi="Calibri"/>
                    <w:sz w:val="22"/>
                    <w:szCs w:val="22"/>
                  </w:rPr>
                </w:pPr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The name </w:t>
                </w:r>
                <w:proofErr w:type="spellStart"/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Ac</w:t>
                </w:r>
                <w:r w:rsidRPr="00B65315">
                  <w:rPr>
                    <w:rFonts w:ascii="Calibri" w:hAnsi="Calibri" w:cs="Times New Roman"/>
                    <w:i/>
                    <w:sz w:val="22"/>
                    <w:szCs w:val="22"/>
                  </w:rPr>
                  <w:t>é</w:t>
                </w:r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phale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refers to two related projects: one is a journal, founded by Georges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(1887-1962), published between 1936 and 1939, whose articles often extolled Friedrich Nietzsche’s philosophy; the second refers to a secret society that formed around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. That the term derives from the Greek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ἀκέφ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>α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λος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(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akephalos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, ‘headless’) made it an appropriate name for the counter-religion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aimed at founding to revitalize the mythic experience of plenitude: the head,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maintained, stands for hierarchical organization and God, so the society and journal that gave the gnostic-inflected counter-religion expression should be headless.</w:t>
                </w:r>
              </w:p>
              <w:p w14:paraId="2BCF5010" w14:textId="77777777" w:rsidR="0092035A" w:rsidRDefault="0092035A" w:rsidP="00B65315">
                <w:pPr>
                  <w:pStyle w:val="Standard"/>
                  <w:keepNext/>
                  <w:contextualSpacing/>
                  <w:rPr>
                    <w:rFonts w:ascii="Calibri" w:hAnsi="Calibri"/>
                    <w:sz w:val="22"/>
                    <w:szCs w:val="22"/>
                  </w:rPr>
                </w:pPr>
              </w:p>
              <w:p w14:paraId="4B3F3833" w14:textId="77777777" w:rsidR="004611C7" w:rsidRPr="00B65315" w:rsidRDefault="004611C7" w:rsidP="00B65315">
                <w:pPr>
                  <w:pStyle w:val="Standard"/>
                  <w:keepNext/>
                  <w:contextualSpacing/>
                  <w:rPr>
                    <w:rFonts w:ascii="Calibri" w:hAnsi="Calibri"/>
                    <w:sz w:val="22"/>
                    <w:szCs w:val="22"/>
                  </w:rPr>
                </w:pPr>
                <w:r w:rsidRPr="00B65315">
                  <w:rPr>
                    <w:rFonts w:ascii="Calibri" w:hAnsi="Calibri"/>
                    <w:sz w:val="22"/>
                    <w:szCs w:val="22"/>
                  </w:rPr>
                  <w:t>File: Acephale.jpeg</w:t>
                </w:r>
              </w:p>
              <w:p w14:paraId="535BD3D1" w14:textId="77777777" w:rsidR="004611C7" w:rsidRPr="00B65315" w:rsidRDefault="004611C7" w:rsidP="00B65315">
                <w:pPr>
                  <w:pStyle w:val="Caption"/>
                  <w:keepNext/>
                  <w:keepLines/>
                  <w:spacing w:after="0"/>
                  <w:outlineLvl w:val="3"/>
                  <w:rPr>
                    <w:rFonts w:ascii="Calibri" w:hAnsi="Calibri"/>
                    <w:sz w:val="22"/>
                    <w:szCs w:val="22"/>
                  </w:rPr>
                </w:pP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Acephale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r w:rsidR="0092035A" w:rsidRPr="00B65315">
                  <w:rPr>
                    <w:rFonts w:ascii="Calibri" w:hAnsi="Calibri"/>
                    <w:sz w:val="22"/>
                    <w:szCs w:val="22"/>
                  </w:rPr>
                  <w:fldChar w:fldCharType="begin"/>
                </w:r>
                <w:r w:rsidR="0092035A" w:rsidRPr="00B65315">
                  <w:rPr>
                    <w:rFonts w:ascii="Calibri" w:hAnsi="Calibri"/>
                    <w:sz w:val="22"/>
                    <w:szCs w:val="22"/>
                  </w:rPr>
                  <w:instrText xml:space="preserve"> SEQ Acephale \* ARABIC </w:instrText>
                </w:r>
                <w:r w:rsidR="0092035A" w:rsidRPr="00B65315">
                  <w:rPr>
                    <w:rFonts w:ascii="Calibri" w:hAnsi="Calibri"/>
                    <w:sz w:val="22"/>
                    <w:szCs w:val="22"/>
                  </w:rPr>
                  <w:fldChar w:fldCharType="separate"/>
                </w:r>
                <w:r w:rsidRPr="00B65315">
                  <w:rPr>
                    <w:rFonts w:ascii="Calibri" w:hAnsi="Calibri"/>
                    <w:noProof/>
                    <w:sz w:val="22"/>
                    <w:szCs w:val="22"/>
                  </w:rPr>
                  <w:t>1</w:t>
                </w:r>
                <w:r w:rsidR="0092035A" w:rsidRPr="00B65315">
                  <w:rPr>
                    <w:rFonts w:ascii="Calibri" w:hAnsi="Calibri"/>
                    <w:noProof/>
                    <w:sz w:val="22"/>
                    <w:szCs w:val="22"/>
                  </w:rPr>
                  <w:fldChar w:fldCharType="end"/>
                </w:r>
              </w:p>
              <w:p w14:paraId="04D9EA39" w14:textId="77777777" w:rsidR="004611C7" w:rsidRPr="00B65315" w:rsidRDefault="004611C7" w:rsidP="00B65315">
                <w:pPr>
                  <w:pStyle w:val="Standard"/>
                  <w:contextualSpacing/>
                  <w:rPr>
                    <w:rFonts w:ascii="Calibri" w:hAnsi="Calibri"/>
                    <w:sz w:val="22"/>
                    <w:szCs w:val="22"/>
                  </w:rPr>
                </w:pPr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Source: Masson, A. (1936) Cover of </w:t>
                </w:r>
                <w:proofErr w:type="spellStart"/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Acéphale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3-4 (July 1937). (http://bit.ly/N6PoZE)</w:t>
                </w:r>
              </w:p>
              <w:p w14:paraId="36FB3266" w14:textId="77777777" w:rsidR="004611C7" w:rsidRPr="00B65315" w:rsidRDefault="004611C7" w:rsidP="00B65315">
                <w:pPr>
                  <w:spacing w:line="259" w:lineRule="auto"/>
                  <w:rPr>
                    <w:rFonts w:ascii="Calibri" w:hAnsi="Calibri"/>
                  </w:rPr>
                </w:pPr>
              </w:p>
              <w:p w14:paraId="4C8ACDCE" w14:textId="3E28E0AE" w:rsidR="003F0D73" w:rsidRPr="00B65315" w:rsidRDefault="004611C7" w:rsidP="00B65315">
                <w:pPr>
                  <w:pStyle w:val="Standard"/>
                  <w:contextualSpacing/>
                  <w:rPr>
                    <w:rFonts w:ascii="Calibri" w:hAnsi="Calibri"/>
                    <w:i/>
                    <w:sz w:val="22"/>
                    <w:szCs w:val="22"/>
                  </w:rPr>
                </w:pPr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Bataille’s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interest in an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atheological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counter-religion was grounded in the principle of expenditure he saw manifested in unproductive forms of consumption, which have no end beyond </w:t>
                </w:r>
                <w:proofErr w:type="gramStart"/>
                <w:r w:rsidRPr="00B65315">
                  <w:rPr>
                    <w:rFonts w:ascii="Calibri" w:hAnsi="Calibri"/>
                    <w:sz w:val="22"/>
                    <w:szCs w:val="22"/>
                  </w:rPr>
                  <w:t>themselves</w:t>
                </w:r>
                <w:proofErr w:type="gramEnd"/>
                <w:r w:rsidRPr="00B65315">
                  <w:rPr>
                    <w:rFonts w:ascii="Calibri" w:hAnsi="Calibri"/>
                    <w:sz w:val="22"/>
                    <w:szCs w:val="22"/>
                  </w:rPr>
                  <w:t>, and thereby constitute an irrecoverable loss. This anti-Platonic, anti-renascence social body would be</w:t>
                </w:r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 xml:space="preserve"> </w:t>
                </w:r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headless because it would recover, within the isolation </w:t>
                </w:r>
                <w:proofErr w:type="gramStart"/>
                <w:r w:rsidRPr="00B65315">
                  <w:rPr>
                    <w:rFonts w:ascii="Calibri" w:hAnsi="Calibri"/>
                    <w:sz w:val="22"/>
                    <w:szCs w:val="22"/>
                  </w:rPr>
                  <w:t>that confines modern humans</w:t>
                </w:r>
                <w:proofErr w:type="gram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, the vitalizing experience of the sacred—that is, of a privileged moment of communal unity and convulsive communication of ordinarily suppressed sensations. It would headless, too, because </w:t>
                </w:r>
                <w:r w:rsidRPr="00B65315">
                  <w:rPr>
                    <w:rFonts w:ascii="Calibri" w:hAnsi="Calibri"/>
                    <w:sz w:val="22"/>
                    <w:szCs w:val="22"/>
                  </w:rPr>
                  <w:lastRenderedPageBreak/>
                  <w:t xml:space="preserve">the Dionysian-orgiastic rituals of the secret society would be aimed against both reason and identity. </w:t>
                </w:r>
                <w:proofErr w:type="spellStart"/>
                <w:r w:rsidRPr="00B65315">
                  <w:rPr>
                    <w:rFonts w:ascii="Calibri" w:hAnsi="Calibri"/>
                    <w:sz w:val="22"/>
                    <w:szCs w:val="22"/>
                  </w:rPr>
                  <w:t>Bataille’s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conviction that ultimate expenditure is ‘the gift of the self’ led the participants in </w:t>
                </w:r>
                <w:proofErr w:type="spellStart"/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Ac</w:t>
                </w:r>
                <w:r w:rsidRPr="00B65315">
                  <w:rPr>
                    <w:rFonts w:ascii="Calibri" w:hAnsi="Calibri" w:cs="Times New Roman"/>
                    <w:i/>
                    <w:sz w:val="22"/>
                    <w:szCs w:val="22"/>
                  </w:rPr>
                  <w:t>é</w:t>
                </w:r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phale</w:t>
                </w:r>
                <w:proofErr w:type="spellEnd"/>
                <w:r w:rsidRPr="00B65315">
                  <w:rPr>
                    <w:rFonts w:ascii="Calibri" w:hAnsi="Calibri"/>
                    <w:sz w:val="22"/>
                    <w:szCs w:val="22"/>
                  </w:rPr>
                  <w:t xml:space="preserve"> to an interest in sacrifice</w:t>
                </w:r>
                <w:r w:rsidRPr="00B65315">
                  <w:rPr>
                    <w:rFonts w:ascii="Calibri" w:hAnsi="Calibri"/>
                    <w:i/>
                    <w:sz w:val="22"/>
                    <w:szCs w:val="22"/>
                  </w:rPr>
                  <w:t>.</w:t>
                </w:r>
              </w:p>
            </w:tc>
          </w:sdtContent>
        </w:sdt>
      </w:tr>
      <w:tr w:rsidR="003235A7" w14:paraId="380384E5" w14:textId="77777777" w:rsidTr="003235A7">
        <w:tc>
          <w:tcPr>
            <w:tcW w:w="9016" w:type="dxa"/>
          </w:tcPr>
          <w:p w14:paraId="7EDD124C" w14:textId="77777777" w:rsidR="003235A7" w:rsidRDefault="003235A7" w:rsidP="00B65315">
            <w:pPr>
              <w:keepNext/>
              <w:keepLines/>
              <w:outlineLvl w:val="3"/>
              <w:rPr>
                <w:rFonts w:ascii="Calibri" w:hAnsi="Calibri"/>
              </w:rPr>
            </w:pPr>
            <w:r w:rsidRPr="00B65315">
              <w:rPr>
                <w:rFonts w:ascii="Calibri" w:hAnsi="Calibri"/>
                <w:u w:val="single"/>
              </w:rPr>
              <w:lastRenderedPageBreak/>
              <w:t>Further reading</w:t>
            </w:r>
            <w:r w:rsidRPr="00B65315">
              <w:rPr>
                <w:rFonts w:ascii="Calibri" w:hAnsi="Calibri"/>
              </w:rPr>
              <w:t>:</w:t>
            </w:r>
          </w:p>
          <w:p w14:paraId="65E46140" w14:textId="7886223B" w:rsidR="00B65315" w:rsidRDefault="00B65315" w:rsidP="00B65315">
            <w:pPr>
              <w:pStyle w:val="Standard"/>
              <w:contextualSpacing/>
              <w:rPr>
                <w:rFonts w:ascii="Calibri" w:hAnsi="Calibri"/>
                <w:i/>
                <w:sz w:val="22"/>
                <w:szCs w:val="22"/>
              </w:rPr>
            </w:pPr>
            <w:sdt>
              <w:sdtPr>
                <w:rPr>
                  <w:rFonts w:ascii="Calibri" w:hAnsi="Calibri"/>
                  <w:i/>
                  <w:sz w:val="22"/>
                  <w:szCs w:val="22"/>
                </w:rPr>
                <w:id w:val="-1321424018"/>
                <w:citation/>
              </w:sdtPr>
              <w:sdtContent>
                <w:r>
                  <w:rPr>
                    <w:rFonts w:ascii="Calibri" w:hAnsi="Calibri"/>
                    <w:i/>
                    <w:sz w:val="22"/>
                    <w:szCs w:val="22"/>
                  </w:rPr>
                  <w:fldChar w:fldCharType="begin"/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instrText xml:space="preserve"> CITATION Bat99 \l 1033 </w:instrText>
                </w:r>
                <w:r>
                  <w:rPr>
                    <w:rFonts w:ascii="Calibri" w:hAnsi="Calibri"/>
                    <w:i/>
                    <w:sz w:val="22"/>
                    <w:szCs w:val="22"/>
                  </w:rPr>
                  <w:fldChar w:fldCharType="separate"/>
                </w:r>
                <w:r w:rsidRPr="00B65315">
                  <w:rPr>
                    <w:rFonts w:ascii="Calibri" w:hAnsi="Calibri"/>
                    <w:noProof/>
                    <w:sz w:val="22"/>
                    <w:szCs w:val="22"/>
                    <w:lang w:val="en-US"/>
                  </w:rPr>
                  <w:t>(Bataille)</w:t>
                </w:r>
                <w:r>
                  <w:rPr>
                    <w:rFonts w:ascii="Calibri" w:hAnsi="Calibri"/>
                    <w:i/>
                    <w:sz w:val="22"/>
                    <w:szCs w:val="22"/>
                  </w:rPr>
                  <w:fldChar w:fldCharType="end"/>
                </w:r>
              </w:sdtContent>
            </w:sdt>
          </w:p>
          <w:p w14:paraId="2D43C182" w14:textId="77777777" w:rsidR="00B65315" w:rsidRDefault="00B65315" w:rsidP="00B65315">
            <w:pPr>
              <w:pStyle w:val="Standard"/>
              <w:contextualSpacing/>
              <w:rPr>
                <w:rFonts w:ascii="Calibri" w:hAnsi="Calibri"/>
                <w:i/>
                <w:sz w:val="22"/>
                <w:szCs w:val="22"/>
              </w:rPr>
            </w:pPr>
          </w:p>
          <w:p w14:paraId="7611144B" w14:textId="6CD885CB" w:rsidR="00B65315" w:rsidRDefault="00B65315" w:rsidP="00B65315">
            <w:pPr>
              <w:pStyle w:val="Standard"/>
              <w:contextualSpacing/>
              <w:rPr>
                <w:rFonts w:ascii="Calibri" w:hAnsi="Calibri"/>
                <w:sz w:val="22"/>
                <w:szCs w:val="22"/>
              </w:rPr>
            </w:pPr>
            <w:sdt>
              <w:sdtPr>
                <w:rPr>
                  <w:rFonts w:ascii="Calibri" w:hAnsi="Calibri"/>
                  <w:sz w:val="22"/>
                  <w:szCs w:val="22"/>
                </w:rPr>
                <w:id w:val="-1939437575"/>
                <w:citation/>
              </w:sdtPr>
              <w:sdtContent>
                <w:r>
                  <w:rPr>
                    <w:rFonts w:ascii="Calibri" w:hAnsi="Calibri"/>
                    <w:sz w:val="22"/>
                    <w:szCs w:val="22"/>
                  </w:rPr>
                  <w:fldChar w:fldCharType="begin"/>
                </w:r>
                <w:r>
                  <w:rPr>
                    <w:rFonts w:ascii="Calibri" w:hAnsi="Calibri"/>
                    <w:sz w:val="22"/>
                    <w:szCs w:val="22"/>
                    <w:lang w:val="en-US"/>
                  </w:rPr>
                  <w:instrText xml:space="preserve"> CITATION Bat76 \l 1033 </w:instrText>
                </w:r>
                <w:r>
                  <w:rPr>
                    <w:rFonts w:ascii="Calibri" w:hAnsi="Calibri"/>
                    <w:sz w:val="22"/>
                    <w:szCs w:val="22"/>
                  </w:rPr>
                  <w:fldChar w:fldCharType="separate"/>
                </w:r>
                <w:r w:rsidRPr="00B65315">
                  <w:rPr>
                    <w:rFonts w:ascii="Calibri" w:hAnsi="Calibri"/>
                    <w:noProof/>
                    <w:sz w:val="22"/>
                    <w:szCs w:val="22"/>
                    <w:lang w:val="en-US"/>
                  </w:rPr>
                  <w:t>(G. Bataille)</w:t>
                </w:r>
                <w:r>
                  <w:rPr>
                    <w:rFonts w:ascii="Calibri" w:hAnsi="Calibri"/>
                    <w:sz w:val="22"/>
                    <w:szCs w:val="22"/>
                  </w:rPr>
                  <w:fldChar w:fldCharType="end"/>
                </w:r>
              </w:sdtContent>
            </w:sdt>
          </w:p>
          <w:p w14:paraId="6F51AA72" w14:textId="77777777" w:rsidR="00B65315" w:rsidRPr="00B65315" w:rsidRDefault="00B65315" w:rsidP="00B65315">
            <w:pPr>
              <w:pStyle w:val="Standard"/>
              <w:contextualSpacing/>
              <w:rPr>
                <w:rFonts w:ascii="Calibri" w:hAnsi="Calibri"/>
                <w:sz w:val="22"/>
                <w:szCs w:val="22"/>
              </w:rPr>
            </w:pPr>
          </w:p>
          <w:sdt>
            <w:sdtPr>
              <w:rPr>
                <w:rFonts w:ascii="Calibri" w:eastAsiaTheme="minorHAnsi" w:hAnsi="Calibri" w:cstheme="minorBidi"/>
                <w:color w:val="auto"/>
                <w:kern w:val="0"/>
                <w:sz w:val="22"/>
                <w:szCs w:val="22"/>
                <w:lang w:val="en-GB" w:eastAsia="en-US" w:bidi="ar-SA"/>
              </w:rPr>
              <w:alias w:val="Further reading"/>
              <w:tag w:val="furtherReading"/>
              <w:id w:val="-1516217107"/>
              <w:placeholder>
                <w:docPart w:val="3B82037A867141EBA0DBFEB0287E6B8B"/>
              </w:placeholder>
            </w:sdtPr>
            <w:sdtEndPr>
              <w:rPr>
                <w:rFonts w:eastAsia="Droid Sans Fallback" w:cs="Lohit Hindi"/>
                <w:color w:val="00000A"/>
                <w:kern w:val="3"/>
                <w:lang w:val="en-CA" w:eastAsia="zh-CN" w:bidi="hi-IN"/>
              </w:rPr>
            </w:sdtEndPr>
            <w:sdtContent>
              <w:p w14:paraId="0213EF64" w14:textId="77777777" w:rsidR="004611C7" w:rsidRDefault="00B65315" w:rsidP="00B65315">
                <w:pPr>
                  <w:pStyle w:val="Standard"/>
                  <w:contextualSpacing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789944137"/>
                    <w:citation/>
                  </w:sdtPr>
                  <w:sdtEndPr/>
                  <w:sdtContent>
                    <w:r w:rsidR="00534A74" w:rsidRPr="00B65315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534A74" w:rsidRPr="00B65315">
                      <w:rPr>
                        <w:rFonts w:ascii="Calibri" w:hAnsi="Calibri"/>
                        <w:sz w:val="22"/>
                        <w:szCs w:val="22"/>
                      </w:rPr>
                      <w:instrText xml:space="preserve">CITATION Surya02 \l 4105 </w:instrText>
                    </w:r>
                    <w:r w:rsidR="00534A74" w:rsidRPr="00B65315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rFonts w:ascii="Calibri" w:hAnsi="Calibri"/>
                        <w:noProof/>
                        <w:sz w:val="22"/>
                        <w:szCs w:val="22"/>
                      </w:rPr>
                      <w:t xml:space="preserve"> </w:t>
                    </w:r>
                    <w:r w:rsidRPr="00B65315">
                      <w:rPr>
                        <w:rFonts w:ascii="Calibri" w:hAnsi="Calibri"/>
                        <w:noProof/>
                        <w:sz w:val="22"/>
                        <w:szCs w:val="22"/>
                      </w:rPr>
                      <w:t>(Surya)</w:t>
                    </w:r>
                    <w:r w:rsidR="00534A74" w:rsidRPr="00B65315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  <w:r w:rsidR="00534A74" w:rsidRPr="00B65315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</w:p>
              <w:p w14:paraId="2D4AD6E9" w14:textId="77777777" w:rsidR="00B65315" w:rsidRPr="00B65315" w:rsidRDefault="00B65315" w:rsidP="00B65315">
                <w:pPr>
                  <w:pStyle w:val="Standard"/>
                  <w:contextualSpacing/>
                  <w:rPr>
                    <w:rFonts w:ascii="Calibri" w:hAnsi="Calibri"/>
                    <w:sz w:val="22"/>
                    <w:szCs w:val="22"/>
                  </w:rPr>
                </w:pPr>
              </w:p>
              <w:p w14:paraId="51D37385" w14:textId="0355516E" w:rsidR="003235A7" w:rsidRPr="00B65315" w:rsidRDefault="00B65315" w:rsidP="00B65315">
                <w:pPr>
                  <w:pStyle w:val="Standard"/>
                  <w:contextualSpacing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-1970578474"/>
                    <w:citation/>
                  </w:sdtPr>
                  <w:sdtEndPr/>
                  <w:sdtContent>
                    <w:r w:rsidR="00534A74" w:rsidRPr="00B65315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534A74" w:rsidRPr="00B65315">
                      <w:rPr>
                        <w:rFonts w:ascii="Calibri" w:hAnsi="Calibri"/>
                        <w:sz w:val="22"/>
                        <w:szCs w:val="22"/>
                      </w:rPr>
                      <w:instrText xml:space="preserve">CITATION Weiss86 \l 4105 </w:instrText>
                    </w:r>
                    <w:r w:rsidR="00534A74" w:rsidRPr="00B65315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Pr="00B65315">
                      <w:rPr>
                        <w:rFonts w:ascii="Calibri" w:hAnsi="Calibri"/>
                        <w:noProof/>
                        <w:sz w:val="22"/>
                        <w:szCs w:val="22"/>
                      </w:rPr>
                      <w:t>(Weiss)</w:t>
                    </w:r>
                    <w:r w:rsidR="00534A74" w:rsidRPr="00B65315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7A0E0BE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BE7E56" w14:textId="77777777" w:rsidR="00E06FB6" w:rsidRDefault="00E06FB6" w:rsidP="007A0D55">
      <w:pPr>
        <w:spacing w:after="0" w:line="240" w:lineRule="auto"/>
      </w:pPr>
      <w:r>
        <w:separator/>
      </w:r>
    </w:p>
  </w:endnote>
  <w:endnote w:type="continuationSeparator" w:id="0">
    <w:p w14:paraId="29D462ED" w14:textId="77777777" w:rsidR="00E06FB6" w:rsidRDefault="00E06FB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4912EB" w14:textId="77777777" w:rsidR="00E06FB6" w:rsidRDefault="00E06FB6" w:rsidP="007A0D55">
      <w:pPr>
        <w:spacing w:after="0" w:line="240" w:lineRule="auto"/>
      </w:pPr>
      <w:r>
        <w:separator/>
      </w:r>
    </w:p>
  </w:footnote>
  <w:footnote w:type="continuationSeparator" w:id="0">
    <w:p w14:paraId="40183A8C" w14:textId="77777777" w:rsidR="00E06FB6" w:rsidRDefault="00E06FB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5BE107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DD4C206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05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E55BF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094D"/>
    <w:rsid w:val="004611C7"/>
    <w:rsid w:val="00462DBE"/>
    <w:rsid w:val="00464699"/>
    <w:rsid w:val="00483379"/>
    <w:rsid w:val="00487BC5"/>
    <w:rsid w:val="00496888"/>
    <w:rsid w:val="004A7476"/>
    <w:rsid w:val="004E5896"/>
    <w:rsid w:val="005062D7"/>
    <w:rsid w:val="00513EE6"/>
    <w:rsid w:val="00534A74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121F9"/>
    <w:rsid w:val="00821DE3"/>
    <w:rsid w:val="00846CE1"/>
    <w:rsid w:val="0086757E"/>
    <w:rsid w:val="008A5B87"/>
    <w:rsid w:val="0092035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65315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06FB6"/>
    <w:rsid w:val="00E52053"/>
    <w:rsid w:val="00E62BF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E549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289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5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5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611C7"/>
    <w:pPr>
      <w:widowControl w:val="0"/>
      <w:tabs>
        <w:tab w:val="left" w:pos="709"/>
      </w:tabs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color w:val="00000A"/>
      <w:kern w:val="3"/>
      <w:sz w:val="24"/>
      <w:szCs w:val="24"/>
      <w:lang w:val="en-CA" w:eastAsia="zh-CN" w:bidi="hi-IN"/>
    </w:rPr>
  </w:style>
  <w:style w:type="paragraph" w:styleId="Caption">
    <w:name w:val="caption"/>
    <w:basedOn w:val="Normal"/>
    <w:next w:val="Normal"/>
    <w:uiPriority w:val="35"/>
    <w:semiHidden/>
    <w:qFormat/>
    <w:rsid w:val="004611C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611C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9203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2035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35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203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35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5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053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4611C7"/>
    <w:pPr>
      <w:widowControl w:val="0"/>
      <w:tabs>
        <w:tab w:val="left" w:pos="709"/>
      </w:tabs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color w:val="00000A"/>
      <w:kern w:val="3"/>
      <w:sz w:val="24"/>
      <w:szCs w:val="24"/>
      <w:lang w:val="en-CA" w:eastAsia="zh-CN" w:bidi="hi-IN"/>
    </w:rPr>
  </w:style>
  <w:style w:type="paragraph" w:styleId="Caption">
    <w:name w:val="caption"/>
    <w:basedOn w:val="Normal"/>
    <w:next w:val="Normal"/>
    <w:uiPriority w:val="35"/>
    <w:semiHidden/>
    <w:qFormat/>
    <w:rsid w:val="004611C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4611C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92035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2035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035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2035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03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874A223EB5463EAFBE0CCC190A4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D3433-3EC7-406A-9791-6EF816ECA523}"/>
      </w:docPartPr>
      <w:docPartBody>
        <w:p w:rsidR="00C379DE" w:rsidRDefault="003F56F9">
          <w:pPr>
            <w:pStyle w:val="3B874A223EB5463EAFBE0CCC190A4F9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0EB559D7DD14D439C1B7C1BBB68D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20F82-DE79-4F95-9F5A-700DFFCE9F86}"/>
      </w:docPartPr>
      <w:docPartBody>
        <w:p w:rsidR="00C379DE" w:rsidRDefault="003F56F9">
          <w:pPr>
            <w:pStyle w:val="F0EB559D7DD14D439C1B7C1BBB68D62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50681A14C2344E380AF54496CF94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E8788-F32D-4A96-BD23-9A483729A9BA}"/>
      </w:docPartPr>
      <w:docPartBody>
        <w:p w:rsidR="00C379DE" w:rsidRDefault="003F56F9">
          <w:pPr>
            <w:pStyle w:val="750681A14C2344E380AF54496CF94FB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F46A08FE03244DBB2CE9A9748A64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E8321-EDF9-413E-A54D-B96553245324}"/>
      </w:docPartPr>
      <w:docPartBody>
        <w:p w:rsidR="00C379DE" w:rsidRDefault="003F56F9">
          <w:pPr>
            <w:pStyle w:val="5F46A08FE03244DBB2CE9A9748A64E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B29FEC5C204143218C7189B2A688D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B0F4C-8580-443D-85FE-825AAD0F94EE}"/>
      </w:docPartPr>
      <w:docPartBody>
        <w:p w:rsidR="00C379DE" w:rsidRDefault="003F56F9">
          <w:pPr>
            <w:pStyle w:val="B29FEC5C204143218C7189B2A688D78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B2C76F402EE4163AD2CAC7360294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220E5F-F41E-44D3-AEB0-014E082330CE}"/>
      </w:docPartPr>
      <w:docPartBody>
        <w:p w:rsidR="00C379DE" w:rsidRDefault="003F56F9">
          <w:pPr>
            <w:pStyle w:val="FB2C76F402EE4163AD2CAC73602940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899F9E1596A482FB1D1EC697D183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62F0D-E630-4072-A7FA-DA6037036903}"/>
      </w:docPartPr>
      <w:docPartBody>
        <w:p w:rsidR="00C379DE" w:rsidRDefault="003F56F9">
          <w:pPr>
            <w:pStyle w:val="D899F9E1596A482FB1D1EC697D1835E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588E09FC569485A922CE6CC1530A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1B9B8-5C40-4EB5-9FE1-A0239F22E553}"/>
      </w:docPartPr>
      <w:docPartBody>
        <w:p w:rsidR="00C379DE" w:rsidRDefault="003F56F9">
          <w:pPr>
            <w:pStyle w:val="C588E09FC569485A922CE6CC1530A76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39DFBDF23124EC3AF39637711FA6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0853D-4A29-4587-8B27-F34522DE4C49}"/>
      </w:docPartPr>
      <w:docPartBody>
        <w:p w:rsidR="00C379DE" w:rsidRDefault="003F56F9">
          <w:pPr>
            <w:pStyle w:val="539DFBDF23124EC3AF39637711FA6A1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538411B55854A1C9F677EFB7CC15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AADB1-7E2F-43DC-AF44-084B4D86934A}"/>
      </w:docPartPr>
      <w:docPartBody>
        <w:p w:rsidR="00C379DE" w:rsidRDefault="003F56F9">
          <w:pPr>
            <w:pStyle w:val="A538411B55854A1C9F677EFB7CC154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6F9"/>
    <w:rsid w:val="000E5328"/>
    <w:rsid w:val="002C56E3"/>
    <w:rsid w:val="003F56F9"/>
    <w:rsid w:val="00536BDF"/>
    <w:rsid w:val="00C379DE"/>
    <w:rsid w:val="00ED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874A223EB5463EAFBE0CCC190A4F93">
    <w:name w:val="3B874A223EB5463EAFBE0CCC190A4F93"/>
  </w:style>
  <w:style w:type="paragraph" w:customStyle="1" w:styleId="F0EB559D7DD14D439C1B7C1BBB68D62A">
    <w:name w:val="F0EB559D7DD14D439C1B7C1BBB68D62A"/>
  </w:style>
  <w:style w:type="paragraph" w:customStyle="1" w:styleId="750681A14C2344E380AF54496CF94FB6">
    <w:name w:val="750681A14C2344E380AF54496CF94FB6"/>
  </w:style>
  <w:style w:type="paragraph" w:customStyle="1" w:styleId="5F46A08FE03244DBB2CE9A9748A64E18">
    <w:name w:val="5F46A08FE03244DBB2CE9A9748A64E18"/>
  </w:style>
  <w:style w:type="paragraph" w:customStyle="1" w:styleId="B29FEC5C204143218C7189B2A688D782">
    <w:name w:val="B29FEC5C204143218C7189B2A688D782"/>
  </w:style>
  <w:style w:type="paragraph" w:customStyle="1" w:styleId="FB2C76F402EE4163AD2CAC73602940F7">
    <w:name w:val="FB2C76F402EE4163AD2CAC73602940F7"/>
  </w:style>
  <w:style w:type="paragraph" w:customStyle="1" w:styleId="D899F9E1596A482FB1D1EC697D1835E9">
    <w:name w:val="D899F9E1596A482FB1D1EC697D1835E9"/>
  </w:style>
  <w:style w:type="paragraph" w:customStyle="1" w:styleId="C588E09FC569485A922CE6CC1530A76F">
    <w:name w:val="C588E09FC569485A922CE6CC1530A76F"/>
  </w:style>
  <w:style w:type="paragraph" w:customStyle="1" w:styleId="539DFBDF23124EC3AF39637711FA6A1F">
    <w:name w:val="539DFBDF23124EC3AF39637711FA6A1F"/>
  </w:style>
  <w:style w:type="paragraph" w:customStyle="1" w:styleId="A538411B55854A1C9F677EFB7CC154B1">
    <w:name w:val="A538411B55854A1C9F677EFB7CC154B1"/>
  </w:style>
  <w:style w:type="paragraph" w:customStyle="1" w:styleId="3B82037A867141EBA0DBFEB0287E6B8B">
    <w:name w:val="3B82037A867141EBA0DBFEB0287E6B8B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874A223EB5463EAFBE0CCC190A4F93">
    <w:name w:val="3B874A223EB5463EAFBE0CCC190A4F93"/>
  </w:style>
  <w:style w:type="paragraph" w:customStyle="1" w:styleId="F0EB559D7DD14D439C1B7C1BBB68D62A">
    <w:name w:val="F0EB559D7DD14D439C1B7C1BBB68D62A"/>
  </w:style>
  <w:style w:type="paragraph" w:customStyle="1" w:styleId="750681A14C2344E380AF54496CF94FB6">
    <w:name w:val="750681A14C2344E380AF54496CF94FB6"/>
  </w:style>
  <w:style w:type="paragraph" w:customStyle="1" w:styleId="5F46A08FE03244DBB2CE9A9748A64E18">
    <w:name w:val="5F46A08FE03244DBB2CE9A9748A64E18"/>
  </w:style>
  <w:style w:type="paragraph" w:customStyle="1" w:styleId="B29FEC5C204143218C7189B2A688D782">
    <w:name w:val="B29FEC5C204143218C7189B2A688D782"/>
  </w:style>
  <w:style w:type="paragraph" w:customStyle="1" w:styleId="FB2C76F402EE4163AD2CAC73602940F7">
    <w:name w:val="FB2C76F402EE4163AD2CAC73602940F7"/>
  </w:style>
  <w:style w:type="paragraph" w:customStyle="1" w:styleId="D899F9E1596A482FB1D1EC697D1835E9">
    <w:name w:val="D899F9E1596A482FB1D1EC697D1835E9"/>
  </w:style>
  <w:style w:type="paragraph" w:customStyle="1" w:styleId="C588E09FC569485A922CE6CC1530A76F">
    <w:name w:val="C588E09FC569485A922CE6CC1530A76F"/>
  </w:style>
  <w:style w:type="paragraph" w:customStyle="1" w:styleId="539DFBDF23124EC3AF39637711FA6A1F">
    <w:name w:val="539DFBDF23124EC3AF39637711FA6A1F"/>
  </w:style>
  <w:style w:type="paragraph" w:customStyle="1" w:styleId="A538411B55854A1C9F677EFB7CC154B1">
    <w:name w:val="A538411B55854A1C9F677EFB7CC154B1"/>
  </w:style>
  <w:style w:type="paragraph" w:customStyle="1" w:styleId="3B82037A867141EBA0DBFEB0287E6B8B">
    <w:name w:val="3B82037A867141EBA0DBFEB0287E6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Surya02</b:Tag>
    <b:SourceType>BookSection</b:SourceType>
    <b:Guid>{480E7EB4-5057-4253-AFD5-3D57524C69DE}</b:Guid>
    <b:Author>
      <b:Author>
        <b:NameList>
          <b:Person>
            <b:Last>Surya</b:Last>
            <b:First>Michele</b:First>
          </b:Person>
        </b:NameList>
      </b:Author>
      <b:BookAuthor>
        <b:NameList>
          <b:Person>
            <b:Last>Richardson</b:Last>
            <b:First>trans.</b:First>
            <b:Middle>K. Filjalkowski and M.</b:Middle>
          </b:Person>
        </b:NameList>
      </b:BookAuthor>
    </b:Author>
    <b:Title>Everything Calls for the Death Which Ravages Us</b:Title>
    <b:BookTitle>Georges Bataille: An Intellectual Biography</b:BookTitle>
    <b:Year>2002</b:Year>
    <b:Pages>235–253</b:Pages>
    <b:City>London and New York</b:City>
    <b:Publisher>Verso</b:Publisher>
    <b:Medium>Print</b:Medium>
    <b:RefOrder>3</b:RefOrder>
  </b:Source>
  <b:Source>
    <b:Tag>Weiss86</b:Tag>
    <b:SourceType>JournalArticle</b:SourceType>
    <b:Guid>{25B8763F-0E0E-4019-9AAF-E4DBF1033E2F}</b:Guid>
    <b:Title>Impossible Sovereignty: Between “The Will to Power” and “The Will to Chance</b:Title>
    <b:Year>Vol. 36 (Spring 1986)</b:Year>
    <b:Pages>128–146</b:Pages>
    <b:Medium>Article</b:Medium>
    <b:Author>
      <b:Author>
        <b:NameList>
          <b:Person>
            <b:Last>Weiss</b:Last>
            <b:First>Allen</b:First>
            <b:Middle>S.</b:Middle>
          </b:Person>
        </b:NameList>
      </b:Author>
    </b:Author>
    <b:JournalName>October</b:JournalName>
    <b:RefOrder>4</b:RefOrder>
  </b:Source>
  <b:Source>
    <b:Tag>Bat99</b:Tag>
    <b:SourceType>Book</b:SourceType>
    <b:Guid>{10D630C8-004B-094D-892C-C998FD2EA61B}</b:Guid>
    <b:Author>
      <b:Author>
        <b:NameList>
          <b:Person>
            <b:Last>Bataille</b:Last>
            <b:First>G.</b:First>
          </b:Person>
        </b:NameList>
      </b:Author>
      <b:Editor>
        <b:NameList>
          <b:Person>
            <b:Last>Galletti</b:Last>
            <b:First>M.</b:First>
          </b:Person>
        </b:NameList>
      </b:Editor>
      <b:Translator>
        <b:NameList>
          <b:Person>
            <b:Last>Vital</b:Last>
            <b:First>N.</b:First>
          </b:Person>
        </b:NameList>
      </b:Translator>
    </b:Author>
    <b:Title>L’Apprenti sorcier: Du Cercle Communiste Démocratique à Acéphale, textes, lettres et documents (1932-1939)</b:Title>
    <b:City>Paris</b:City>
    <b:Publisher>Édition de la Différence</b:Publisher>
    <b:Year>1999</b:Year>
    <b:Comments>Primary texts concerning Acéphale.</b:Comments>
    <b:RefOrder>1</b:RefOrder>
  </b:Source>
  <b:Source>
    <b:Tag>Bat76</b:Tag>
    <b:SourceType>BookSection</b:SourceType>
    <b:Guid>{40E3867E-D617-E84D-978A-5F31213CE422}</b:Guid>
    <b:Title>La limite de l’utile</b:Title>
    <b:Year>1976</b:Year>
    <b:Pages>235–242</b:Pages>
    <b:Comments>A key presentation of the dépense, expenditure, as an antidote to utility.</b:Comments>
    <b:Author>
      <b:Author>
        <b:NameList>
          <b:Person>
            <b:Last>Bataille</b:Last>
            <b:First>Georges</b:First>
          </b:Person>
        </b:NameList>
      </b:Author>
    </b:Author>
    <b:BookTitle>Œuvres complètes VII</b:BookTitle>
    <b:RefOrder>2</b:RefOrder>
  </b:Source>
</b:Sources>
</file>

<file path=customXml/itemProps1.xml><?xml version="1.0" encoding="utf-8"?>
<ds:datastoreItem xmlns:ds="http://schemas.openxmlformats.org/officeDocument/2006/customXml" ds:itemID="{315F4FC9-3A05-7647-9E41-BCF2FD2A9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\Users\Kathleen\Downloads\Routledge Enyclopedia of Modernism Word Template.dotx</Template>
  <TotalTime>21</TotalTime>
  <Pages>2</Pages>
  <Words>516</Words>
  <Characters>2945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Laura Dosky</cp:lastModifiedBy>
  <cp:revision>8</cp:revision>
  <dcterms:created xsi:type="dcterms:W3CDTF">2015-08-20T20:05:00Z</dcterms:created>
  <dcterms:modified xsi:type="dcterms:W3CDTF">2015-09-05T20:38:00Z</dcterms:modified>
</cp:coreProperties>
</file>