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874A223EB5463EAFBE0CCC190A4F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0EB559D7DD14D439C1B7C1BBB68D62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611C7" w:rsidP="004611C7">
                <w:r>
                  <w:t>Bruce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50681A14C2344E380AF54496CF94FB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6A08FE03244DBB2CE9A9748A64E1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611C7" w:rsidP="004611C7">
                <w:r>
                  <w:t>Elder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29FEC5C204143218C7189B2A688D78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B2C76F402EE4163AD2CAC73602940F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611C7" w:rsidP="004611C7">
                <w:r>
                  <w:t>Ryerson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899F9E1596A482FB1D1EC697D1835E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611C7" w:rsidP="003F0D73">
                <w:pPr>
                  <w:rPr>
                    <w:b/>
                  </w:rPr>
                </w:pPr>
                <w:proofErr w:type="spellStart"/>
                <w:r w:rsidRPr="00E217CC">
                  <w:rPr>
                    <w:b/>
                  </w:rPr>
                  <w:t>Acéphale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588E09FC569485A922CE6CC1530A76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rPr>
              <w:rFonts w:asciiTheme="minorHAnsi" w:eastAsiaTheme="minorHAnsi" w:hAnsiTheme="minorHAnsi" w:cstheme="minorBidi"/>
              <w:color w:val="auto"/>
              <w:kern w:val="0"/>
              <w:sz w:val="22"/>
              <w:szCs w:val="22"/>
              <w:lang w:val="en-GB" w:eastAsia="en-US" w:bidi="ar-SA"/>
            </w:rPr>
            <w:alias w:val="Abstract"/>
            <w:tag w:val="abstract"/>
            <w:id w:val="-635871867"/>
            <w:placeholder>
              <w:docPart w:val="539DFBDF23124EC3AF39637711FA6A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11C7" w:rsidRDefault="004611C7" w:rsidP="004611C7">
                <w:pPr>
                  <w:pStyle w:val="Standard"/>
                  <w:spacing w:line="480" w:lineRule="auto"/>
                  <w:contextualSpacing/>
                </w:pPr>
                <w:r>
                  <w:t xml:space="preserve">The name </w:t>
                </w:r>
                <w:proofErr w:type="spellStart"/>
                <w:r w:rsidRPr="00060424">
                  <w:rPr>
                    <w:i/>
                  </w:rPr>
                  <w:t>Ac</w:t>
                </w:r>
                <w:r w:rsidRPr="00060424">
                  <w:rPr>
                    <w:rFonts w:cs="Times New Roman"/>
                    <w:i/>
                  </w:rPr>
                  <w:t>é</w:t>
                </w:r>
                <w:r w:rsidRPr="00060424">
                  <w:rPr>
                    <w:i/>
                  </w:rPr>
                  <w:t>phale</w:t>
                </w:r>
                <w:proofErr w:type="spellEnd"/>
                <w:r>
                  <w:t xml:space="preserve"> refers to two related projects: one is a journal,</w:t>
                </w:r>
                <w:r w:rsidRPr="00060424">
                  <w:t xml:space="preserve"> </w:t>
                </w:r>
                <w:r>
                  <w:t xml:space="preserve">founded by Georges </w:t>
                </w:r>
                <w:proofErr w:type="spellStart"/>
                <w:r>
                  <w:t>Bataille</w:t>
                </w:r>
                <w:proofErr w:type="spellEnd"/>
                <w:r>
                  <w:t xml:space="preserve"> (1887-1962), published between </w:t>
                </w:r>
                <w:r w:rsidRPr="00060424">
                  <w:t xml:space="preserve">1936 </w:t>
                </w:r>
                <w:r>
                  <w:t>and 1939, whose articles often extolled Friedrich Nietzsche’s philosophy;</w:t>
                </w:r>
                <w:r w:rsidRPr="00060424">
                  <w:t xml:space="preserve"> </w:t>
                </w:r>
                <w:r>
                  <w:t xml:space="preserve">the second refers to </w:t>
                </w:r>
                <w:r w:rsidRPr="00060424">
                  <w:t xml:space="preserve">a secret society </w:t>
                </w:r>
                <w:r>
                  <w:t xml:space="preserve">that </w:t>
                </w:r>
                <w:r w:rsidRPr="00060424">
                  <w:t xml:space="preserve">formed </w:t>
                </w:r>
                <w:r>
                  <w:t>around</w:t>
                </w:r>
                <w:r w:rsidRPr="00060424">
                  <w:t xml:space="preserve"> </w:t>
                </w:r>
                <w:proofErr w:type="spellStart"/>
                <w:r w:rsidRPr="00060424">
                  <w:t>Bataille</w:t>
                </w:r>
                <w:proofErr w:type="spellEnd"/>
                <w:r w:rsidRPr="00060424">
                  <w:t>.</w:t>
                </w:r>
                <w:r>
                  <w:t xml:space="preserve"> That the term derives from the Greek </w:t>
                </w:r>
                <w:proofErr w:type="spellStart"/>
                <w:r w:rsidRPr="00060424">
                  <w:t>ἀκέφ</w:t>
                </w:r>
                <w:proofErr w:type="spellEnd"/>
                <w:r w:rsidRPr="00060424">
                  <w:t xml:space="preserve">αλος </w:t>
                </w:r>
                <w:r>
                  <w:t>(</w:t>
                </w:r>
                <w:proofErr w:type="spellStart"/>
                <w:r w:rsidRPr="00060424">
                  <w:t>akephalos</w:t>
                </w:r>
                <w:proofErr w:type="spellEnd"/>
                <w:r w:rsidRPr="00060424">
                  <w:t xml:space="preserve">, </w:t>
                </w:r>
                <w:r>
                  <w:t>‘</w:t>
                </w:r>
                <w:r w:rsidRPr="00060424">
                  <w:t>headless</w:t>
                </w:r>
                <w:r>
                  <w:t>’</w:t>
                </w:r>
                <w:r w:rsidRPr="00060424">
                  <w:t>)</w:t>
                </w:r>
                <w:r>
                  <w:t xml:space="preserve"> made it an appropriate name for the counter-religion </w:t>
                </w:r>
                <w:proofErr w:type="spellStart"/>
                <w:r>
                  <w:t>Bataille</w:t>
                </w:r>
                <w:proofErr w:type="spellEnd"/>
                <w:r>
                  <w:t xml:space="preserve"> aimed at founding to revitalize the mythic experience of plenitude: the head, </w:t>
                </w:r>
                <w:proofErr w:type="spellStart"/>
                <w:r>
                  <w:t>Bataille</w:t>
                </w:r>
                <w:proofErr w:type="spellEnd"/>
                <w:r>
                  <w:t xml:space="preserve"> maintained, stands for hierarchical organization and God, so the society and journal that gave the gnostic-inflected counter-religion expression should be headless. </w:t>
                </w:r>
                <w:proofErr w:type="spellStart"/>
                <w:r>
                  <w:t>Bataille’s</w:t>
                </w:r>
                <w:proofErr w:type="spellEnd"/>
                <w:r>
                  <w:t xml:space="preserve"> interest in an </w:t>
                </w:r>
                <w:proofErr w:type="spellStart"/>
                <w:r>
                  <w:t>atheological</w:t>
                </w:r>
                <w:proofErr w:type="spellEnd"/>
                <w:r>
                  <w:t xml:space="preserve"> counter-religion was grounded in the principle of expenditure he saw manifested in unproductive forms of consumption, which have no end beyond </w:t>
                </w:r>
                <w:proofErr w:type="gramStart"/>
                <w:r>
                  <w:t>themselves</w:t>
                </w:r>
                <w:proofErr w:type="gramEnd"/>
                <w:r>
                  <w:t>, and thereby constitute an irrecoverable loss. This anti-Platonic, anti-renascence social body would be</w:t>
                </w:r>
                <w:r w:rsidRPr="008B17BB">
                  <w:rPr>
                    <w:i/>
                  </w:rPr>
                  <w:t xml:space="preserve"> </w:t>
                </w:r>
                <w:r w:rsidRPr="00084182">
                  <w:t xml:space="preserve">headless </w:t>
                </w:r>
                <w:r>
                  <w:t xml:space="preserve">because it would recover, within the </w:t>
                </w:r>
                <w:r w:rsidRPr="008B17BB">
                  <w:t xml:space="preserve">isolation </w:t>
                </w:r>
                <w:r>
                  <w:t>that confines modern humans, the vitalizing experience of the sacred—that is, of a privileged moment of communal unity and convulsive communication of ordinarily suppressed sensations. It would headless</w:t>
                </w:r>
                <w:r w:rsidRPr="008B17BB">
                  <w:t xml:space="preserve">, </w:t>
                </w:r>
                <w:r>
                  <w:t xml:space="preserve">too, because the Dionysian-orgiastic rituals of the secret society would be aimed against both reason and identity. </w:t>
                </w:r>
                <w:proofErr w:type="spellStart"/>
                <w:r>
                  <w:t>Bataille’s</w:t>
                </w:r>
                <w:proofErr w:type="spellEnd"/>
                <w:r>
                  <w:t xml:space="preserve"> conviction that ultimate </w:t>
                </w:r>
                <w:r w:rsidRPr="00A106F7">
                  <w:t>expenditure</w:t>
                </w:r>
                <w:r>
                  <w:t xml:space="preserve"> is ‘the gift of the self’ led the participants in </w:t>
                </w:r>
                <w:proofErr w:type="spellStart"/>
                <w:r w:rsidRPr="00060424">
                  <w:rPr>
                    <w:i/>
                  </w:rPr>
                  <w:t>Ac</w:t>
                </w:r>
                <w:r w:rsidRPr="00060424">
                  <w:rPr>
                    <w:rFonts w:cs="Times New Roman"/>
                    <w:i/>
                  </w:rPr>
                  <w:t>é</w:t>
                </w:r>
                <w:r w:rsidRPr="00060424">
                  <w:rPr>
                    <w:i/>
                  </w:rPr>
                  <w:t>phal</w:t>
                </w:r>
                <w:r>
                  <w:rPr>
                    <w:i/>
                  </w:rPr>
                  <w:t>e</w:t>
                </w:r>
                <w:proofErr w:type="spellEnd"/>
                <w:r w:rsidRPr="008B17BB">
                  <w:t xml:space="preserve"> to an interest in sacrifice</w:t>
                </w:r>
                <w:r>
                  <w:rPr>
                    <w:i/>
                  </w:rPr>
                  <w:t>.</w:t>
                </w:r>
                <w:r w:rsidRPr="004E2F67">
                  <w:t xml:space="preserve">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538411B55854A1C9F677EFB7CC154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11C7" w:rsidRDefault="004611C7" w:rsidP="004611C7">
                <w:pPr>
                  <w:pStyle w:val="Standard"/>
                  <w:spacing w:line="480" w:lineRule="auto"/>
                  <w:contextualSpacing/>
                </w:pPr>
                <w:r>
                  <w:t xml:space="preserve">The name </w:t>
                </w:r>
                <w:proofErr w:type="spellStart"/>
                <w:r w:rsidRPr="00060424">
                  <w:rPr>
                    <w:i/>
                  </w:rPr>
                  <w:t>Ac</w:t>
                </w:r>
                <w:r w:rsidRPr="00060424">
                  <w:rPr>
                    <w:rFonts w:cs="Times New Roman"/>
                    <w:i/>
                  </w:rPr>
                  <w:t>é</w:t>
                </w:r>
                <w:r w:rsidRPr="00060424">
                  <w:rPr>
                    <w:i/>
                  </w:rPr>
                  <w:t>phale</w:t>
                </w:r>
                <w:proofErr w:type="spellEnd"/>
                <w:r>
                  <w:t xml:space="preserve"> refers to two related projects: one is a journal,</w:t>
                </w:r>
                <w:r w:rsidRPr="00060424">
                  <w:t xml:space="preserve"> </w:t>
                </w:r>
                <w:r>
                  <w:t xml:space="preserve">founded by Georges </w:t>
                </w:r>
                <w:proofErr w:type="spellStart"/>
                <w:r>
                  <w:t>Bataille</w:t>
                </w:r>
                <w:proofErr w:type="spellEnd"/>
                <w:r>
                  <w:t xml:space="preserve"> (1887-1962), published between </w:t>
                </w:r>
                <w:r w:rsidRPr="00060424">
                  <w:t xml:space="preserve">1936 </w:t>
                </w:r>
                <w:r>
                  <w:t>and 1939, whose articles often extolled Friedrich Nietzsche’s philosophy;</w:t>
                </w:r>
                <w:r w:rsidRPr="00060424">
                  <w:t xml:space="preserve"> </w:t>
                </w:r>
                <w:r>
                  <w:t xml:space="preserve">the second refers to </w:t>
                </w:r>
                <w:r w:rsidRPr="00060424">
                  <w:t xml:space="preserve">a secret society </w:t>
                </w:r>
                <w:r>
                  <w:t xml:space="preserve">that </w:t>
                </w:r>
                <w:r w:rsidRPr="00060424">
                  <w:t xml:space="preserve">formed </w:t>
                </w:r>
                <w:r>
                  <w:t>around</w:t>
                </w:r>
                <w:r w:rsidRPr="00060424">
                  <w:t xml:space="preserve"> </w:t>
                </w:r>
                <w:proofErr w:type="spellStart"/>
                <w:r w:rsidRPr="00060424">
                  <w:t>Bataille</w:t>
                </w:r>
                <w:proofErr w:type="spellEnd"/>
                <w:r w:rsidRPr="00060424">
                  <w:t>.</w:t>
                </w:r>
                <w:r>
                  <w:t xml:space="preserve"> That the term derives from the Greek </w:t>
                </w:r>
                <w:proofErr w:type="spellStart"/>
                <w:r w:rsidRPr="00060424">
                  <w:t>ἀκέφ</w:t>
                </w:r>
                <w:proofErr w:type="spellEnd"/>
                <w:r w:rsidRPr="00060424">
                  <w:t xml:space="preserve">αλος </w:t>
                </w:r>
                <w:r>
                  <w:t>(</w:t>
                </w:r>
                <w:proofErr w:type="spellStart"/>
                <w:r w:rsidRPr="00060424">
                  <w:t>akephalos</w:t>
                </w:r>
                <w:proofErr w:type="spellEnd"/>
                <w:r w:rsidRPr="00060424">
                  <w:t xml:space="preserve">, </w:t>
                </w:r>
                <w:r>
                  <w:t>‘</w:t>
                </w:r>
                <w:r w:rsidRPr="00060424">
                  <w:t>headless</w:t>
                </w:r>
                <w:r>
                  <w:t>’</w:t>
                </w:r>
                <w:r w:rsidRPr="00060424">
                  <w:t>)</w:t>
                </w:r>
                <w:r>
                  <w:t xml:space="preserve"> made it an appropriate name for the counter-religion </w:t>
                </w:r>
                <w:proofErr w:type="spellStart"/>
                <w:r>
                  <w:t>Bataille</w:t>
                </w:r>
                <w:proofErr w:type="spellEnd"/>
                <w:r>
                  <w:t xml:space="preserve"> aimed at founding to revitalize the mythic experience of plenitude: the head, </w:t>
                </w:r>
                <w:proofErr w:type="spellStart"/>
                <w:r>
                  <w:t>Bataille</w:t>
                </w:r>
                <w:proofErr w:type="spellEnd"/>
                <w:r>
                  <w:t xml:space="preserve"> maintained, stands for hierarchical organization and God, so the society and journal that gave the gnostic-inflected counter-religion expression should be headless.</w:t>
                </w:r>
              </w:p>
              <w:p w:rsidR="004611C7" w:rsidRDefault="004611C7" w:rsidP="004611C7">
                <w:pPr>
                  <w:pStyle w:val="Standard"/>
                  <w:keepNext/>
                  <w:spacing w:line="480" w:lineRule="auto"/>
                  <w:contextualSpacing/>
                </w:pPr>
                <w:r>
                  <w:t>File: Acephale.jpeg</w:t>
                </w:r>
              </w:p>
              <w:p w:rsidR="004611C7" w:rsidRDefault="004611C7" w:rsidP="004611C7">
                <w:pPr>
                  <w:pStyle w:val="Caption"/>
                </w:pPr>
                <w:proofErr w:type="spellStart"/>
                <w:r>
                  <w:t>Acephale</w:t>
                </w:r>
                <w:proofErr w:type="spellEnd"/>
                <w:r>
                  <w:t xml:space="preserve"> </w:t>
                </w:r>
                <w:fldSimple w:instr=" SEQ Acephale \* ARABIC ">
                  <w:r>
                    <w:rPr>
                      <w:noProof/>
                    </w:rPr>
                    <w:t>1</w:t>
                  </w:r>
                </w:fldSimple>
              </w:p>
              <w:p w:rsidR="004611C7" w:rsidRDefault="004611C7" w:rsidP="004611C7">
                <w:pPr>
                  <w:pStyle w:val="Standard"/>
                  <w:spacing w:line="480" w:lineRule="auto"/>
                  <w:contextualSpacing/>
                </w:pPr>
                <w:r>
                  <w:t xml:space="preserve">Source: Masson, A. (1936) Cover of </w:t>
                </w:r>
                <w:proofErr w:type="spellStart"/>
                <w:r>
                  <w:rPr>
                    <w:i/>
                  </w:rPr>
                  <w:t>Ac</w:t>
                </w:r>
                <w:bookmarkStart w:id="0" w:name="_GoBack"/>
                <w:r w:rsidRPr="001E55BF">
                  <w:rPr>
                    <w:i/>
                  </w:rPr>
                  <w:t>é</w:t>
                </w:r>
                <w:bookmarkEnd w:id="0"/>
                <w:r>
                  <w:rPr>
                    <w:i/>
                  </w:rPr>
                  <w:t>phale</w:t>
                </w:r>
                <w:proofErr w:type="spellEnd"/>
                <w:r>
                  <w:t xml:space="preserve"> 3-4 (July 1937). (</w:t>
                </w:r>
                <w:r w:rsidRPr="00FF7991">
                  <w:t>http://bit.ly/N6PoZE</w:t>
                </w:r>
                <w:r>
                  <w:t>)</w:t>
                </w:r>
              </w:p>
              <w:p w:rsidR="004611C7" w:rsidRPr="004611C7" w:rsidRDefault="004611C7" w:rsidP="004611C7"/>
              <w:p w:rsidR="004611C7" w:rsidRDefault="004611C7" w:rsidP="004611C7">
                <w:pPr>
                  <w:pStyle w:val="Standard"/>
                  <w:spacing w:line="480" w:lineRule="auto"/>
                  <w:contextualSpacing/>
                </w:pPr>
                <w:r>
                  <w:t xml:space="preserve"> </w:t>
                </w:r>
                <w:proofErr w:type="spellStart"/>
                <w:r>
                  <w:t>Bataille’s</w:t>
                </w:r>
                <w:proofErr w:type="spellEnd"/>
                <w:r>
                  <w:t xml:space="preserve"> interest in an </w:t>
                </w:r>
                <w:proofErr w:type="spellStart"/>
                <w:r>
                  <w:t>atheological</w:t>
                </w:r>
                <w:proofErr w:type="spellEnd"/>
                <w:r>
                  <w:t xml:space="preserve"> counter-religion was grounded in the principle of expenditure he saw manifested in unproductive forms of consumption, which have no end beyond </w:t>
                </w:r>
                <w:proofErr w:type="gramStart"/>
                <w:r>
                  <w:t>themselves</w:t>
                </w:r>
                <w:proofErr w:type="gramEnd"/>
                <w:r>
                  <w:t>, and thereby constitute an irrecoverable loss. This anti-Platonic, anti-renascence social body would be</w:t>
                </w:r>
                <w:r w:rsidRPr="008B17BB">
                  <w:rPr>
                    <w:i/>
                  </w:rPr>
                  <w:t xml:space="preserve"> </w:t>
                </w:r>
                <w:r w:rsidRPr="00084182">
                  <w:t xml:space="preserve">headless </w:t>
                </w:r>
                <w:r>
                  <w:t xml:space="preserve">because it would recover, within the </w:t>
                </w:r>
                <w:r w:rsidRPr="008B17BB">
                  <w:t xml:space="preserve">isolation </w:t>
                </w:r>
                <w:r>
                  <w:t>that confines modern humans, the vitalizing experience of the sacred—that is, of a privileged moment of communal unity and convulsive communication of ordinarily suppressed sensations. It would headless</w:t>
                </w:r>
                <w:r w:rsidRPr="008B17BB">
                  <w:t xml:space="preserve">, </w:t>
                </w:r>
                <w:r>
                  <w:t xml:space="preserve">too, because the Dionysian-orgiastic rituals of the secret society would be aimed against both reason and identity. </w:t>
                </w:r>
                <w:proofErr w:type="spellStart"/>
                <w:r>
                  <w:t>Bataille’s</w:t>
                </w:r>
                <w:proofErr w:type="spellEnd"/>
                <w:r>
                  <w:t xml:space="preserve"> conviction that ultimate </w:t>
                </w:r>
                <w:r w:rsidRPr="00A106F7">
                  <w:t>expenditure</w:t>
                </w:r>
                <w:r>
                  <w:t xml:space="preserve"> is ‘the gift of the self’ led the participants in </w:t>
                </w:r>
                <w:proofErr w:type="spellStart"/>
                <w:r w:rsidRPr="00060424">
                  <w:rPr>
                    <w:i/>
                  </w:rPr>
                  <w:t>Ac</w:t>
                </w:r>
                <w:r w:rsidRPr="00060424">
                  <w:rPr>
                    <w:rFonts w:cs="Times New Roman"/>
                    <w:i/>
                  </w:rPr>
                  <w:t>é</w:t>
                </w:r>
                <w:r w:rsidRPr="00060424">
                  <w:rPr>
                    <w:i/>
                  </w:rPr>
                  <w:t>phal</w:t>
                </w:r>
                <w:r>
                  <w:rPr>
                    <w:i/>
                  </w:rPr>
                  <w:t>e</w:t>
                </w:r>
                <w:proofErr w:type="spellEnd"/>
                <w:r w:rsidRPr="008B17BB">
                  <w:t xml:space="preserve"> to an interest in sacrifice</w:t>
                </w:r>
                <w:r>
                  <w:rPr>
                    <w:i/>
                  </w:rPr>
                  <w:t>.</w:t>
                </w:r>
                <w:r w:rsidRPr="004E2F67">
                  <w:t xml:space="preserve"> </w:t>
                </w:r>
              </w:p>
              <w:p w:rsidR="004611C7" w:rsidRPr="00C2594D" w:rsidRDefault="004611C7" w:rsidP="004611C7">
                <w:pPr>
                  <w:pStyle w:val="Heading1"/>
                  <w:outlineLvl w:val="0"/>
                </w:pPr>
                <w:r>
                  <w:t>List of w</w:t>
                </w:r>
                <w:r w:rsidRPr="00C2594D">
                  <w:t>orks</w:t>
                </w:r>
              </w:p>
              <w:p w:rsidR="004611C7" w:rsidRPr="00B53D71" w:rsidRDefault="004611C7" w:rsidP="004611C7">
                <w:pPr>
                  <w:pStyle w:val="Standard"/>
                  <w:spacing w:line="480" w:lineRule="auto"/>
                  <w:contextualSpacing/>
                  <w:rPr>
                    <w:i/>
                  </w:rPr>
                </w:pPr>
                <w:proofErr w:type="spellStart"/>
                <w:r w:rsidRPr="00B53D71">
                  <w:t>Bataille</w:t>
                </w:r>
                <w:proofErr w:type="spellEnd"/>
                <w:r w:rsidRPr="00B53D71">
                  <w:t>, G</w:t>
                </w:r>
                <w:r>
                  <w:t>.</w:t>
                </w:r>
                <w:r w:rsidRPr="00B53D71">
                  <w:t xml:space="preserve"> (1999) </w:t>
                </w:r>
                <w:proofErr w:type="spellStart"/>
                <w:r w:rsidRPr="00B53D71">
                  <w:rPr>
                    <w:i/>
                  </w:rPr>
                  <w:t>L’Apprenti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rPr>
                    <w:i/>
                  </w:rPr>
                  <w:t>sorcier</w:t>
                </w:r>
                <w:proofErr w:type="spellEnd"/>
                <w:r w:rsidRPr="00B53D71">
                  <w:rPr>
                    <w:i/>
                  </w:rPr>
                  <w:t xml:space="preserve">: Du </w:t>
                </w:r>
                <w:proofErr w:type="spellStart"/>
                <w:r w:rsidRPr="00B53D71">
                  <w:rPr>
                    <w:i/>
                  </w:rPr>
                  <w:t>Cercle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rPr>
                    <w:i/>
                  </w:rPr>
                  <w:t>Communiste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rPr>
                    <w:i/>
                  </w:rPr>
                  <w:t>Démocratique</w:t>
                </w:r>
                <w:proofErr w:type="spellEnd"/>
                <w:r w:rsidRPr="00B53D71">
                  <w:rPr>
                    <w:i/>
                  </w:rPr>
                  <w:t xml:space="preserve"> à </w:t>
                </w:r>
                <w:proofErr w:type="spellStart"/>
                <w:r w:rsidRPr="00B53D71">
                  <w:rPr>
                    <w:i/>
                  </w:rPr>
                  <w:t>Acéphale</w:t>
                </w:r>
                <w:proofErr w:type="spellEnd"/>
                <w:r w:rsidRPr="00B53D71">
                  <w:rPr>
                    <w:i/>
                  </w:rPr>
                  <w:t xml:space="preserve">, </w:t>
                </w:r>
                <w:proofErr w:type="spellStart"/>
                <w:r w:rsidRPr="00B53D71">
                  <w:rPr>
                    <w:i/>
                  </w:rPr>
                  <w:lastRenderedPageBreak/>
                  <w:t>textes</w:t>
                </w:r>
                <w:proofErr w:type="spellEnd"/>
                <w:r w:rsidRPr="00B53D71">
                  <w:rPr>
                    <w:i/>
                  </w:rPr>
                  <w:t xml:space="preserve">, </w:t>
                </w:r>
                <w:proofErr w:type="spellStart"/>
                <w:r w:rsidRPr="00B53D71">
                  <w:rPr>
                    <w:i/>
                  </w:rPr>
                  <w:t>lettres</w:t>
                </w:r>
                <w:proofErr w:type="spellEnd"/>
                <w:r w:rsidRPr="00B53D71">
                  <w:rPr>
                    <w:i/>
                  </w:rPr>
                  <w:t xml:space="preserve"> et documents (1932-1939)</w:t>
                </w:r>
                <w:r w:rsidRPr="00B53D71">
                  <w:t xml:space="preserve">, </w:t>
                </w:r>
                <w:r>
                  <w:t>ed.</w:t>
                </w:r>
                <w:r w:rsidRPr="00B53D71">
                  <w:t xml:space="preserve"> </w:t>
                </w:r>
                <w:r>
                  <w:t>M.</w:t>
                </w:r>
                <w:r w:rsidRPr="00B53D71">
                  <w:t xml:space="preserve"> </w:t>
                </w:r>
                <w:proofErr w:type="spellStart"/>
                <w:r w:rsidRPr="00B53D71">
                  <w:t>Galletti</w:t>
                </w:r>
                <w:proofErr w:type="spellEnd"/>
                <w:r>
                  <w:t>, trans.</w:t>
                </w:r>
                <w:r w:rsidRPr="00B53D71">
                  <w:t xml:space="preserve"> N</w:t>
                </w:r>
                <w:r>
                  <w:t>.</w:t>
                </w:r>
                <w:r w:rsidRPr="00B53D71">
                  <w:t xml:space="preserve"> Vital</w:t>
                </w:r>
                <w:r>
                  <w:t>,</w:t>
                </w:r>
                <w:r w:rsidRPr="00B53D71">
                  <w:t xml:space="preserve"> Paris:</w:t>
                </w:r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t>Édition</w:t>
                </w:r>
                <w:proofErr w:type="spellEnd"/>
                <w:r w:rsidRPr="00B53D71">
                  <w:t xml:space="preserve"> de la </w:t>
                </w:r>
                <w:proofErr w:type="spellStart"/>
                <w:r w:rsidRPr="00B53D71">
                  <w:t>Différence</w:t>
                </w:r>
                <w:proofErr w:type="spellEnd"/>
                <w:r>
                  <w:t>. (Primary texts concerning</w:t>
                </w:r>
                <w:r w:rsidRPr="00031C79">
                  <w:t xml:space="preserve"> </w:t>
                </w:r>
                <w:proofErr w:type="spellStart"/>
                <w:r w:rsidRPr="0059638A">
                  <w:rPr>
                    <w:i/>
                  </w:rPr>
                  <w:t>Acéphale</w:t>
                </w:r>
                <w:proofErr w:type="spellEnd"/>
                <w:r>
                  <w:t xml:space="preserve">.) </w:t>
                </w:r>
              </w:p>
              <w:p w:rsidR="003F0D73" w:rsidRDefault="004611C7" w:rsidP="008121F9">
                <w:pPr>
                  <w:pStyle w:val="Standard"/>
                  <w:spacing w:line="480" w:lineRule="auto"/>
                  <w:contextualSpacing/>
                </w:pPr>
                <w:r>
                  <w:t>------</w:t>
                </w:r>
                <w:r w:rsidRPr="00B53D71">
                  <w:t xml:space="preserve"> (</w:t>
                </w:r>
                <w:r>
                  <w:t>1976</w:t>
                </w:r>
                <w:r w:rsidRPr="00B53D71">
                  <w:t>)</w:t>
                </w:r>
                <w:r>
                  <w:t xml:space="preserve"> ‘</w:t>
                </w:r>
                <w:r w:rsidRPr="00B53D71">
                  <w:t xml:space="preserve">La </w:t>
                </w:r>
                <w:proofErr w:type="spellStart"/>
                <w:r w:rsidRPr="00B53D71">
                  <w:t>limite</w:t>
                </w:r>
                <w:proofErr w:type="spellEnd"/>
                <w:r w:rsidRPr="00B53D71">
                  <w:t xml:space="preserve"> de </w:t>
                </w:r>
                <w:proofErr w:type="spellStart"/>
                <w:r w:rsidRPr="00B53D71">
                  <w:t>l’utile</w:t>
                </w:r>
                <w:proofErr w:type="spellEnd"/>
                <w:r>
                  <w:t>’, in</w:t>
                </w:r>
                <w:r w:rsidRPr="00B53D71">
                  <w:t xml:space="preserve"> </w:t>
                </w:r>
                <w:proofErr w:type="spellStart"/>
                <w:r w:rsidRPr="00B53D71">
                  <w:rPr>
                    <w:i/>
                  </w:rPr>
                  <w:t>Œuvres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proofErr w:type="spellStart"/>
                <w:r w:rsidRPr="00B53D71">
                  <w:rPr>
                    <w:i/>
                  </w:rPr>
                  <w:t>complètes</w:t>
                </w:r>
                <w:proofErr w:type="spellEnd"/>
                <w:r w:rsidRPr="00B53D71">
                  <w:rPr>
                    <w:i/>
                  </w:rPr>
                  <w:t xml:space="preserve"> </w:t>
                </w:r>
                <w:r w:rsidRPr="00B53D71">
                  <w:t>VII, 235–242.</w:t>
                </w:r>
                <w:r>
                  <w:t xml:space="preserve"> (A key presentation of the </w:t>
                </w:r>
                <w:proofErr w:type="spellStart"/>
                <w:r w:rsidRPr="004A0CD4">
                  <w:rPr>
                    <w:i/>
                  </w:rPr>
                  <w:t>dépense</w:t>
                </w:r>
                <w:proofErr w:type="spellEnd"/>
                <w:r w:rsidRPr="00031C79">
                  <w:t>,</w:t>
                </w:r>
                <w:r>
                  <w:t xml:space="preserve"> expenditure, as an antidote to utility.)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Theme="minorHAnsi" w:eastAsiaTheme="minorHAnsi" w:hAnsiTheme="minorHAnsi" w:cstheme="minorBidi"/>
                <w:color w:val="auto"/>
                <w:kern w:val="0"/>
                <w:sz w:val="22"/>
                <w:szCs w:val="22"/>
                <w:lang w:val="en-GB" w:eastAsia="en-US" w:bidi="ar-SA"/>
              </w:rPr>
              <w:alias w:val="Further reading"/>
              <w:tag w:val="furtherReading"/>
              <w:id w:val="-1516217107"/>
              <w:placeholder>
                <w:docPart w:val="3B82037A867141EBA0DBFEB0287E6B8B"/>
              </w:placeholder>
            </w:sdtPr>
            <w:sdtEndPr>
              <w:rPr>
                <w:rFonts w:ascii="Times New Roman" w:eastAsia="Droid Sans Fallback" w:hAnsi="Times New Roman" w:cs="Lohit Hindi"/>
                <w:color w:val="00000A"/>
                <w:kern w:val="3"/>
                <w:sz w:val="24"/>
                <w:szCs w:val="24"/>
                <w:lang w:val="en-CA" w:eastAsia="zh-CN" w:bidi="hi-IN"/>
              </w:rPr>
            </w:sdtEndPr>
            <w:sdtContent>
              <w:p w:rsidR="004611C7" w:rsidRPr="00B53D71" w:rsidRDefault="00E06FB6" w:rsidP="004611C7">
                <w:pPr>
                  <w:pStyle w:val="Standard"/>
                  <w:spacing w:line="480" w:lineRule="auto"/>
                  <w:contextualSpacing/>
                </w:pPr>
                <w:sdt>
                  <w:sdtPr>
                    <w:id w:val="789944137"/>
                    <w:citation/>
                  </w:sdtPr>
                  <w:sdtEndPr/>
                  <w:sdtContent>
                    <w:r w:rsidR="00534A74">
                      <w:fldChar w:fldCharType="begin"/>
                    </w:r>
                    <w:r w:rsidR="00534A74">
                      <w:instrText xml:space="preserve">CITATION Surya02 \l 4105 </w:instrText>
                    </w:r>
                    <w:r w:rsidR="00534A74">
                      <w:fldChar w:fldCharType="separate"/>
                    </w:r>
                    <w:r w:rsidR="00534A74">
                      <w:rPr>
                        <w:noProof/>
                      </w:rPr>
                      <w:t xml:space="preserve"> (Surya)</w:t>
                    </w:r>
                    <w:r w:rsidR="00534A74">
                      <w:fldChar w:fldCharType="end"/>
                    </w:r>
                  </w:sdtContent>
                </w:sdt>
                <w:r w:rsidR="00534A74">
                  <w:t xml:space="preserve"> </w:t>
                </w:r>
              </w:p>
              <w:p w:rsidR="003235A7" w:rsidRDefault="00E06FB6" w:rsidP="00534A74">
                <w:pPr>
                  <w:pStyle w:val="Standard"/>
                  <w:spacing w:line="480" w:lineRule="auto"/>
                  <w:contextualSpacing/>
                </w:pPr>
                <w:sdt>
                  <w:sdtPr>
                    <w:id w:val="-1970578474"/>
                    <w:citation/>
                  </w:sdtPr>
                  <w:sdtEndPr/>
                  <w:sdtContent>
                    <w:r w:rsidR="00534A74">
                      <w:fldChar w:fldCharType="begin"/>
                    </w:r>
                    <w:r w:rsidR="00534A74">
                      <w:instrText xml:space="preserve">CITATION Weiss86 \l 4105 </w:instrText>
                    </w:r>
                    <w:r w:rsidR="00534A74">
                      <w:fldChar w:fldCharType="separate"/>
                    </w:r>
                    <w:r w:rsidR="00534A74">
                      <w:rPr>
                        <w:noProof/>
                      </w:rPr>
                      <w:t>(Weiss)</w:t>
                    </w:r>
                    <w:r w:rsidR="00534A74">
                      <w:fldChar w:fldCharType="end"/>
                    </w:r>
                  </w:sdtContent>
                </w:sdt>
                <w:r w:rsidR="00534A74">
                  <w:t>.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FB6" w:rsidRDefault="00E06FB6" w:rsidP="007A0D55">
      <w:pPr>
        <w:spacing w:after="0" w:line="240" w:lineRule="auto"/>
      </w:pPr>
      <w:r>
        <w:separator/>
      </w:r>
    </w:p>
  </w:endnote>
  <w:endnote w:type="continuationSeparator" w:id="0">
    <w:p w:rsidR="00E06FB6" w:rsidRDefault="00E06FB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FB6" w:rsidRDefault="00E06FB6" w:rsidP="007A0D55">
      <w:pPr>
        <w:spacing w:after="0" w:line="240" w:lineRule="auto"/>
      </w:pPr>
      <w:r>
        <w:separator/>
      </w:r>
    </w:p>
  </w:footnote>
  <w:footnote w:type="continuationSeparator" w:id="0">
    <w:p w:rsidR="00E06FB6" w:rsidRDefault="00E06FB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05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55B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094D"/>
    <w:rsid w:val="004611C7"/>
    <w:rsid w:val="00462DBE"/>
    <w:rsid w:val="00464699"/>
    <w:rsid w:val="00483379"/>
    <w:rsid w:val="00487BC5"/>
    <w:rsid w:val="00496888"/>
    <w:rsid w:val="004A7476"/>
    <w:rsid w:val="004E5896"/>
    <w:rsid w:val="005062D7"/>
    <w:rsid w:val="00513EE6"/>
    <w:rsid w:val="00534A74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21F9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FB6"/>
    <w:rsid w:val="00E52053"/>
    <w:rsid w:val="00E62BF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549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5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1C7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  <w:style w:type="paragraph" w:styleId="Caption">
    <w:name w:val="caption"/>
    <w:basedOn w:val="Normal"/>
    <w:next w:val="Normal"/>
    <w:uiPriority w:val="35"/>
    <w:semiHidden/>
    <w:qFormat/>
    <w:rsid w:val="004611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611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5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1C7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  <w:style w:type="paragraph" w:styleId="Caption">
    <w:name w:val="caption"/>
    <w:basedOn w:val="Normal"/>
    <w:next w:val="Normal"/>
    <w:uiPriority w:val="35"/>
    <w:semiHidden/>
    <w:qFormat/>
    <w:rsid w:val="004611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61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874A223EB5463EAFBE0CCC190A4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D3433-3EC7-406A-9791-6EF816ECA523}"/>
      </w:docPartPr>
      <w:docPartBody>
        <w:p w:rsidR="00C379DE" w:rsidRDefault="003F56F9">
          <w:pPr>
            <w:pStyle w:val="3B874A223EB5463EAFBE0CCC190A4F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0EB559D7DD14D439C1B7C1BBB68D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0F82-DE79-4F95-9F5A-700DFFCE9F86}"/>
      </w:docPartPr>
      <w:docPartBody>
        <w:p w:rsidR="00C379DE" w:rsidRDefault="003F56F9">
          <w:pPr>
            <w:pStyle w:val="F0EB559D7DD14D439C1B7C1BBB68D62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50681A14C2344E380AF54496CF94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E8788-F32D-4A96-BD23-9A483729A9BA}"/>
      </w:docPartPr>
      <w:docPartBody>
        <w:p w:rsidR="00C379DE" w:rsidRDefault="003F56F9">
          <w:pPr>
            <w:pStyle w:val="750681A14C2344E380AF54496CF94FB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6A08FE03244DBB2CE9A9748A6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E8321-EDF9-413E-A54D-B96553245324}"/>
      </w:docPartPr>
      <w:docPartBody>
        <w:p w:rsidR="00C379DE" w:rsidRDefault="003F56F9">
          <w:pPr>
            <w:pStyle w:val="5F46A08FE03244DBB2CE9A9748A64E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29FEC5C204143218C7189B2A688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B0F4C-8580-443D-85FE-825AAD0F94EE}"/>
      </w:docPartPr>
      <w:docPartBody>
        <w:p w:rsidR="00C379DE" w:rsidRDefault="003F56F9">
          <w:pPr>
            <w:pStyle w:val="B29FEC5C204143218C7189B2A688D78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B2C76F402EE4163AD2CAC7360294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20E5F-F41E-44D3-AEB0-014E082330CE}"/>
      </w:docPartPr>
      <w:docPartBody>
        <w:p w:rsidR="00C379DE" w:rsidRDefault="003F56F9">
          <w:pPr>
            <w:pStyle w:val="FB2C76F402EE4163AD2CAC73602940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899F9E1596A482FB1D1EC697D183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62F0D-E630-4072-A7FA-DA6037036903}"/>
      </w:docPartPr>
      <w:docPartBody>
        <w:p w:rsidR="00C379DE" w:rsidRDefault="003F56F9">
          <w:pPr>
            <w:pStyle w:val="D899F9E1596A482FB1D1EC697D1835E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88E09FC569485A922CE6CC1530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1B9B8-5C40-4EB5-9FE1-A0239F22E553}"/>
      </w:docPartPr>
      <w:docPartBody>
        <w:p w:rsidR="00C379DE" w:rsidRDefault="003F56F9">
          <w:pPr>
            <w:pStyle w:val="C588E09FC569485A922CE6CC1530A76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9DFBDF23124EC3AF39637711FA6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0853D-4A29-4587-8B27-F34522DE4C49}"/>
      </w:docPartPr>
      <w:docPartBody>
        <w:p w:rsidR="00C379DE" w:rsidRDefault="003F56F9">
          <w:pPr>
            <w:pStyle w:val="539DFBDF23124EC3AF39637711FA6A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538411B55854A1C9F677EFB7CC1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ADB1-7E2F-43DC-AF44-084B4D86934A}"/>
      </w:docPartPr>
      <w:docPartBody>
        <w:p w:rsidR="00C379DE" w:rsidRDefault="003F56F9">
          <w:pPr>
            <w:pStyle w:val="A538411B55854A1C9F677EFB7CC154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B82037A867141EBA0DBFEB0287E6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62B67-7006-46BB-9D88-23710CB921EE}"/>
      </w:docPartPr>
      <w:docPartBody>
        <w:p w:rsidR="00C379DE" w:rsidRDefault="003F56F9">
          <w:pPr>
            <w:pStyle w:val="3B82037A867141EBA0DBFEB0287E6B8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F9"/>
    <w:rsid w:val="000E5328"/>
    <w:rsid w:val="002C56E3"/>
    <w:rsid w:val="003F56F9"/>
    <w:rsid w:val="00536BDF"/>
    <w:rsid w:val="00C379DE"/>
    <w:rsid w:val="00E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874A223EB5463EAFBE0CCC190A4F93">
    <w:name w:val="3B874A223EB5463EAFBE0CCC190A4F93"/>
  </w:style>
  <w:style w:type="paragraph" w:customStyle="1" w:styleId="F0EB559D7DD14D439C1B7C1BBB68D62A">
    <w:name w:val="F0EB559D7DD14D439C1B7C1BBB68D62A"/>
  </w:style>
  <w:style w:type="paragraph" w:customStyle="1" w:styleId="750681A14C2344E380AF54496CF94FB6">
    <w:name w:val="750681A14C2344E380AF54496CF94FB6"/>
  </w:style>
  <w:style w:type="paragraph" w:customStyle="1" w:styleId="5F46A08FE03244DBB2CE9A9748A64E18">
    <w:name w:val="5F46A08FE03244DBB2CE9A9748A64E18"/>
  </w:style>
  <w:style w:type="paragraph" w:customStyle="1" w:styleId="B29FEC5C204143218C7189B2A688D782">
    <w:name w:val="B29FEC5C204143218C7189B2A688D782"/>
  </w:style>
  <w:style w:type="paragraph" w:customStyle="1" w:styleId="FB2C76F402EE4163AD2CAC73602940F7">
    <w:name w:val="FB2C76F402EE4163AD2CAC73602940F7"/>
  </w:style>
  <w:style w:type="paragraph" w:customStyle="1" w:styleId="D899F9E1596A482FB1D1EC697D1835E9">
    <w:name w:val="D899F9E1596A482FB1D1EC697D1835E9"/>
  </w:style>
  <w:style w:type="paragraph" w:customStyle="1" w:styleId="C588E09FC569485A922CE6CC1530A76F">
    <w:name w:val="C588E09FC569485A922CE6CC1530A76F"/>
  </w:style>
  <w:style w:type="paragraph" w:customStyle="1" w:styleId="539DFBDF23124EC3AF39637711FA6A1F">
    <w:name w:val="539DFBDF23124EC3AF39637711FA6A1F"/>
  </w:style>
  <w:style w:type="paragraph" w:customStyle="1" w:styleId="A538411B55854A1C9F677EFB7CC154B1">
    <w:name w:val="A538411B55854A1C9F677EFB7CC154B1"/>
  </w:style>
  <w:style w:type="paragraph" w:customStyle="1" w:styleId="3B82037A867141EBA0DBFEB0287E6B8B">
    <w:name w:val="3B82037A867141EBA0DBFEB0287E6B8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874A223EB5463EAFBE0CCC190A4F93">
    <w:name w:val="3B874A223EB5463EAFBE0CCC190A4F93"/>
  </w:style>
  <w:style w:type="paragraph" w:customStyle="1" w:styleId="F0EB559D7DD14D439C1B7C1BBB68D62A">
    <w:name w:val="F0EB559D7DD14D439C1B7C1BBB68D62A"/>
  </w:style>
  <w:style w:type="paragraph" w:customStyle="1" w:styleId="750681A14C2344E380AF54496CF94FB6">
    <w:name w:val="750681A14C2344E380AF54496CF94FB6"/>
  </w:style>
  <w:style w:type="paragraph" w:customStyle="1" w:styleId="5F46A08FE03244DBB2CE9A9748A64E18">
    <w:name w:val="5F46A08FE03244DBB2CE9A9748A64E18"/>
  </w:style>
  <w:style w:type="paragraph" w:customStyle="1" w:styleId="B29FEC5C204143218C7189B2A688D782">
    <w:name w:val="B29FEC5C204143218C7189B2A688D782"/>
  </w:style>
  <w:style w:type="paragraph" w:customStyle="1" w:styleId="FB2C76F402EE4163AD2CAC73602940F7">
    <w:name w:val="FB2C76F402EE4163AD2CAC73602940F7"/>
  </w:style>
  <w:style w:type="paragraph" w:customStyle="1" w:styleId="D899F9E1596A482FB1D1EC697D1835E9">
    <w:name w:val="D899F9E1596A482FB1D1EC697D1835E9"/>
  </w:style>
  <w:style w:type="paragraph" w:customStyle="1" w:styleId="C588E09FC569485A922CE6CC1530A76F">
    <w:name w:val="C588E09FC569485A922CE6CC1530A76F"/>
  </w:style>
  <w:style w:type="paragraph" w:customStyle="1" w:styleId="539DFBDF23124EC3AF39637711FA6A1F">
    <w:name w:val="539DFBDF23124EC3AF39637711FA6A1F"/>
  </w:style>
  <w:style w:type="paragraph" w:customStyle="1" w:styleId="A538411B55854A1C9F677EFB7CC154B1">
    <w:name w:val="A538411B55854A1C9F677EFB7CC154B1"/>
  </w:style>
  <w:style w:type="paragraph" w:customStyle="1" w:styleId="3B82037A867141EBA0DBFEB0287E6B8B">
    <w:name w:val="3B82037A867141EBA0DBFEB0287E6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Surya02</b:Tag>
    <b:SourceType>BookSection</b:SourceType>
    <b:Guid>{480E7EB4-5057-4253-AFD5-3D57524C69DE}</b:Guid>
    <b:Author>
      <b:Author>
        <b:NameList>
          <b:Person>
            <b:Last>Surya</b:Last>
            <b:First>Michele</b:First>
          </b:Person>
        </b:NameList>
      </b:Author>
      <b:BookAuthor>
        <b:NameList>
          <b:Person>
            <b:Last>Richardson</b:Last>
            <b:First>trans.</b:First>
            <b:Middle>K. Filjalkowski and M.</b:Middle>
          </b:Person>
        </b:NameList>
      </b:BookAuthor>
    </b:Author>
    <b:Title>Everything Calls for the Death Which Ravages Us</b:Title>
    <b:BookTitle>Georges Bataille: An Intellectual Biography</b:BookTitle>
    <b:Year>2002</b:Year>
    <b:Pages>235–253</b:Pages>
    <b:City>London and New York</b:City>
    <b:Publisher>Verso</b:Publisher>
    <b:Medium>Print</b:Medium>
    <b:RefOrder>1</b:RefOrder>
  </b:Source>
  <b:Source>
    <b:Tag>Weiss86</b:Tag>
    <b:SourceType>JournalArticle</b:SourceType>
    <b:Guid>{25B8763F-0E0E-4019-9AAF-E4DBF1033E2F}</b:Guid>
    <b:Title>Impossible Sovereignty: Between “The Will to Power” and “The Will to Chance</b:Title>
    <b:Year>Vol. 36 (Spring 1986)</b:Year>
    <b:Pages>128–146</b:Pages>
    <b:Medium>Article</b:Medium>
    <b:Author>
      <b:Author>
        <b:NameList>
          <b:Person>
            <b:Last>Weiss</b:Last>
            <b:First>Allen</b:First>
            <b:Middle>S.</b:Middle>
          </b:Person>
        </b:NameList>
      </b:Author>
    </b:Author>
    <b:JournalName>October</b:JournalName>
    <b:RefOrder>2</b:RefOrder>
  </b:Source>
</b:Sources>
</file>

<file path=customXml/itemProps1.xml><?xml version="1.0" encoding="utf-8"?>
<ds:datastoreItem xmlns:ds="http://schemas.openxmlformats.org/officeDocument/2006/customXml" ds:itemID="{66E65CB7-7A59-486B-BBD2-FF38C928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10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5</cp:revision>
  <dcterms:created xsi:type="dcterms:W3CDTF">2015-08-20T20:05:00Z</dcterms:created>
  <dcterms:modified xsi:type="dcterms:W3CDTF">2015-08-27T20:29:00Z</dcterms:modified>
</cp:coreProperties>
</file>