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27CB51F9" w:rsidR="00B574C9" w:rsidRPr="00C55FAE" w:rsidRDefault="00441C2A" w:rsidP="00522EA3">
                <w:pPr>
                  <w:rPr>
                    <w:color w:val="000000" w:themeColor="text1"/>
                    <w:sz w:val="24"/>
                    <w:szCs w:val="24"/>
                  </w:rPr>
                </w:pPr>
                <w:r w:rsidRPr="00441C2A">
                  <w:rPr>
                    <w:lang w:val="en-US" w:eastAsia="ja-JP"/>
                  </w:rPr>
                  <w:t>Arnold</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4BF5475B" w:rsidR="00B574C9" w:rsidRPr="00C55FAE" w:rsidRDefault="00441C2A" w:rsidP="00522EA3">
                <w:pPr>
                  <w:rPr>
                    <w:color w:val="000000" w:themeColor="text1"/>
                    <w:sz w:val="24"/>
                    <w:szCs w:val="24"/>
                  </w:rPr>
                </w:pPr>
                <w:proofErr w:type="spellStart"/>
                <w:r w:rsidRPr="00441C2A">
                  <w:rPr>
                    <w:lang w:val="en-US" w:eastAsia="ja-JP"/>
                  </w:rPr>
                  <w:t>Whittall</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EF6AC4A" w:rsidR="003F0D73" w:rsidRPr="00FB589A" w:rsidRDefault="00441C2A" w:rsidP="000F721C">
                <w:pPr>
                  <w:rPr>
                    <w:b/>
                  </w:rPr>
                </w:pPr>
                <w:r w:rsidRPr="00737AD5">
                  <w:rPr>
                    <w:b/>
                  </w:rPr>
                  <w:t xml:space="preserve"> Atonality</w:t>
                </w:r>
              </w:p>
            </w:tc>
          </w:sdtContent>
        </w:sdt>
      </w:tr>
      <w:tr w:rsidR="00464699" w14:paraId="09D06B43" w14:textId="77777777" w:rsidTr="00210AC9">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36911330" w:rsidR="00E85A05" w:rsidRDefault="009D76F5" w:rsidP="00F75111">
                <w:r>
                  <w:t xml:space="preserve">Atonality refers to </w:t>
                </w:r>
                <w:r w:rsidRPr="005F2787">
                  <w:t>the complete absence of tonality in a musical composition.</w:t>
                </w:r>
                <w:r>
                  <w:t xml:space="preserve"> </w:t>
                </w:r>
                <w:r w:rsidRPr="005F2787">
                  <w:t xml:space="preserve">In music, it is often claimed that modernism stands in opposition to classicism or romanticism, even though </w:t>
                </w:r>
                <w:r>
                  <w:t>music from late</w:t>
                </w:r>
                <w:r w:rsidRPr="005F2787">
                  <w:t xml:space="preserve"> </w:t>
                </w:r>
                <w:r>
                  <w:t xml:space="preserve">Beethoven </w:t>
                </w:r>
                <w:r w:rsidRPr="005F2787">
                  <w:t xml:space="preserve">(1820s) to early </w:t>
                </w:r>
                <w:r>
                  <w:t xml:space="preserve">Schoenberg </w:t>
                </w:r>
                <w:r w:rsidRPr="005F2787">
                  <w:t>(1900s) sees elements of modernist disjunction emerging from, interacting, and conflicting with</w:t>
                </w:r>
                <w:r>
                  <w:t xml:space="preserve">, </w:t>
                </w:r>
                <w:r w:rsidRPr="005F2787">
                  <w:t>elements of classicism and romanticism.</w:t>
                </w:r>
                <w:r w:rsidR="008A34C0">
                  <w:t xml:space="preserve"> </w:t>
                </w:r>
                <w:r w:rsidRPr="005F2787">
                  <w:t>By the same token, atonality stand</w:t>
                </w:r>
                <w:r>
                  <w:t>s</w:t>
                </w:r>
                <w:r w:rsidRPr="005F2787">
                  <w:t xml:space="preserve"> in opposition to tonality, even if </w:t>
                </w:r>
                <w:r>
                  <w:t xml:space="preserve">atonal </w:t>
                </w:r>
                <w:r w:rsidRPr="005F2787">
                  <w:t xml:space="preserve">music </w:t>
                </w:r>
                <w:r>
                  <w:t>involves</w:t>
                </w:r>
                <w:r w:rsidRPr="005F2787">
                  <w:t xml:space="preserve"> the increasing enrichment of diatonic tonality with chromatic elements that, particularly from</w:t>
                </w:r>
                <w:r>
                  <w:t xml:space="preserve"> Liszt</w:t>
                </w:r>
                <w:r w:rsidRPr="005F2787">
                  <w:t xml:space="preserve"> and </w:t>
                </w:r>
                <w:r>
                  <w:t xml:space="preserve">Wagner onwards, tend to undermine or </w:t>
                </w:r>
                <w:r w:rsidRPr="005F2787">
                  <w:t>reinforce the structural stability of diatonic fundamentals.</w:t>
                </w:r>
              </w:p>
            </w:tc>
            <w:bookmarkStart w:id="0" w:name="_GoBack" w:displacedByCustomXml="next"/>
            <w:bookmarkEnd w:id="0" w:displacedByCustomXml="next"/>
          </w:sdtContent>
        </w:sdt>
      </w:tr>
      <w:tr w:rsidR="003F0D73" w14:paraId="63D8B75E" w14:textId="77777777" w:rsidTr="003F0D73">
        <w:tc>
          <w:tcPr>
            <w:tcW w:w="9016" w:type="dxa"/>
            <w:tcMar>
              <w:top w:w="113" w:type="dxa"/>
              <w:bottom w:w="113" w:type="dxa"/>
            </w:tcMar>
          </w:tcPr>
          <w:p w14:paraId="503ADC24" w14:textId="57581A86" w:rsidR="007B7A34" w:rsidRPr="005F2787" w:rsidRDefault="00013ACF" w:rsidP="00441C2A">
            <w:r>
              <w:t xml:space="preserve">Atonality refers to </w:t>
            </w:r>
            <w:r w:rsidR="007B7A34" w:rsidRPr="005F2787">
              <w:t>the complete absence of tonality in a musical composition.</w:t>
            </w:r>
            <w:r w:rsidR="008E1A99">
              <w:t xml:space="preserve"> </w:t>
            </w:r>
            <w:r w:rsidR="007B7A34" w:rsidRPr="005F2787">
              <w:t xml:space="preserve">In music, it is often claimed that modernism stands in opposition to classicism or romanticism, even though </w:t>
            </w:r>
            <w:r>
              <w:t>music from late</w:t>
            </w:r>
            <w:r w:rsidR="007B7A34" w:rsidRPr="005F2787">
              <w:t xml:space="preserve"> </w:t>
            </w:r>
            <w:r w:rsidR="00502501">
              <w:t xml:space="preserve">Beethoven </w:t>
            </w:r>
            <w:r w:rsidR="007B7A34" w:rsidRPr="005F2787">
              <w:t xml:space="preserve">(1820s) to early </w:t>
            </w:r>
            <w:r w:rsidR="00502501">
              <w:t xml:space="preserve">Schoenberg </w:t>
            </w:r>
            <w:r w:rsidR="007B7A34" w:rsidRPr="005F2787">
              <w:t>(1900s) sees elements of modernist disjunction emerging from, interacting, and conflicting with</w:t>
            </w:r>
            <w:r w:rsidR="00B74FF2">
              <w:t>,</w:t>
            </w:r>
            <w:r w:rsidR="00D14069">
              <w:t xml:space="preserve"> </w:t>
            </w:r>
            <w:r w:rsidR="007B7A34" w:rsidRPr="005F2787">
              <w:t>elements of classicism and romanticism.</w:t>
            </w:r>
            <w:r w:rsidR="008A34C0">
              <w:t xml:space="preserve"> </w:t>
            </w:r>
            <w:r w:rsidR="007B7A34" w:rsidRPr="005F2787">
              <w:t>By the same token, atonality stand</w:t>
            </w:r>
            <w:r w:rsidR="00B74FF2">
              <w:t>s</w:t>
            </w:r>
            <w:r w:rsidR="007B7A34" w:rsidRPr="005F2787">
              <w:t xml:space="preserve"> in opposition to tonality, even if </w:t>
            </w:r>
            <w:r w:rsidR="00B74FF2">
              <w:t xml:space="preserve">atonal </w:t>
            </w:r>
            <w:r w:rsidR="007B7A34" w:rsidRPr="005F2787">
              <w:t xml:space="preserve">music </w:t>
            </w:r>
            <w:r w:rsidR="00EC0CAB">
              <w:t>involves</w:t>
            </w:r>
            <w:r w:rsidR="007B7A34" w:rsidRPr="005F2787">
              <w:t xml:space="preserve"> the increasing enrichment of diatonic tonality with chromatic elements that, particularly from</w:t>
            </w:r>
            <w:r w:rsidR="00E12876">
              <w:t xml:space="preserve"> Liszt</w:t>
            </w:r>
            <w:r w:rsidR="007B7A34" w:rsidRPr="005F2787">
              <w:t xml:space="preserve"> and </w:t>
            </w:r>
            <w:r w:rsidR="00E12876">
              <w:t xml:space="preserve">Wagner </w:t>
            </w:r>
            <w:r w:rsidR="00EC0CAB">
              <w:t>onwards, tend</w:t>
            </w:r>
            <w:r w:rsidR="00B74FF2">
              <w:t xml:space="preserve"> to undermine or </w:t>
            </w:r>
            <w:r w:rsidR="007B7A34" w:rsidRPr="005F2787">
              <w:t>reinforce the structural stability of diatonic fundamentals.</w:t>
            </w:r>
          </w:p>
          <w:p w14:paraId="3A9710E1" w14:textId="77777777" w:rsidR="00441C2A" w:rsidRDefault="00441C2A" w:rsidP="00441C2A"/>
          <w:p w14:paraId="7D1C333B" w14:textId="5EA161CC" w:rsidR="007B7A34" w:rsidRPr="005F2787" w:rsidRDefault="007B7A34" w:rsidP="00441C2A">
            <w:r w:rsidRPr="005F2787">
              <w:t xml:space="preserve">Music theorists since </w:t>
            </w:r>
            <w:r w:rsidR="008E1A99">
              <w:t>Schoenberg</w:t>
            </w:r>
            <w:r w:rsidR="008E1A99" w:rsidRPr="005F2787">
              <w:t xml:space="preserve"> </w:t>
            </w:r>
            <w:r w:rsidRPr="005F2787">
              <w:t>have bee</w:t>
            </w:r>
            <w:r w:rsidR="00EC0CAB">
              <w:t xml:space="preserve">n divided over the validity of </w:t>
            </w:r>
            <w:r w:rsidRPr="005F2787">
              <w:t>atonal</w:t>
            </w:r>
            <w:r w:rsidR="00EC0CAB">
              <w:t>ity</w:t>
            </w:r>
            <w:r w:rsidRPr="005F2787">
              <w:t xml:space="preserve"> as a meaningful concept. </w:t>
            </w:r>
            <w:r w:rsidR="008E1A99">
              <w:t>Schoenberg</w:t>
            </w:r>
            <w:r w:rsidR="008E1A99" w:rsidRPr="005F2787">
              <w:t xml:space="preserve"> </w:t>
            </w:r>
            <w:r w:rsidRPr="005F2787">
              <w:t xml:space="preserve">himself rejected the term on the grounds of its negative connotations, and his own music demonstrates how difficult it is in practice to make hard and fast distinctions between compositions in which no suggestion of tonal formations of any kind can be distinguished and those which demonstrate the kind of passing allusions that </w:t>
            </w:r>
            <w:r w:rsidR="008E1A99">
              <w:t>Schoenberg</w:t>
            </w:r>
            <w:r w:rsidR="008E1A99" w:rsidRPr="005F2787">
              <w:t xml:space="preserve"> </w:t>
            </w:r>
            <w:r w:rsidR="00EC0CAB">
              <w:t>identified</w:t>
            </w:r>
            <w:r w:rsidRPr="005F2787">
              <w:t xml:space="preserve"> </w:t>
            </w:r>
            <w:r w:rsidR="00EC0CAB">
              <w:t xml:space="preserve">as </w:t>
            </w:r>
            <w:r w:rsidR="008A34C0">
              <w:t>‘</w:t>
            </w:r>
            <w:r w:rsidR="00EC0CAB">
              <w:t>suspended tonality</w:t>
            </w:r>
            <w:r w:rsidR="008A34C0">
              <w:t>’</w:t>
            </w:r>
            <w:r w:rsidR="00EC0CAB">
              <w:t xml:space="preserve"> and </w:t>
            </w:r>
            <w:r w:rsidR="008A34C0">
              <w:t>‘</w:t>
            </w:r>
            <w:proofErr w:type="spellStart"/>
            <w:r w:rsidRPr="005F2787">
              <w:t>pantonality</w:t>
            </w:r>
            <w:proofErr w:type="spellEnd"/>
            <w:r w:rsidR="008A34C0">
              <w:t xml:space="preserve">’. </w:t>
            </w:r>
          </w:p>
          <w:p w14:paraId="5A8F63FE" w14:textId="77777777" w:rsidR="00441C2A" w:rsidRDefault="00441C2A" w:rsidP="00441C2A"/>
          <w:p w14:paraId="1ED4C6BB" w14:textId="3EFFA35C" w:rsidR="00000B0D" w:rsidRPr="00000B0D" w:rsidRDefault="007B7A34" w:rsidP="00E23F78">
            <w:r w:rsidRPr="005F2787">
              <w:t xml:space="preserve">Theorists who use ‘atonality’ tend to do so either because it is a conveniently pithy term whose definition can involve constructive critique, or because their understanding of tonality is based on the rigorously diatonic concepts of </w:t>
            </w:r>
            <w:r w:rsidR="00E073CC">
              <w:t xml:space="preserve">Heinrich </w:t>
            </w:r>
            <w:proofErr w:type="spellStart"/>
            <w:r w:rsidRPr="005F2787">
              <w:t>S</w:t>
            </w:r>
            <w:r>
              <w:t>v</w:t>
            </w:r>
            <w:r w:rsidRPr="005F2787">
              <w:t>chenker</w:t>
            </w:r>
            <w:proofErr w:type="spellEnd"/>
            <w:r w:rsidRPr="005F2787">
              <w:t xml:space="preserve">; from that perspective it certainly makes sense to define all compositions that cannot be shown to conform to </w:t>
            </w:r>
            <w:proofErr w:type="spellStart"/>
            <w:r w:rsidRPr="005F2787">
              <w:t>Schenkerian</w:t>
            </w:r>
            <w:proofErr w:type="spellEnd"/>
            <w:r w:rsidRPr="005F2787">
              <w:t xml:space="preserve"> principles as atonal.</w:t>
            </w:r>
            <w:r w:rsidR="008A34C0">
              <w:t xml:space="preserve"> </w:t>
            </w:r>
            <w:r w:rsidRPr="005F2787">
              <w:t xml:space="preserve">There has nevertheless been considerable support for attempting to distinguish between unambiguously atonal compositions, such as </w:t>
            </w:r>
            <w:r w:rsidR="008E1A99">
              <w:t>Schoenberg’</w:t>
            </w:r>
            <w:r w:rsidRPr="005F2787">
              <w:t xml:space="preserve">s </w:t>
            </w:r>
            <w:r w:rsidR="00E073CC">
              <w:t xml:space="preserve">String Quartet No. 4 </w:t>
            </w:r>
            <w:r w:rsidR="00306082">
              <w:t>(</w:t>
            </w:r>
            <w:r w:rsidRPr="005F2787">
              <w:t>1936)</w:t>
            </w:r>
            <w:r w:rsidR="00856E74">
              <w:t>,</w:t>
            </w:r>
            <w:r w:rsidRPr="005F2787">
              <w:t xml:space="preserve"> which</w:t>
            </w:r>
            <w:r w:rsidR="009F555E">
              <w:t xml:space="preserve"> </w:t>
            </w:r>
            <w:r w:rsidRPr="005F2787">
              <w:t>use</w:t>
            </w:r>
            <w:r w:rsidR="009F555E">
              <w:t>s</w:t>
            </w:r>
            <w:r w:rsidRPr="005F2787">
              <w:t xml:space="preserve"> twe</w:t>
            </w:r>
            <w:r w:rsidR="003A4F9E">
              <w:t>lve-tone technique in ways that</w:t>
            </w:r>
            <w:r w:rsidRPr="005F2787">
              <w:t xml:space="preserve"> fit well with Schoenberg’s own understanding of suspended tonality or </w:t>
            </w:r>
            <w:proofErr w:type="spellStart"/>
            <w:r w:rsidRPr="005F2787">
              <w:t>pantonality</w:t>
            </w:r>
            <w:proofErr w:type="spellEnd"/>
            <w:r w:rsidRPr="005F2787">
              <w:t>. Whether or not a systematic analytical method can ever be devised for definitively proving the presence of such post-tonal elements, the use of essentially hierarchical modes of thought by leading modernist composers in the years since 1960 lends support to the view that atonality, while not impossible, is not simply to be equated with the absence of the kind of tonal structures that predominated in music before the twentieth century.</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0AB44DC2" w14:textId="1CD785B9" w:rsidR="007B7A34" w:rsidRPr="005F2787" w:rsidRDefault="00B70046" w:rsidP="00ED0F8A">
            <w:sdt>
              <w:sdtPr>
                <w:id w:val="-401758510"/>
                <w:citation/>
              </w:sdtPr>
              <w:sdtEndPr/>
              <w:sdtContent>
                <w:r w:rsidR="00ED0F8A">
                  <w:fldChar w:fldCharType="begin"/>
                </w:r>
                <w:r w:rsidR="00ED0F8A">
                  <w:rPr>
                    <w:lang w:val="en-US"/>
                  </w:rPr>
                  <w:instrText xml:space="preserve"> CITATION For73 \l 1033 </w:instrText>
                </w:r>
                <w:r w:rsidR="00ED0F8A">
                  <w:fldChar w:fldCharType="separate"/>
                </w:r>
                <w:r w:rsidR="00ED0F8A" w:rsidRPr="00ED0F8A">
                  <w:rPr>
                    <w:noProof/>
                    <w:lang w:val="en-US"/>
                  </w:rPr>
                  <w:t>(Forte)</w:t>
                </w:r>
                <w:r w:rsidR="00ED0F8A">
                  <w:fldChar w:fldCharType="end"/>
                </w:r>
              </w:sdtContent>
            </w:sdt>
          </w:p>
          <w:p w14:paraId="55918401" w14:textId="4736F1DB" w:rsidR="007B7A34" w:rsidRDefault="00B70046" w:rsidP="00ED0F8A">
            <w:sdt>
              <w:sdtPr>
                <w:id w:val="1156958136"/>
                <w:citation/>
              </w:sdtPr>
              <w:sdtEndPr/>
              <w:sdtContent>
                <w:r w:rsidR="00ED0F8A">
                  <w:fldChar w:fldCharType="begin"/>
                </w:r>
                <w:r w:rsidR="00ED0F8A">
                  <w:rPr>
                    <w:lang w:val="en-US"/>
                  </w:rPr>
                  <w:instrText xml:space="preserve"> CITATION Kur01 \l 1033 </w:instrText>
                </w:r>
                <w:r w:rsidR="00ED0F8A">
                  <w:fldChar w:fldCharType="separate"/>
                </w:r>
                <w:r w:rsidR="00ED0F8A" w:rsidRPr="00ED0F8A">
                  <w:rPr>
                    <w:noProof/>
                    <w:lang w:val="en-US"/>
                  </w:rPr>
                  <w:t>(Kurth)</w:t>
                </w:r>
                <w:r w:rsidR="00ED0F8A">
                  <w:fldChar w:fldCharType="end"/>
                </w:r>
              </w:sdtContent>
            </w:sdt>
          </w:p>
          <w:p w14:paraId="4A820E80" w14:textId="23FE7352" w:rsidR="007B7A34" w:rsidRDefault="00B70046" w:rsidP="00ED0F8A">
            <w:sdt>
              <w:sdtPr>
                <w:id w:val="-1527093240"/>
                <w:citation/>
              </w:sdtPr>
              <w:sdtEndPr/>
              <w:sdtContent>
                <w:r w:rsidR="00ED0F8A">
                  <w:fldChar w:fldCharType="begin"/>
                </w:r>
                <w:r w:rsidR="00ED0F8A">
                  <w:rPr>
                    <w:lang w:val="en-US"/>
                  </w:rPr>
                  <w:instrText xml:space="preserve"> CITATION Per77 \l 1033 </w:instrText>
                </w:r>
                <w:r w:rsidR="00ED0F8A">
                  <w:fldChar w:fldCharType="separate"/>
                </w:r>
                <w:r w:rsidR="00ED0F8A" w:rsidRPr="00ED0F8A">
                  <w:rPr>
                    <w:noProof/>
                    <w:lang w:val="en-US"/>
                  </w:rPr>
                  <w:t>(Perle)</w:t>
                </w:r>
                <w:r w:rsidR="00ED0F8A">
                  <w:fldChar w:fldCharType="end"/>
                </w:r>
              </w:sdtContent>
            </w:sdt>
          </w:p>
          <w:p w14:paraId="14F05B57" w14:textId="0D843143" w:rsidR="00210AC9" w:rsidRDefault="00B70046" w:rsidP="00ED0F8A">
            <w:sdt>
              <w:sdtPr>
                <w:id w:val="-674101614"/>
                <w:citation/>
              </w:sdtPr>
              <w:sdtEndPr/>
              <w:sdtContent>
                <w:r w:rsidR="00ED0F8A">
                  <w:fldChar w:fldCharType="begin"/>
                </w:r>
                <w:r w:rsidR="00ED0F8A">
                  <w:rPr>
                    <w:lang w:val="en-US"/>
                  </w:rPr>
                  <w:instrText xml:space="preserve"> CITATION Roi08 \l 1033 </w:instrText>
                </w:r>
                <w:r w:rsidR="00ED0F8A">
                  <w:fldChar w:fldCharType="separate"/>
                </w:r>
                <w:r w:rsidR="00ED0F8A" w:rsidRPr="00ED0F8A">
                  <w:rPr>
                    <w:noProof/>
                    <w:lang w:val="en-US"/>
                  </w:rPr>
                  <w:t>(Roig-Francolí)</w:t>
                </w:r>
                <w:r w:rsidR="00ED0F8A">
                  <w:fldChar w:fldCharType="end"/>
                </w:r>
              </w:sdtContent>
            </w:sdt>
          </w:p>
          <w:p w14:paraId="7A73332A" w14:textId="49008A3B" w:rsidR="007B7A34" w:rsidRDefault="00B70046" w:rsidP="00ED0F8A">
            <w:sdt>
              <w:sdtPr>
                <w:id w:val="1752158548"/>
                <w:citation/>
              </w:sdtPr>
              <w:sdtEndPr/>
              <w:sdtContent>
                <w:r w:rsidR="00ED0F8A">
                  <w:fldChar w:fldCharType="begin"/>
                </w:r>
                <w:r w:rsidR="00ED0F8A">
                  <w:rPr>
                    <w:lang w:val="en-US"/>
                  </w:rPr>
                  <w:instrText xml:space="preserve"> CITATION Sch08 \l 1033 </w:instrText>
                </w:r>
                <w:r w:rsidR="00ED0F8A">
                  <w:fldChar w:fldCharType="separate"/>
                </w:r>
                <w:r w:rsidR="00ED0F8A" w:rsidRPr="00ED0F8A">
                  <w:rPr>
                    <w:noProof/>
                    <w:lang w:val="en-US"/>
                  </w:rPr>
                  <w:t>(Schuijer)</w:t>
                </w:r>
                <w:r w:rsidR="00ED0F8A">
                  <w:fldChar w:fldCharType="end"/>
                </w:r>
              </w:sdtContent>
            </w:sdt>
          </w:p>
          <w:p w14:paraId="63759E06" w14:textId="4E9924CD" w:rsidR="002A756B" w:rsidRPr="00ED0F8A" w:rsidRDefault="00B70046" w:rsidP="00ED0F8A">
            <w:sdt>
              <w:sdtPr>
                <w:id w:val="-1036659056"/>
                <w:citation/>
              </w:sdtPr>
              <w:sdtEndPr/>
              <w:sdtContent>
                <w:r w:rsidR="00ED0F8A">
                  <w:fldChar w:fldCharType="begin"/>
                </w:r>
                <w:r w:rsidR="00ED0F8A">
                  <w:rPr>
                    <w:lang w:val="en-US"/>
                  </w:rPr>
                  <w:instrText xml:space="preserve"> CITATION Str05 \l 1033 </w:instrText>
                </w:r>
                <w:r w:rsidR="00ED0F8A">
                  <w:fldChar w:fldCharType="separate"/>
                </w:r>
                <w:r w:rsidR="00ED0F8A" w:rsidRPr="00ED0F8A">
                  <w:rPr>
                    <w:noProof/>
                    <w:lang w:val="en-US"/>
                  </w:rPr>
                  <w:t>(Straus)</w:t>
                </w:r>
                <w:r w:rsidR="00ED0F8A">
                  <w:fldChar w:fldCharType="end"/>
                </w:r>
              </w:sdtContent>
            </w:sdt>
          </w:p>
        </w:tc>
      </w:tr>
    </w:tbl>
    <w:p w14:paraId="4D036C04"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9C1781" w14:textId="77777777" w:rsidR="00B70046" w:rsidRDefault="00B70046" w:rsidP="007A0D55">
      <w:pPr>
        <w:spacing w:after="0" w:line="240" w:lineRule="auto"/>
      </w:pPr>
      <w:r>
        <w:separator/>
      </w:r>
    </w:p>
  </w:endnote>
  <w:endnote w:type="continuationSeparator" w:id="0">
    <w:p w14:paraId="5A43C3E8" w14:textId="77777777" w:rsidR="00B70046" w:rsidRDefault="00B700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E5AB7A" w14:textId="77777777" w:rsidR="00B70046" w:rsidRDefault="00B70046" w:rsidP="007A0D55">
      <w:pPr>
        <w:spacing w:after="0" w:line="240" w:lineRule="auto"/>
      </w:pPr>
      <w:r>
        <w:separator/>
      </w:r>
    </w:p>
  </w:footnote>
  <w:footnote w:type="continuationSeparator" w:id="0">
    <w:p w14:paraId="1C4B8A1A" w14:textId="77777777" w:rsidR="00B70046" w:rsidRDefault="00B70046"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4489E" w14:textId="77777777" w:rsidR="00210AC9" w:rsidRDefault="00210AC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210AC9" w:rsidRDefault="00210A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13ACF"/>
    <w:rsid w:val="00032559"/>
    <w:rsid w:val="00052040"/>
    <w:rsid w:val="000B25AE"/>
    <w:rsid w:val="000B55AB"/>
    <w:rsid w:val="000D24DC"/>
    <w:rsid w:val="000F721C"/>
    <w:rsid w:val="00101B2E"/>
    <w:rsid w:val="00116FA0"/>
    <w:rsid w:val="00147FBB"/>
    <w:rsid w:val="0015114C"/>
    <w:rsid w:val="001A21F3"/>
    <w:rsid w:val="001A2537"/>
    <w:rsid w:val="001A6A06"/>
    <w:rsid w:val="00210AC9"/>
    <w:rsid w:val="00210C03"/>
    <w:rsid w:val="002162E2"/>
    <w:rsid w:val="00225C5A"/>
    <w:rsid w:val="00230B10"/>
    <w:rsid w:val="00234353"/>
    <w:rsid w:val="00244BB0"/>
    <w:rsid w:val="002A0A0D"/>
    <w:rsid w:val="002A756B"/>
    <w:rsid w:val="002B0B37"/>
    <w:rsid w:val="002C598C"/>
    <w:rsid w:val="00306082"/>
    <w:rsid w:val="0030662D"/>
    <w:rsid w:val="003235A7"/>
    <w:rsid w:val="003677B6"/>
    <w:rsid w:val="003A4F9E"/>
    <w:rsid w:val="003D3579"/>
    <w:rsid w:val="003E2795"/>
    <w:rsid w:val="003F0D73"/>
    <w:rsid w:val="00441C2A"/>
    <w:rsid w:val="00462DBE"/>
    <w:rsid w:val="00464699"/>
    <w:rsid w:val="00483379"/>
    <w:rsid w:val="00487BC5"/>
    <w:rsid w:val="00496888"/>
    <w:rsid w:val="004A7476"/>
    <w:rsid w:val="004E5896"/>
    <w:rsid w:val="00502501"/>
    <w:rsid w:val="00510B92"/>
    <w:rsid w:val="00513EE6"/>
    <w:rsid w:val="00522EA3"/>
    <w:rsid w:val="00534F8F"/>
    <w:rsid w:val="00590035"/>
    <w:rsid w:val="005B177E"/>
    <w:rsid w:val="005B3921"/>
    <w:rsid w:val="005B40A5"/>
    <w:rsid w:val="005F26D7"/>
    <w:rsid w:val="005F5450"/>
    <w:rsid w:val="00602F9F"/>
    <w:rsid w:val="006D0412"/>
    <w:rsid w:val="00737AD5"/>
    <w:rsid w:val="007411B9"/>
    <w:rsid w:val="00780D95"/>
    <w:rsid w:val="00780DC7"/>
    <w:rsid w:val="007A0D55"/>
    <w:rsid w:val="007B3377"/>
    <w:rsid w:val="007B7A34"/>
    <w:rsid w:val="007E5F44"/>
    <w:rsid w:val="00802B84"/>
    <w:rsid w:val="00821DE3"/>
    <w:rsid w:val="00846CE1"/>
    <w:rsid w:val="00853C4A"/>
    <w:rsid w:val="00856E74"/>
    <w:rsid w:val="00897586"/>
    <w:rsid w:val="008A34C0"/>
    <w:rsid w:val="008A3713"/>
    <w:rsid w:val="008A5B87"/>
    <w:rsid w:val="008E1A99"/>
    <w:rsid w:val="00922950"/>
    <w:rsid w:val="009724C5"/>
    <w:rsid w:val="009A7264"/>
    <w:rsid w:val="009D1606"/>
    <w:rsid w:val="009D76F5"/>
    <w:rsid w:val="009E18A1"/>
    <w:rsid w:val="009E73D7"/>
    <w:rsid w:val="009F555E"/>
    <w:rsid w:val="00A27D2C"/>
    <w:rsid w:val="00A76FD9"/>
    <w:rsid w:val="00AB436D"/>
    <w:rsid w:val="00AD2F24"/>
    <w:rsid w:val="00AD4844"/>
    <w:rsid w:val="00B219AE"/>
    <w:rsid w:val="00B33145"/>
    <w:rsid w:val="00B574C9"/>
    <w:rsid w:val="00B70046"/>
    <w:rsid w:val="00B74FF2"/>
    <w:rsid w:val="00BC39C9"/>
    <w:rsid w:val="00BE5BF7"/>
    <w:rsid w:val="00BF40E1"/>
    <w:rsid w:val="00C27FAB"/>
    <w:rsid w:val="00C358D4"/>
    <w:rsid w:val="00C55FAE"/>
    <w:rsid w:val="00C6296B"/>
    <w:rsid w:val="00CC586D"/>
    <w:rsid w:val="00CF1542"/>
    <w:rsid w:val="00CF3EC5"/>
    <w:rsid w:val="00D14069"/>
    <w:rsid w:val="00D656DA"/>
    <w:rsid w:val="00D83300"/>
    <w:rsid w:val="00DC6B48"/>
    <w:rsid w:val="00DF01B0"/>
    <w:rsid w:val="00E073CC"/>
    <w:rsid w:val="00E12876"/>
    <w:rsid w:val="00E23F78"/>
    <w:rsid w:val="00E76A27"/>
    <w:rsid w:val="00E85A05"/>
    <w:rsid w:val="00E95829"/>
    <w:rsid w:val="00EA606C"/>
    <w:rsid w:val="00EB0C8C"/>
    <w:rsid w:val="00EB51FD"/>
    <w:rsid w:val="00EB77DB"/>
    <w:rsid w:val="00EC0CAB"/>
    <w:rsid w:val="00ED0F8A"/>
    <w:rsid w:val="00ED139F"/>
    <w:rsid w:val="00EF74F7"/>
    <w:rsid w:val="00F36937"/>
    <w:rsid w:val="00F60F53"/>
    <w:rsid w:val="00F75111"/>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09744"/>
  <w15:docId w15:val="{057FB100-F08E-460F-BA2D-FD201DFF6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551771"/>
    <w:rsid w:val="00985B12"/>
    <w:rsid w:val="00BE6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Per77</b:Tag>
    <b:SourceType>Book</b:SourceType>
    <b:Guid>{EDBC5717-D6EC-774F-8CC7-28D7BD885849}</b:Guid>
    <b:Title>Serial Composition and Atonality</b:Title>
    <b:City>Berkeley, Los Angeles, and London</b:City>
    <b:Year>1962; 1977</b:Year>
    <b:Comments>A pioneering analytical study of differences and similarities between "free atonality" and twelve-tone composition.</b:Comments>
    <b:Author>
      <b:Author>
        <b:NameList>
          <b:Person>
            <b:Last>Perle</b:Last>
            <b:First>George</b:First>
          </b:Person>
        </b:NameList>
      </b:Author>
    </b:Author>
    <b:RefOrder>3</b:RefOrder>
  </b:Source>
  <b:Source>
    <b:Tag>For73</b:Tag>
    <b:SourceType>Book</b:SourceType>
    <b:Guid>{695AE841-7E42-4D48-8016-2B1FC58D1A2E}</b:Guid>
    <b:Author>
      <b:Author>
        <b:NameList>
          <b:Person>
            <b:Last>Forte</b:Last>
            <b:First>Allen</b:First>
          </b:Person>
        </b:NameList>
      </b:Author>
    </b:Author>
    <b:Title>The Structure of Atonal Music</b:Title>
    <b:City>New Haven</b:City>
    <b:Year>1973</b:Year>
    <b:Comments>The first book-length formulation of a systematic technical basis for the analysis of atonal (as distinct from twelve-tone) pitch formations.</b:Comments>
    <b:RefOrder>1</b:RefOrder>
  </b:Source>
  <b:Source>
    <b:Tag>Str05</b:Tag>
    <b:SourceType>Book</b:SourceType>
    <b:Guid>{4A81FC21-B9E9-384B-8816-0E982ED43E6B}</b:Guid>
    <b:Author>
      <b:Author>
        <b:NameList>
          <b:Person>
            <b:Last>Straus</b:Last>
            <b:First>Joseph</b:First>
            <b:Middle>N.</b:Middle>
          </b:Person>
        </b:NameList>
      </b:Author>
    </b:Author>
    <b:Title>Introduction to Post-Tonal Theory</b:Title>
    <b:City>Englewood Cliffs</b:City>
    <b:StateProvince>NJ</b:StateProvince>
    <b:Year>1990; 2005</b:Year>
    <b:Comments>Outlines a comprehensive course of study exploring the post-tonal music of Schoenberg, Berg, Webern, Bartók, and Stravinsky.</b:Comments>
    <b:RefOrder>6</b:RefOrder>
  </b:Source>
  <b:Source>
    <b:Tag>Kur01</b:Tag>
    <b:SourceType>JournalArticle</b:SourceType>
    <b:Guid>{8A311AA4-1612-C142-9581-6AC587AACF47}</b:Guid>
    <b:Title>Suspended Tonalities in Schoenberg’s Twelve-Tone Compositions</b:Title>
    <b:Year>2001</b:Year>
    <b:Volume>3</b:Volume>
    <b:Comments>A concise exposition of the issues involved in Schoenberg’s rejection of the term atonality and his concepts of suspended tonality, or pantonality.</b:Comments>
    <b:Author>
      <b:Author>
        <b:NameList>
          <b:Person>
            <b:Last>Kurth</b:Last>
            <b:First>Richard</b:First>
          </b:Person>
        </b:NameList>
      </b:Author>
    </b:Author>
    <b:JournalName>Journal of the Arnold Schoenberg Center</b:JournalName>
    <b:RefOrder>2</b:RefOrder>
  </b:Source>
  <b:Source>
    <b:Tag>Roi08</b:Tag>
    <b:SourceType>Book</b:SourceType>
    <b:Guid>{348A17BB-7099-EF40-95B1-362FC3F7973A}</b:Guid>
    <b:Title>Understanding Post-Tonal Music</b:Title>
    <b:City>New York</b:City>
    <b:Year>2008</b:Year>
    <b:Comments>This is essentially a textbook that includes a wide range of analytical summaries, ranging from Debussy and Stravinsky to Adès and Saariaho.</b:Comments>
    <b:Author>
      <b:Author>
        <b:NameList>
          <b:Person>
            <b:Last>Roig-Francolí</b:Last>
            <b:First>Miguel</b:First>
            <b:Middle>A.</b:Middle>
          </b:Person>
        </b:NameList>
      </b:Author>
    </b:Author>
    <b:StateProvince>NY</b:StateProvince>
    <b:RefOrder>4</b:RefOrder>
  </b:Source>
  <b:Source>
    <b:Tag>Sch08</b:Tag>
    <b:SourceType>Book</b:SourceType>
    <b:Guid>{782FC422-9E52-4845-B525-2C33ED56879D}</b:Guid>
    <b:Author>
      <b:Author>
        <b:NameList>
          <b:Person>
            <b:Last>Schuijer</b:Last>
            <b:First>Michiel</b:First>
          </b:Person>
        </b:NameList>
      </b:Author>
    </b:Author>
    <b:Title>Analyzing Atonal Music</b:Title>
    <b:City>Rochester</b:City>
    <b:StateProvince>NY</b:StateProvince>
    <b:Year>2008</b:Year>
    <b:Comments>As its subtitle indicates, this is an extended critical and historical study of the literature relating to "pitch-class set theory and its contexts."</b:Comments>
    <b:RefOrder>5</b:RefOrder>
  </b:Source>
</b:Sources>
</file>

<file path=customXml/itemProps1.xml><?xml version="1.0" encoding="utf-8"?>
<ds:datastoreItem xmlns:ds="http://schemas.openxmlformats.org/officeDocument/2006/customXml" ds:itemID="{B167E933-45A7-44C3-8596-8A3696C42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Rachelle Ann Tan</cp:lastModifiedBy>
  <cp:revision>27</cp:revision>
  <dcterms:created xsi:type="dcterms:W3CDTF">2014-06-17T02:59:00Z</dcterms:created>
  <dcterms:modified xsi:type="dcterms:W3CDTF">2016-05-11T18:31:00Z</dcterms:modified>
</cp:coreProperties>
</file>