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4D6FEF" w:rsidP="004D6FEF">
                <w:r>
                  <w:t>Sandra</w:t>
                </w:r>
              </w:p>
            </w:tc>
          </w:sdtContent>
        </w:sdt>
        <w:bookmarkStart w:id="0" w:name="_GoBack" w:displacedByCustomXml="prev"/>
        <w:bookmarkEnd w:id="0" w:displacedByCustomXml="prev"/>
        <w:sdt>
          <w:sdtPr>
            <w:alias w:val="Middle name"/>
            <w:tag w:val="authorMiddleName"/>
            <w:id w:val="-2076034781"/>
            <w:placeholder>
              <w:docPart w:val="59EF40A0DFDC4AE38922C90B917DAAC5"/>
            </w:placeholder>
            <w:text/>
          </w:sdtPr>
          <w:sdtEndPr/>
          <w:sdtContent>
            <w:tc>
              <w:tcPr>
                <w:tcW w:w="2551" w:type="dxa"/>
              </w:tcPr>
              <w:p w:rsidR="00B574C9" w:rsidRDefault="004D6FEF" w:rsidP="004D6FEF">
                <w:r>
                  <w:t>L.</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4D6FEF" w:rsidP="004D6FEF">
                <w:proofErr w:type="spellStart"/>
                <w:r>
                  <w:t>Bermann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4D6FEF" w:rsidP="004D6FEF">
                <w:r>
                  <w:rPr>
                    <w:lang w:val="en-US"/>
                  </w:rPr>
                  <w:t>Princeton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4D6FEF" w:rsidP="004D6FEF">
                <w:pPr>
                  <w:rPr>
                    <w:b/>
                  </w:rPr>
                </w:pPr>
                <w:r w:rsidRPr="004D6FEF">
                  <w:rPr>
                    <w:lang w:val="en-CA"/>
                  </w:rPr>
                  <w:t>Char, René (1907-88)</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4D6FEF" w:rsidP="005E0090">
                <w:r>
                  <w:t xml:space="preserve">The French poet René Char exemplified key aspects of modernism. He was associated with Surrealism from its early beginnings due to his collaborations with poets such as André Breton and Paul </w:t>
                </w:r>
                <w:proofErr w:type="spellStart"/>
                <w:r>
                  <w:t>Eluard</w:t>
                </w:r>
                <w:proofErr w:type="spellEnd"/>
                <w:r>
                  <w:t xml:space="preserve">, and painters such as Pablo Picasso, Georges Braque, and Nicolas de Stael. Later, during World War II, Char led a Resistance unit in the </w:t>
                </w:r>
                <w:proofErr w:type="spellStart"/>
                <w:r>
                  <w:t>Maquis</w:t>
                </w:r>
                <w:proofErr w:type="spellEnd"/>
                <w:r>
                  <w:t>, winning renown as ‘</w:t>
                </w:r>
                <w:proofErr w:type="spellStart"/>
                <w:r>
                  <w:t>Capitaine</w:t>
                </w:r>
                <w:proofErr w:type="spellEnd"/>
                <w:r>
                  <w:t xml:space="preserve"> Alexandre.’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4D6FEF" w:rsidRDefault="004D6FEF" w:rsidP="004D6FEF">
                    <w:r>
                      <w:t xml:space="preserve">The French poet René Char exemplified key aspects of modernism. </w:t>
                    </w:r>
                    <w:r>
                      <w:t>He was associated with Surrealism from its early beginnings due to his collaborations with poets</w:t>
                    </w:r>
                    <w:r>
                      <w:t xml:space="preserve"> such as André Breton and Paul </w:t>
                    </w:r>
                    <w:proofErr w:type="spellStart"/>
                    <w:r>
                      <w:t>Eluard</w:t>
                    </w:r>
                    <w:proofErr w:type="spellEnd"/>
                    <w:r>
                      <w:t>, and painters such as Pablo Picasso, Georges Braque, and Nicolas de Stael.</w:t>
                    </w:r>
                    <w:r>
                      <w:t xml:space="preserve"> </w:t>
                    </w:r>
                    <w:r>
                      <w:t>Later, during</w:t>
                    </w:r>
                    <w:r>
                      <w:t xml:space="preserve"> World War II, Char</w:t>
                    </w:r>
                    <w:r>
                      <w:t xml:space="preserve"> led a Resistance unit in the </w:t>
                    </w:r>
                    <w:proofErr w:type="spellStart"/>
                    <w:r>
                      <w:t>Maquis</w:t>
                    </w:r>
                    <w:proofErr w:type="spellEnd"/>
                    <w:r>
                      <w:t>, winning renown as ‘</w:t>
                    </w:r>
                    <w:proofErr w:type="spellStart"/>
                    <w:r>
                      <w:t>Capitaine</w:t>
                    </w:r>
                    <w:proofErr w:type="spellEnd"/>
                    <w:r>
                      <w:t xml:space="preserve"> Alexandre.’</w:t>
                    </w:r>
                    <w:r>
                      <w:t xml:space="preserve"> </w:t>
                    </w:r>
                    <w:r>
                      <w:t>During this period he continued to write, though he refused to publish until the war was won.</w:t>
                    </w:r>
                    <w:r>
                      <w:t xml:space="preserve"> </w:t>
                    </w:r>
                    <w:r>
                      <w:t>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w:t>
                    </w:r>
                    <w:r>
                      <w:t xml:space="preserve"> </w:t>
                    </w:r>
                    <w:r>
                      <w:t>Acclaimed for both, he went on to complete some of his best-known work in the 1950s and 1960s while engaging with numerous artists and the musician Pierre Boulez.</w:t>
                    </w:r>
                    <w:r>
                      <w:t xml:space="preserve"> </w:t>
                    </w:r>
                    <w:r>
                      <w:t xml:space="preserve">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rsidR="004D6FEF" w:rsidRDefault="004D6FEF" w:rsidP="004D6FEF"/>
                  <w:p w:rsidR="004D6FEF" w:rsidRDefault="004D6FEF" w:rsidP="004D6FEF">
                    <w:r>
                      <w:t xml:space="preserve">Char was born in the town of </w:t>
                    </w:r>
                    <w:proofErr w:type="spellStart"/>
                    <w:r>
                      <w:t>L’Isle</w:t>
                    </w:r>
                    <w:proofErr w:type="spellEnd"/>
                    <w:r>
                      <w:t xml:space="preserve"> sur la </w:t>
                    </w:r>
                    <w:proofErr w:type="spellStart"/>
                    <w:r>
                      <w:t>Sorgue</w:t>
                    </w:r>
                    <w:proofErr w:type="spellEnd"/>
                    <w:r>
                      <w:t>, near Avignon, in southern France.</w:t>
                    </w:r>
                    <w:r w:rsidR="000F6331">
                      <w:t xml:space="preserve"> </w:t>
                    </w:r>
                    <w:r>
                      <w:t>His early poetry developed a compressed, irreverent style that explored contrasting themes, often of agony and love.</w:t>
                    </w:r>
                    <w:r>
                      <w:t xml:space="preserve"> </w:t>
                    </w:r>
                    <w:r>
                      <w:t xml:space="preserve">When Char sent a copy of his youthful collection, </w:t>
                    </w:r>
                    <w:r w:rsidRPr="004A2EA2">
                      <w:rPr>
                        <w:i/>
                      </w:rPr>
                      <w:t>Arsenal</w:t>
                    </w:r>
                    <w:r>
                      <w:t>,</w:t>
                    </w:r>
                    <w:r w:rsidRPr="004A2EA2">
                      <w:rPr>
                        <w:i/>
                      </w:rPr>
                      <w:t xml:space="preserve"> </w:t>
                    </w:r>
                    <w:r>
                      <w:t xml:space="preserve">to Paul </w:t>
                    </w:r>
                    <w:proofErr w:type="spellStart"/>
                    <w:r>
                      <w:t>Eluard</w:t>
                    </w:r>
                    <w:proofErr w:type="spellEnd"/>
                    <w:r>
                      <w:t>, the older poet responded by welcoming him into the surrealist group in Paris.</w:t>
                    </w:r>
                    <w:r>
                      <w:t xml:space="preserve"> </w:t>
                    </w:r>
                    <w:r>
                      <w:t xml:space="preserve">Between 1929 and 1934, Char wrote collaboratively while also composing his longer collection, the </w:t>
                    </w:r>
                    <w:r w:rsidRPr="00DF2E87">
                      <w:rPr>
                        <w:i/>
                      </w:rPr>
                      <w:t>Hammer without a Master</w:t>
                    </w:r>
                    <w:r>
                      <w:t xml:space="preserve"> (1934), and voicing opposition to Franco in Spain, the Colonial Exposition, colonization of Indochina, and the rise of Nazism. </w:t>
                    </w:r>
                  </w:p>
                  <w:p w:rsidR="004D6FEF" w:rsidRDefault="004D6FEF" w:rsidP="004D6FEF"/>
                  <w:p w:rsidR="004D6FEF" w:rsidRDefault="004D6FEF" w:rsidP="004D6FEF">
                    <w:r>
                      <w:t xml:space="preserve">When France declared war on Germany in 1939, Char was mobilized and fought until the </w:t>
                    </w:r>
                    <w:r>
                      <w:lastRenderedPageBreak/>
                      <w:t xml:space="preserve">armistice, when he escaped to the town of </w:t>
                    </w:r>
                    <w:proofErr w:type="spellStart"/>
                    <w:r>
                      <w:t>Cereste</w:t>
                    </w:r>
                    <w:proofErr w:type="spellEnd"/>
                    <w:r>
                      <w:t xml:space="preserve"> (his surrealist activities made him suspect) and established a network of resistance fighters.</w:t>
                    </w:r>
                    <w:r>
                      <w:t xml:space="preserve"> </w:t>
                    </w:r>
                    <w:r>
                      <w:t>He rose to become an inspiring, clear-sighted commander, eventually assisting in the Allied landing in Provence.</w:t>
                    </w:r>
                    <w:r>
                      <w:t xml:space="preserve"> </w:t>
                    </w:r>
                    <w:r>
                      <w:t xml:space="preserve">His defiant silence during the war, followed by the post-war appearance of </w:t>
                    </w:r>
                    <w:r w:rsidRPr="00DA4D57">
                      <w:rPr>
                        <w:i/>
                      </w:rPr>
                      <w:t>Leaves of Hypnos</w:t>
                    </w:r>
                    <w:r>
                      <w:t xml:space="preserve"> (1946) and </w:t>
                    </w:r>
                    <w:r>
                      <w:rPr>
                        <w:i/>
                      </w:rPr>
                      <w:t xml:space="preserve">Fury and Mystery </w:t>
                    </w:r>
                    <w:r w:rsidRPr="001D7E4D">
                      <w:t>(1948),</w:t>
                    </w:r>
                    <w:r>
                      <w:t xml:space="preserve"> immediately made him one of France’s most celebrated poets. Influenced by Friedrich Nietzsche and Heraclitus as well as a number of literary and artistic figures, Char’s poetry of the period depicts nature, love, and lived history with trenchant lucidity and existential insight. Contrasting images of darkness and light, the ‘monstrous’ presence of </w:t>
                    </w:r>
                    <w:proofErr w:type="spellStart"/>
                    <w:r>
                      <w:t>Hitlerian</w:t>
                    </w:r>
                    <w:proofErr w:type="spellEnd"/>
                    <w:r>
                      <w:t xml:space="preserve"> night and the renewal conveyed by love, hope, and beauty, he writes near the end of his journal, ‘Within our darkness, there is not one space alone for Beauty.</w:t>
                    </w:r>
                    <w:r>
                      <w:t xml:space="preserve"> </w:t>
                    </w:r>
                    <w:r>
                      <w:t xml:space="preserve">The whole space is for Beauty’ (Char 2010). His later work, published in collections such as </w:t>
                    </w:r>
                    <w:r w:rsidRPr="003B03B4">
                      <w:rPr>
                        <w:i/>
                      </w:rPr>
                      <w:t>The D</w:t>
                    </w:r>
                    <w:r>
                      <w:rPr>
                        <w:i/>
                      </w:rPr>
                      <w:t>a</w:t>
                    </w:r>
                    <w:r w:rsidRPr="003B03B4">
                      <w:rPr>
                        <w:i/>
                      </w:rPr>
                      <w:t>wn Breakers</w:t>
                    </w:r>
                    <w:r>
                      <w:rPr>
                        <w:i/>
                      </w:rPr>
                      <w:t xml:space="preserve"> </w:t>
                    </w:r>
                    <w:r w:rsidRPr="001D7E4D">
                      <w:t>(1947-49),</w:t>
                    </w:r>
                    <w:r>
                      <w:t xml:space="preserve"> </w:t>
                    </w:r>
                    <w:r w:rsidRPr="003B03B4">
                      <w:rPr>
                        <w:i/>
                      </w:rPr>
                      <w:t>The Word as Archipelago</w:t>
                    </w:r>
                    <w:r>
                      <w:rPr>
                        <w:i/>
                      </w:rPr>
                      <w:t xml:space="preserve"> </w:t>
                    </w:r>
                    <w:r w:rsidRPr="001D7E4D">
                      <w:t>(1952-60),</w:t>
                    </w:r>
                    <w:r>
                      <w:t xml:space="preserve"> </w:t>
                    </w:r>
                    <w:r w:rsidRPr="003B03B4">
                      <w:rPr>
                        <w:i/>
                      </w:rPr>
                      <w:t>Innocence Lost</w:t>
                    </w:r>
                    <w:r>
                      <w:rPr>
                        <w:i/>
                      </w:rPr>
                      <w:t xml:space="preserve"> </w:t>
                    </w:r>
                    <w:r w:rsidRPr="001D7E4D">
                      <w:t>(1964-70),</w:t>
                    </w:r>
                    <w:r>
                      <w:t xml:space="preserve"> and </w:t>
                    </w:r>
                    <w:r w:rsidRPr="003B03B4">
                      <w:rPr>
                        <w:i/>
                      </w:rPr>
                      <w:t>In Praise of one Suspected</w:t>
                    </w:r>
                    <w:r>
                      <w:rPr>
                        <w:i/>
                      </w:rPr>
                      <w:t xml:space="preserve"> </w:t>
                    </w:r>
                    <w:r w:rsidRPr="001D7E4D">
                      <w:t>(1988),</w:t>
                    </w:r>
                    <w:r>
                      <w:t xml:space="preserve"> moves through images of his native landscape to revelatory encounters with love, to the tragic fragility of human existence, and poetry’s power to illuminate it.</w:t>
                    </w:r>
                    <w:r>
                      <w:t xml:space="preserve"> </w:t>
                    </w:r>
                  </w:p>
                  <w:p w:rsidR="004D6FEF" w:rsidRDefault="004D6FEF" w:rsidP="004D6FEF"/>
                  <w:p w:rsidR="004D6FEF" w:rsidRDefault="004D6FEF" w:rsidP="004D6FEF">
                    <w:pPr>
                      <w:pStyle w:val="Heading1"/>
                    </w:pPr>
                    <w:r>
                      <w:t>List of Works</w:t>
                    </w:r>
                  </w:p>
                  <w:p w:rsidR="004D6FEF" w:rsidRDefault="004D6FEF" w:rsidP="004D6FEF">
                    <w:r>
                      <w:t xml:space="preserve">(1983) </w:t>
                    </w:r>
                    <w:r w:rsidRPr="009B4B3B">
                      <w:rPr>
                        <w:i/>
                      </w:rPr>
                      <w:t>Oeuvres completes</w:t>
                    </w:r>
                    <w:r>
                      <w:t xml:space="preserve">, </w:t>
                    </w:r>
                    <w:r>
                      <w:t>Paris.</w:t>
                    </w:r>
                    <w:r>
                      <w:t xml:space="preserve"> </w:t>
                    </w:r>
                    <w:proofErr w:type="spellStart"/>
                    <w:r>
                      <w:t>Gallimard</w:t>
                    </w:r>
                    <w:proofErr w:type="spellEnd"/>
                    <w:r>
                      <w:t>.</w:t>
                    </w:r>
                  </w:p>
                  <w:p w:rsidR="004D6FEF" w:rsidRDefault="004D6FEF" w:rsidP="004D6FEF">
                    <w:r>
                      <w:tab/>
                    </w:r>
                    <w:r>
                      <w:tab/>
                    </w:r>
                  </w:p>
                  <w:p w:rsidR="004D6FEF" w:rsidRDefault="004D6FEF" w:rsidP="004D6FEF">
                    <w:r>
                      <w:t xml:space="preserve">(1956) </w:t>
                    </w:r>
                    <w:r w:rsidRPr="00A40C0E">
                      <w:rPr>
                        <w:i/>
                      </w:rPr>
                      <w:t>Hypnos Waking</w:t>
                    </w:r>
                    <w:r>
                      <w:t>, Select</w:t>
                    </w:r>
                    <w:r>
                      <w:t>ed and Translated by Jackson Mathews, New York.</w:t>
                    </w:r>
                    <w:r>
                      <w:t xml:space="preserve"> Random House.</w:t>
                    </w:r>
                  </w:p>
                  <w:p w:rsidR="004D6FEF" w:rsidRDefault="004D6FEF" w:rsidP="004D6FEF">
                    <w:r>
                      <w:tab/>
                    </w:r>
                    <w:r>
                      <w:tab/>
                    </w:r>
                  </w:p>
                  <w:p w:rsidR="004D6FEF" w:rsidRDefault="004D6FEF" w:rsidP="004D6FEF">
                    <w:r>
                      <w:t xml:space="preserve">(2004) </w:t>
                    </w:r>
                    <w:r w:rsidRPr="0002647D">
                      <w:rPr>
                        <w:i/>
                      </w:rPr>
                      <w:t>This Smoke that Carried Us</w:t>
                    </w:r>
                    <w:r>
                      <w:t xml:space="preserve">, Translated by Susanne </w:t>
                    </w:r>
                    <w:proofErr w:type="spellStart"/>
                    <w:r>
                      <w:t>Dubroff</w:t>
                    </w:r>
                    <w:proofErr w:type="spellEnd"/>
                    <w:r>
                      <w:t xml:space="preserve">, introduced </w:t>
                    </w:r>
                    <w:r>
                      <w:t>by Christopher Merrill, Buffalo.</w:t>
                    </w:r>
                    <w:r>
                      <w:t xml:space="preserve"> White Plains Press </w:t>
                    </w:r>
                  </w:p>
                  <w:p w:rsidR="004D6FEF" w:rsidRDefault="004D6FEF" w:rsidP="004D6FEF">
                    <w:r>
                      <w:tab/>
                    </w:r>
                    <w:r>
                      <w:tab/>
                    </w:r>
                  </w:p>
                  <w:p w:rsidR="004D6FEF" w:rsidRDefault="004D6FEF" w:rsidP="004D6FEF">
                    <w:r>
                      <w:t>(</w:t>
                    </w:r>
                    <w:r>
                      <w:t xml:space="preserve">2010) </w:t>
                    </w:r>
                    <w:proofErr w:type="spellStart"/>
                    <w:r w:rsidRPr="0002647D">
                      <w:rPr>
                        <w:i/>
                      </w:rPr>
                      <w:t>Furor</w:t>
                    </w:r>
                    <w:proofErr w:type="spellEnd"/>
                    <w:r w:rsidRPr="0002647D">
                      <w:rPr>
                        <w:i/>
                      </w:rPr>
                      <w:t xml:space="preserve"> and </w:t>
                    </w:r>
                    <w:proofErr w:type="spellStart"/>
                    <w:r w:rsidRPr="0002647D">
                      <w:rPr>
                        <w:i/>
                      </w:rPr>
                      <w:t>Mystery</w:t>
                    </w:r>
                    <w:r>
                      <w:t>,Tra</w:t>
                    </w:r>
                    <w:r>
                      <w:t>nslated</w:t>
                    </w:r>
                    <w:proofErr w:type="spellEnd"/>
                    <w:r>
                      <w:t xml:space="preserve"> by Mary Ann Caws and </w:t>
                    </w:r>
                    <w:r>
                      <w:t xml:space="preserve">Nancy Kline, introduced by Sandra </w:t>
                    </w:r>
                    <w:proofErr w:type="spellStart"/>
                    <w:r>
                      <w:t>B</w:t>
                    </w:r>
                    <w:r>
                      <w:t>ermann</w:t>
                    </w:r>
                    <w:proofErr w:type="spellEnd"/>
                    <w:r>
                      <w:t xml:space="preserve"> and prefaced by Marie-</w:t>
                    </w:r>
                    <w:r>
                      <w:t>Claude Char,</w:t>
                    </w:r>
                    <w:r>
                      <w:t xml:space="preserve"> Boston.</w:t>
                    </w:r>
                    <w:r>
                      <w:t xml:space="preserve"> Black Widow Press.</w:t>
                    </w:r>
                  </w:p>
                  <w:p w:rsidR="004D6FEF" w:rsidRDefault="000F6331" w:rsidP="004D6FEF">
                    <w:r>
                      <w:t xml:space="preserve">      </w:t>
                    </w:r>
                  </w:p>
                  <w:p w:rsidR="003F0D73" w:rsidRPr="005E0090" w:rsidRDefault="004D6FEF" w:rsidP="004D6FEF">
                    <w:pPr>
                      <w:rPr>
                        <w:rFonts w:cs="Times New Roman"/>
                        <w:lang w:val="en-CA"/>
                      </w:rPr>
                    </w:pPr>
                    <w:r>
                      <w:t xml:space="preserve">(2012) </w:t>
                    </w:r>
                    <w:r w:rsidRPr="0002647D">
                      <w:rPr>
                        <w:i/>
                      </w:rPr>
                      <w:t>The Word as Archipelago</w:t>
                    </w:r>
                    <w:r>
                      <w:t>,</w:t>
                    </w:r>
                    <w:r>
                      <w:t xml:space="preserve"> Translated by Robert Baker, Richmond, California.</w:t>
                    </w:r>
                    <w:r>
                      <w:t xml:space="preserve"> </w:t>
                    </w:r>
                    <w:proofErr w:type="spellStart"/>
                    <w:r>
                      <w:t>Omnidawn</w:t>
                    </w:r>
                    <w:proofErr w:type="spellEnd"/>
                    <w:r>
                      <w:t xml:space="preserve"> Publishing</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4D6FEF" w:rsidRDefault="004D6FEF" w:rsidP="004D6FEF">
                <w:sdt>
                  <w:sdtPr>
                    <w:id w:val="1644152147"/>
                    <w:citation/>
                  </w:sdtPr>
                  <w:sdtContent>
                    <w:r>
                      <w:fldChar w:fldCharType="begin"/>
                    </w:r>
                    <w:r>
                      <w:rPr>
                        <w:lang w:val="en-CA"/>
                      </w:rPr>
                      <w:instrText xml:space="preserve"> CITATION Caws76 \l 4105 </w:instrText>
                    </w:r>
                    <w:r>
                      <w:fldChar w:fldCharType="separate"/>
                    </w:r>
                    <w:r>
                      <w:rPr>
                        <w:noProof/>
                        <w:lang w:val="en-CA"/>
                      </w:rPr>
                      <w:t xml:space="preserve"> </w:t>
                    </w:r>
                    <w:r w:rsidRPr="004D6FEF">
                      <w:rPr>
                        <w:noProof/>
                        <w:lang w:val="en-CA"/>
                      </w:rPr>
                      <w:t>(Caws)</w:t>
                    </w:r>
                    <w:r>
                      <w:fldChar w:fldCharType="end"/>
                    </w:r>
                  </w:sdtContent>
                </w:sdt>
                <w:r w:rsidR="000F6331">
                  <w:t xml:space="preserve">     </w:t>
                </w:r>
                <w:r>
                  <w:t xml:space="preserve"> </w:t>
                </w:r>
              </w:p>
              <w:p w:rsidR="004D6FEF" w:rsidRDefault="004D6FEF" w:rsidP="004D6FEF">
                <w:sdt>
                  <w:sdtPr>
                    <w:id w:val="-1451849536"/>
                    <w:citation/>
                  </w:sdtPr>
                  <w:sdtContent>
                    <w:r>
                      <w:fldChar w:fldCharType="begin"/>
                    </w:r>
                    <w:r>
                      <w:rPr>
                        <w:lang w:val="en-CA"/>
                      </w:rPr>
                      <w:instrText xml:space="preserve"> CITATION Greilsamer04 \l 4105 </w:instrText>
                    </w:r>
                    <w:r>
                      <w:fldChar w:fldCharType="separate"/>
                    </w:r>
                    <w:r w:rsidRPr="004D6FEF">
                      <w:rPr>
                        <w:noProof/>
                        <w:lang w:val="en-CA"/>
                      </w:rPr>
                      <w:t>(Greilsamer)</w:t>
                    </w:r>
                    <w:r>
                      <w:fldChar w:fldCharType="end"/>
                    </w:r>
                  </w:sdtContent>
                </w:sdt>
                <w:r>
                  <w:tab/>
                </w:r>
                <w:r>
                  <w:tab/>
                </w:r>
              </w:p>
              <w:p w:rsidR="004D6FEF" w:rsidRDefault="00695C31" w:rsidP="004D6FEF">
                <w:sdt>
                  <w:sdtPr>
                    <w:id w:val="1773196071"/>
                    <w:citation/>
                  </w:sdtPr>
                  <w:sdtContent>
                    <w:r>
                      <w:fldChar w:fldCharType="begin"/>
                    </w:r>
                    <w:r>
                      <w:rPr>
                        <w:lang w:val="en-CA"/>
                      </w:rPr>
                      <w:instrText xml:space="preserve"> CITATION Lawler78 \l 4105 </w:instrText>
                    </w:r>
                    <w:r>
                      <w:fldChar w:fldCharType="separate"/>
                    </w:r>
                    <w:r w:rsidRPr="00695C31">
                      <w:rPr>
                        <w:noProof/>
                        <w:lang w:val="en-CA"/>
                      </w:rPr>
                      <w:t>(Lawler)</w:t>
                    </w:r>
                    <w:r>
                      <w:fldChar w:fldCharType="end"/>
                    </w:r>
                  </w:sdtContent>
                </w:sdt>
                <w:r w:rsidR="000F6331">
                  <w:t xml:space="preserve">   </w:t>
                </w:r>
                <w:r w:rsidR="004D6FEF">
                  <w:t xml:space="preserve"> </w:t>
                </w:r>
              </w:p>
              <w:p w:rsidR="004D6FEF" w:rsidRDefault="00695C31" w:rsidP="004D6FEF">
                <w:sdt>
                  <w:sdtPr>
                    <w:id w:val="374272037"/>
                    <w:citation/>
                  </w:sdtPr>
                  <w:sdtContent>
                    <w:r>
                      <w:fldChar w:fldCharType="begin"/>
                    </w:r>
                    <w:r>
                      <w:rPr>
                        <w:lang w:val="en-CA"/>
                      </w:rPr>
                      <w:instrText xml:space="preserve"> CITATION Marty90 \l 4105 </w:instrText>
                    </w:r>
                    <w:r>
                      <w:fldChar w:fldCharType="separate"/>
                    </w:r>
                    <w:r w:rsidRPr="00695C31">
                      <w:rPr>
                        <w:noProof/>
                        <w:lang w:val="en-CA"/>
                      </w:rPr>
                      <w:t>(Marty)</w:t>
                    </w:r>
                    <w:r>
                      <w:fldChar w:fldCharType="end"/>
                    </w:r>
                  </w:sdtContent>
                </w:sdt>
              </w:p>
              <w:p w:rsidR="003235A7" w:rsidRDefault="00695C31" w:rsidP="004D6FEF">
                <w:sdt>
                  <w:sdtPr>
                    <w:id w:val="-618610156"/>
                    <w:citation/>
                  </w:sdtPr>
                  <w:sdtContent>
                    <w:r>
                      <w:fldChar w:fldCharType="begin"/>
                    </w:r>
                    <w:r>
                      <w:rPr>
                        <w:lang w:val="en-CA"/>
                      </w:rPr>
                      <w:instrText xml:space="preserve"> CITATION Veyne90 \l 4105 </w:instrText>
                    </w:r>
                    <w:r>
                      <w:fldChar w:fldCharType="separate"/>
                    </w:r>
                    <w:r w:rsidRPr="00695C31">
                      <w:rPr>
                        <w:noProof/>
                        <w:lang w:val="en-CA"/>
                      </w:rPr>
                      <w:t>(Veyne)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DB" w:rsidRDefault="002606DB" w:rsidP="007A0D55">
      <w:pPr>
        <w:spacing w:after="0" w:line="240" w:lineRule="auto"/>
      </w:pPr>
      <w:r>
        <w:separator/>
      </w:r>
    </w:p>
  </w:endnote>
  <w:endnote w:type="continuationSeparator" w:id="0">
    <w:p w:rsidR="002606DB" w:rsidRDefault="002606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DB" w:rsidRDefault="002606DB" w:rsidP="007A0D55">
      <w:pPr>
        <w:spacing w:after="0" w:line="240" w:lineRule="auto"/>
      </w:pPr>
      <w:r>
        <w:separator/>
      </w:r>
    </w:p>
  </w:footnote>
  <w:footnote w:type="continuationSeparator" w:id="0">
    <w:p w:rsidR="002606DB" w:rsidRDefault="002606D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F6331"/>
    <w:rsid w:val="00101B2E"/>
    <w:rsid w:val="00116FA0"/>
    <w:rsid w:val="0015114C"/>
    <w:rsid w:val="001A21F3"/>
    <w:rsid w:val="001A2537"/>
    <w:rsid w:val="001A6A06"/>
    <w:rsid w:val="001C288D"/>
    <w:rsid w:val="00210C03"/>
    <w:rsid w:val="002162E2"/>
    <w:rsid w:val="00225C5A"/>
    <w:rsid w:val="00230B10"/>
    <w:rsid w:val="00234353"/>
    <w:rsid w:val="00244BB0"/>
    <w:rsid w:val="002606DB"/>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6FEF"/>
    <w:rsid w:val="004E5896"/>
    <w:rsid w:val="00513EE6"/>
    <w:rsid w:val="00534F8F"/>
    <w:rsid w:val="00590035"/>
    <w:rsid w:val="005B177E"/>
    <w:rsid w:val="005B3921"/>
    <w:rsid w:val="005E0090"/>
    <w:rsid w:val="005F26D7"/>
    <w:rsid w:val="005F5450"/>
    <w:rsid w:val="00695C3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B43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Caws76</b:Tag>
    <b:SourceType>Book</b:SourceType>
    <b:Guid>{238ACF1A-F31C-432E-A9D4-24FF1CEE63DF}</b:Guid>
    <b:Author>
      <b:Author>
        <b:NameList>
          <b:Person>
            <b:Last>Caws</b:Last>
            <b:First>Mary</b:First>
            <b:Middle>Ann</b:Middle>
          </b:Person>
        </b:NameList>
      </b:Author>
    </b:Author>
    <b:Title>The Presence of René Char</b:Title>
    <b:Year>1976</b:Year>
    <b:City>Princeton</b:City>
    <b:Publisher>Princeton University Press</b:Publisher>
    <b:Medium>Print</b:Medium>
    <b:RefOrder>1</b:RefOrder>
  </b:Source>
  <b:Source>
    <b:Tag>Greilsamer04</b:Tag>
    <b:SourceType>Book</b:SourceType>
    <b:Guid>{DA6A61C4-776C-4313-8CF9-56B9DF297292}</b:Guid>
    <b:Author>
      <b:Author>
        <b:NameList>
          <b:Person>
            <b:Last>Greilsamer</b:Last>
            <b:First>Laurent</b:First>
          </b:Person>
        </b:NameList>
      </b:Author>
    </b:Author>
    <b:Title>L’éclair au front: La vie de Rene Char</b:Title>
    <b:Year>2004</b:Year>
    <b:City>Paris</b:City>
    <b:Publisher>Fayard</b:Publisher>
    <b:Medium>Print</b:Medium>
    <b:RefOrder>2</b:RefOrder>
  </b:Source>
  <b:Source>
    <b:Tag>Lawler78</b:Tag>
    <b:SourceType>Book</b:SourceType>
    <b:Guid>{67927621-8CDB-43F8-9C94-703A4631CD6F}</b:Guid>
    <b:Author>
      <b:Author>
        <b:NameList>
          <b:Person>
            <b:Last>Lawler</b:Last>
            <b:First>James</b:First>
          </b:Person>
        </b:NameList>
      </b:Author>
    </b:Author>
    <b:Title>René Char: the Myth and the Poem</b:Title>
    <b:Year>1978</b:Year>
    <b:City>Princeton</b:City>
    <b:Publisher>Princeton University Press</b:Publisher>
    <b:Medium>Print</b:Medium>
    <b:RefOrder>3</b:RefOrder>
  </b:Source>
  <b:Source>
    <b:Tag>Marty90</b:Tag>
    <b:SourceType>Book</b:SourceType>
    <b:Guid>{0E9B09A8-41A9-4BC1-820D-16549DFB70B0}</b:Guid>
    <b:Author>
      <b:Author>
        <b:NameList>
          <b:Person>
            <b:Last>Marty</b:Last>
            <b:First>Eric</b:First>
          </b:Person>
        </b:NameList>
      </b:Author>
    </b:Author>
    <b:Title>René Char</b:Title>
    <b:Year>1990</b:Year>
    <b:City>Paris</b:City>
    <b:Publisher>Seuil</b:Publisher>
    <b:Medium>Print</b:Medium>
    <b:RefOrder>4</b:RefOrder>
  </b:Source>
  <b:Source>
    <b:Tag>Veyne90</b:Tag>
    <b:SourceType>Book</b:SourceType>
    <b:Guid>{212780F8-06A8-46E8-8AB0-FC324FDA2CA7}</b:Guid>
    <b:Author>
      <b:Author>
        <b:NameList>
          <b:Person>
            <b:Last>Veyne</b:Last>
            <b:First>Paul</b:First>
          </b:Person>
        </b:NameList>
      </b:Author>
    </b:Author>
    <b:Title>René Char en ses poemes</b:Title>
    <b:Year>1990</b:Year>
    <b:City>Paris</b:City>
    <b:Publisher>Gallimard</b:Publisher>
    <b:Medium>Print</b:Medium>
    <b:RefOrder>5</b:RefOrder>
  </b:Source>
</b:Sources>
</file>

<file path=customXml/itemProps1.xml><?xml version="1.0" encoding="utf-8"?>
<ds:datastoreItem xmlns:ds="http://schemas.openxmlformats.org/officeDocument/2006/customXml" ds:itemID="{7275C92E-76D4-42C4-A33F-4C88CCC8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2016-03-12T04:31:00Z</dcterms:created>
  <dcterms:modified xsi:type="dcterms:W3CDTF">2016-03-12T04:31:00Z</dcterms:modified>
</cp:coreProperties>
</file>