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996" w:rsidRDefault="003B518B" w:rsidP="00441A19">
      <w:pPr>
        <w:spacing w:line="360" w:lineRule="auto"/>
      </w:pPr>
      <w:bookmarkStart w:id="0" w:name="_GoBack"/>
      <w:bookmarkEnd w:id="0"/>
      <w:r>
        <w:t>FRAZER, Sir James George (</w:t>
      </w:r>
      <w:r w:rsidRPr="00AF4E6D">
        <w:t>1 January</w:t>
      </w:r>
      <w:r w:rsidR="005E6F6B">
        <w:t>, 1854</w:t>
      </w:r>
      <w:r w:rsidRPr="00AF4E6D">
        <w:t xml:space="preserve"> – 7 May</w:t>
      </w:r>
      <w:r w:rsidR="005E6F6B">
        <w:t>, 1941</w:t>
      </w:r>
      <w:r>
        <w:t xml:space="preserve">) </w:t>
      </w:r>
    </w:p>
    <w:p w:rsidR="001E2996" w:rsidRDefault="001E2996" w:rsidP="00441A19">
      <w:pPr>
        <w:spacing w:line="360" w:lineRule="auto"/>
      </w:pPr>
    </w:p>
    <w:p w:rsidR="003B518B" w:rsidRDefault="001E2996" w:rsidP="00441A19">
      <w:pPr>
        <w:spacing w:line="360" w:lineRule="auto"/>
      </w:pPr>
      <w:r>
        <w:t xml:space="preserve">James Frazer </w:t>
      </w:r>
      <w:r w:rsidR="003B518B">
        <w:t>was a Scottish classicist, social theorist, anthropologist, and historian of religion. He was a Fellow at Trinity College, Cambridge University.</w:t>
      </w:r>
      <w:r>
        <w:t xml:space="preserve"> </w:t>
      </w:r>
      <w:r w:rsidR="003B518B">
        <w:t xml:space="preserve">In addition to his influential entries in the </w:t>
      </w:r>
      <w:r w:rsidR="003B518B" w:rsidRPr="00105EAE">
        <w:rPr>
          <w:i/>
        </w:rPr>
        <w:t>Encyclopedia Britannica</w:t>
      </w:r>
      <w:r w:rsidR="001E269A">
        <w:t xml:space="preserve"> (e.g., “Taboo,” “Totem”)</w:t>
      </w:r>
      <w:r w:rsidR="003B518B">
        <w:t xml:space="preserve">, Frazer published voluminous translations, editions, and monographs in the fields of classics (e.g., </w:t>
      </w:r>
      <w:r w:rsidR="003B518B">
        <w:rPr>
          <w:i/>
        </w:rPr>
        <w:t>Pausanias’s Description of Greece</w:t>
      </w:r>
      <w:r w:rsidR="003B518B">
        <w:t xml:space="preserve"> [1898], an edition of Ovid’s </w:t>
      </w:r>
      <w:proofErr w:type="spellStart"/>
      <w:r w:rsidR="003B518B" w:rsidRPr="00CF70B1">
        <w:rPr>
          <w:i/>
        </w:rPr>
        <w:t>Fasti</w:t>
      </w:r>
      <w:proofErr w:type="spellEnd"/>
      <w:r w:rsidR="003B518B">
        <w:t xml:space="preserve"> [1929]), religion (e.g., </w:t>
      </w:r>
      <w:r w:rsidR="003B518B">
        <w:rPr>
          <w:i/>
        </w:rPr>
        <w:t>Lectures on the Early History of the Kingship</w:t>
      </w:r>
      <w:r w:rsidR="003B518B">
        <w:t xml:space="preserve"> [1905], </w:t>
      </w:r>
      <w:proofErr w:type="spellStart"/>
      <w:r w:rsidR="003B518B">
        <w:rPr>
          <w:i/>
        </w:rPr>
        <w:t>Totemism</w:t>
      </w:r>
      <w:proofErr w:type="spellEnd"/>
      <w:r w:rsidR="003B518B">
        <w:rPr>
          <w:i/>
        </w:rPr>
        <w:t xml:space="preserve"> and Exogamy</w:t>
      </w:r>
      <w:r w:rsidR="003B518B">
        <w:t xml:space="preserve"> [1910]), and biblical studies (e.g., </w:t>
      </w:r>
      <w:r w:rsidR="003B518B">
        <w:rPr>
          <w:i/>
        </w:rPr>
        <w:t>Folk-Lore in the Old Testament</w:t>
      </w:r>
      <w:r w:rsidR="003B518B">
        <w:t xml:space="preserve"> [1918]).</w:t>
      </w:r>
      <w:r w:rsidR="003B518B">
        <w:tab/>
      </w:r>
    </w:p>
    <w:p w:rsidR="003B518B" w:rsidRDefault="003B518B" w:rsidP="00441A19">
      <w:pPr>
        <w:spacing w:line="360" w:lineRule="auto"/>
      </w:pPr>
      <w:r>
        <w:tab/>
        <w:t xml:space="preserve">Frazer is best known for his massive enterprise in comparative religion and mythology, </w:t>
      </w:r>
      <w:r>
        <w:rPr>
          <w:i/>
        </w:rPr>
        <w:t>The Golden Bough</w:t>
      </w:r>
      <w:r>
        <w:t xml:space="preserve"> (</w:t>
      </w:r>
      <w:r w:rsidRPr="003A76F6">
        <w:rPr>
          <w:i/>
        </w:rPr>
        <w:t>GB</w:t>
      </w:r>
      <w:r>
        <w:t xml:space="preserve">). Although it was originally published in two volumes (1890), </w:t>
      </w:r>
      <w:r w:rsidRPr="003A76F6">
        <w:rPr>
          <w:i/>
        </w:rPr>
        <w:t>GB</w:t>
      </w:r>
      <w:r>
        <w:t xml:space="preserve"> subsequently expanded into three volumes (2</w:t>
      </w:r>
      <w:r w:rsidRPr="00DA4FD6">
        <w:rPr>
          <w:vertAlign w:val="superscript"/>
        </w:rPr>
        <w:t>nd</w:t>
      </w:r>
      <w:r>
        <w:t xml:space="preserve"> ed., 1900), and then into twelve volumes (3</w:t>
      </w:r>
      <w:r w:rsidRPr="00DA4FD6">
        <w:rPr>
          <w:vertAlign w:val="superscript"/>
        </w:rPr>
        <w:t>rd</w:t>
      </w:r>
      <w:r>
        <w:t xml:space="preserve"> ed., 1911-15). An abridged volume was published in 1922 and a thirteenth volume (</w:t>
      </w:r>
      <w:r>
        <w:rPr>
          <w:i/>
        </w:rPr>
        <w:t>Aftermath</w:t>
      </w:r>
      <w:r>
        <w:t xml:space="preserve">) appeared in 1936. Although </w:t>
      </w:r>
      <w:r w:rsidRPr="003A76F6">
        <w:rPr>
          <w:i/>
        </w:rPr>
        <w:t>GB</w:t>
      </w:r>
      <w:r>
        <w:t xml:space="preserve"> is marked by copious data woven into numerous digressions and excursions, it revolves around the ritual slaying of the priest of Diana who kept watch over the sacred tree in the grove of </w:t>
      </w:r>
      <w:proofErr w:type="spellStart"/>
      <w:r>
        <w:t>Nemi</w:t>
      </w:r>
      <w:proofErr w:type="spellEnd"/>
      <w:r>
        <w:t xml:space="preserve">. In this tradition, if a runaway slave broke off a branch of the sacred tree—which Frazer identified both with the golden bough mentioned in Virgil’s </w:t>
      </w:r>
      <w:proofErr w:type="spellStart"/>
      <w:r w:rsidRPr="006F42F9">
        <w:rPr>
          <w:i/>
        </w:rPr>
        <w:t>Aeneid</w:t>
      </w:r>
      <w:proofErr w:type="spellEnd"/>
      <w:r>
        <w:t xml:space="preserve"> and the mistletoe </w:t>
      </w:r>
      <w:r w:rsidR="009452EC">
        <w:t>plant</w:t>
      </w:r>
      <w:r>
        <w:t xml:space="preserve">—and killed the priest, that slave would become the priest until he himself was slain. Frazer understood the </w:t>
      </w:r>
      <w:r w:rsidR="007659CE">
        <w:t>priest as a king who represented</w:t>
      </w:r>
      <w:r>
        <w:t xml:space="preserve"> the god </w:t>
      </w:r>
      <w:proofErr w:type="spellStart"/>
      <w:r>
        <w:t>Virbius</w:t>
      </w:r>
      <w:proofErr w:type="spellEnd"/>
      <w:r w:rsidR="00767A51">
        <w:t xml:space="preserve"> </w:t>
      </w:r>
      <w:r w:rsidR="007659CE">
        <w:t>and embodied</w:t>
      </w:r>
      <w:r>
        <w:t xml:space="preserve"> the well being of the community. As a </w:t>
      </w:r>
      <w:proofErr w:type="spellStart"/>
      <w:r w:rsidR="00D35E3A" w:rsidRPr="00D35E3A">
        <w:t>comparatist</w:t>
      </w:r>
      <w:proofErr w:type="spellEnd"/>
      <w:r w:rsidR="00D35E3A">
        <w:t xml:space="preserve"> i</w:t>
      </w:r>
      <w:r w:rsidR="00C0721E">
        <w:t>n the tradition of Adolf</w:t>
      </w:r>
      <w:r>
        <w:t xml:space="preserve"> Bastian, Frazer suggested the regicidal rite at </w:t>
      </w:r>
      <w:proofErr w:type="spellStart"/>
      <w:r>
        <w:t>Nemi</w:t>
      </w:r>
      <w:proofErr w:type="spellEnd"/>
      <w:r>
        <w:t xml:space="preserve"> </w:t>
      </w:r>
      <w:r w:rsidR="007659CE">
        <w:t>was</w:t>
      </w:r>
      <w:r>
        <w:t xml:space="preserve"> a salient example of the broader</w:t>
      </w:r>
      <w:r w:rsidR="001E2996">
        <w:t xml:space="preserve"> “primitive” association of death with</w:t>
      </w:r>
      <w:r>
        <w:t xml:space="preserve"> resurr</w:t>
      </w:r>
      <w:r w:rsidR="001E2996">
        <w:t>ection</w:t>
      </w:r>
      <w:r>
        <w:t xml:space="preserve"> and fertility. </w:t>
      </w:r>
    </w:p>
    <w:p w:rsidR="003B518B" w:rsidRDefault="003B518B" w:rsidP="00441A19">
      <w:pPr>
        <w:spacing w:line="360" w:lineRule="auto"/>
        <w:ind w:firstLine="720"/>
      </w:pPr>
      <w:r>
        <w:t>Frazer’s ahistorical comparative method</w:t>
      </w:r>
      <w:r w:rsidR="001E2996">
        <w:t>,</w:t>
      </w:r>
      <w:r>
        <w:t xml:space="preserve"> paired </w:t>
      </w:r>
      <w:r w:rsidR="00C0721E">
        <w:t xml:space="preserve">with his acceptance of </w:t>
      </w:r>
      <w:r>
        <w:t xml:space="preserve">social evolutionism, accommodated his British colonial presuppositions. He used these analytical tools to classify, interpret, and malign the “primitives” in peasant Europe and in the British colonies. Drawing inspiration from </w:t>
      </w:r>
      <w:proofErr w:type="spellStart"/>
      <w:r>
        <w:t>A</w:t>
      </w:r>
      <w:r w:rsidR="001E2996">
        <w:t>uguste</w:t>
      </w:r>
      <w:proofErr w:type="spellEnd"/>
      <w:r>
        <w:t xml:space="preserve"> Comte, E. B. </w:t>
      </w:r>
      <w:proofErr w:type="spellStart"/>
      <w:r>
        <w:t>Tylor</w:t>
      </w:r>
      <w:proofErr w:type="spellEnd"/>
      <w:r>
        <w:t xml:space="preserve">, </w:t>
      </w:r>
      <w:r w:rsidR="00C0721E">
        <w:t xml:space="preserve">and </w:t>
      </w:r>
      <w:r w:rsidR="00974072">
        <w:t>William</w:t>
      </w:r>
      <w:r w:rsidR="001E2996">
        <w:t xml:space="preserve"> Robertson Smith, among others,</w:t>
      </w:r>
      <w:r>
        <w:t xml:space="preserve"> Frazer postulated a uniform progression of human intellectual development from “magic” to “religion” to “science.” </w:t>
      </w:r>
      <w:r w:rsidR="002B5D12">
        <w:t>In Frazer’s estimation, both</w:t>
      </w:r>
      <w:r w:rsidR="00425EF8">
        <w:t xml:space="preserve"> “magic” and “science” presume</w:t>
      </w:r>
      <w:r w:rsidR="003229CA">
        <w:t>d</w:t>
      </w:r>
      <w:r w:rsidR="00425EF8">
        <w:t xml:space="preserve"> that impersonal and unconscious forces govern</w:t>
      </w:r>
      <w:r w:rsidR="003229CA">
        <w:t>ed</w:t>
      </w:r>
      <w:r w:rsidR="00425EF8">
        <w:t xml:space="preserve"> the universe</w:t>
      </w:r>
      <w:r w:rsidR="007655CF">
        <w:t>. Yet</w:t>
      </w:r>
      <w:r w:rsidR="002B5D12">
        <w:t xml:space="preserve"> “magic” was a pseudoscience since it tried to manipulate </w:t>
      </w:r>
      <w:r w:rsidR="002B5D12">
        <w:lastRenderedPageBreak/>
        <w:t>those forces based on associative fallacies</w:t>
      </w:r>
      <w:r w:rsidR="00425EF8">
        <w:t>.</w:t>
      </w:r>
      <w:r w:rsidR="00974072">
        <w:t xml:space="preserve"> </w:t>
      </w:r>
      <w:r w:rsidR="00954E17">
        <w:t xml:space="preserve">Frazer maintained that </w:t>
      </w:r>
      <w:r w:rsidR="00974072">
        <w:t>“</w:t>
      </w:r>
      <w:r w:rsidR="00045301">
        <w:t>r</w:t>
      </w:r>
      <w:r w:rsidR="00974072">
        <w:t>eligion</w:t>
      </w:r>
      <w:r w:rsidR="00097665">
        <w:t xml:space="preserve">” </w:t>
      </w:r>
      <w:r w:rsidR="001730F2">
        <w:t xml:space="preserve">was </w:t>
      </w:r>
      <w:r w:rsidR="002B5D12">
        <w:t>inferior to “science”</w:t>
      </w:r>
      <w:r w:rsidR="0077173B">
        <w:t xml:space="preserve"> </w:t>
      </w:r>
      <w:r w:rsidR="00E203D8">
        <w:t>because</w:t>
      </w:r>
      <w:r w:rsidR="002B5D12">
        <w:t xml:space="preserve"> it operated</w:t>
      </w:r>
      <w:r w:rsidR="00425EF8">
        <w:t xml:space="preserve"> on the </w:t>
      </w:r>
      <w:r w:rsidR="002952AB">
        <w:t xml:space="preserve">faulty </w:t>
      </w:r>
      <w:r w:rsidR="00425EF8">
        <w:t>assumption that cons</w:t>
      </w:r>
      <w:r w:rsidR="002952AB">
        <w:t xml:space="preserve">cious and personal forces </w:t>
      </w:r>
      <w:r w:rsidR="00855DAB">
        <w:t>controlled</w:t>
      </w:r>
      <w:r w:rsidR="002952AB">
        <w:t xml:space="preserve"> the universe</w:t>
      </w:r>
      <w:r w:rsidR="00425EF8">
        <w:t>.</w:t>
      </w:r>
      <w:r w:rsidR="00974072">
        <w:t xml:space="preserve"> </w:t>
      </w:r>
      <w:r w:rsidR="00E203D8">
        <w:t>Thus, f</w:t>
      </w:r>
      <w:r w:rsidR="001730F2">
        <w:t>or</w:t>
      </w:r>
      <w:r>
        <w:t xml:space="preserve"> Frazer, European elites </w:t>
      </w:r>
      <w:r w:rsidR="006D29FE">
        <w:t xml:space="preserve">stood at the acme of human social development </w:t>
      </w:r>
      <w:r w:rsidR="002A173F">
        <w:t>because</w:t>
      </w:r>
      <w:r w:rsidR="006D29FE">
        <w:t xml:space="preserve"> they </w:t>
      </w:r>
      <w:r w:rsidR="00EA107B">
        <w:t xml:space="preserve">had </w:t>
      </w:r>
      <w:r w:rsidR="00954E17">
        <w:t>embrace</w:t>
      </w:r>
      <w:r w:rsidR="007659CE">
        <w:t>d</w:t>
      </w:r>
      <w:r w:rsidR="001730F2">
        <w:t xml:space="preserve"> “science</w:t>
      </w:r>
      <w:r w:rsidR="00C508CD">
        <w:t>.</w:t>
      </w:r>
      <w:r w:rsidR="006D29FE">
        <w:t>”</w:t>
      </w:r>
      <w:r w:rsidR="00C508CD">
        <w:t xml:space="preserve"> </w:t>
      </w:r>
      <w:r w:rsidR="00FA7877">
        <w:t>By contrast</w:t>
      </w:r>
      <w:r w:rsidR="006D29FE">
        <w:t xml:space="preserve">, </w:t>
      </w:r>
      <w:r w:rsidR="00C508CD">
        <w:t>“</w:t>
      </w:r>
      <w:r w:rsidR="006D29FE">
        <w:t>p</w:t>
      </w:r>
      <w:r w:rsidR="001730F2">
        <w:t>rimitives</w:t>
      </w:r>
      <w:r w:rsidR="00C508CD">
        <w:t>”</w:t>
      </w:r>
      <w:r w:rsidR="001730F2">
        <w:t xml:space="preserve"> </w:t>
      </w:r>
      <w:r w:rsidR="00A75B5E">
        <w:t xml:space="preserve">organized their lives around the less developed principles of “magic” and “religion” and, hence, were </w:t>
      </w:r>
      <w:r w:rsidR="001B01C5">
        <w:t>culturally</w:t>
      </w:r>
      <w:r w:rsidR="00A75B5E">
        <w:t xml:space="preserve"> inferior. </w:t>
      </w:r>
    </w:p>
    <w:p w:rsidR="003B518B" w:rsidRDefault="003B518B" w:rsidP="001E2996">
      <w:pPr>
        <w:spacing w:line="360" w:lineRule="auto"/>
        <w:ind w:firstLine="720"/>
      </w:pPr>
      <w:r>
        <w:t xml:space="preserve">Comparison and social evolution also facilitated Frazer’s veiled </w:t>
      </w:r>
      <w:r w:rsidR="00545F56">
        <w:t>criticism</w:t>
      </w:r>
      <w:r>
        <w:t xml:space="preserve"> of his childhood faith, Christianity. Although Jesus is not explicitly mentioned alongside the death and resurrection narratives discussed in </w:t>
      </w:r>
      <w:r w:rsidRPr="003A76F6">
        <w:rPr>
          <w:i/>
        </w:rPr>
        <w:t>GB</w:t>
      </w:r>
      <w:r>
        <w:t xml:space="preserve">, most scholars have appropriately intuited here an implicit </w:t>
      </w:r>
      <w:r w:rsidR="00545F56">
        <w:t>criticism</w:t>
      </w:r>
      <w:r>
        <w:t xml:space="preserve"> of Christianity as a vestige of the “primitive </w:t>
      </w:r>
      <w:r w:rsidR="00A505E3">
        <w:t>mind</w:t>
      </w:r>
      <w:r w:rsidR="000F09B2">
        <w:t>.”</w:t>
      </w:r>
      <w:r w:rsidR="001E2996">
        <w:t xml:space="preserve"> </w:t>
      </w:r>
      <w:r>
        <w:t xml:space="preserve">Despite </w:t>
      </w:r>
      <w:r w:rsidR="00763014">
        <w:t>the</w:t>
      </w:r>
      <w:r>
        <w:t xml:space="preserve"> fierce criticism </w:t>
      </w:r>
      <w:r w:rsidR="00763014">
        <w:t xml:space="preserve">of his work </w:t>
      </w:r>
      <w:r>
        <w:t>during his life and posthumously, Frazer influenced notable figures</w:t>
      </w:r>
      <w:r w:rsidR="00013C44">
        <w:t xml:space="preserve"> </w:t>
      </w:r>
      <w:r w:rsidR="001E2996">
        <w:t>in anthropology (</w:t>
      </w:r>
      <w:proofErr w:type="spellStart"/>
      <w:r w:rsidR="001E2996">
        <w:t>Bronislaw</w:t>
      </w:r>
      <w:proofErr w:type="spellEnd"/>
      <w:r>
        <w:t xml:space="preserve"> Malino</w:t>
      </w:r>
      <w:r w:rsidR="001E2996">
        <w:t>wski), psychology (Sigmund</w:t>
      </w:r>
      <w:r>
        <w:t xml:space="preserve"> Freud), </w:t>
      </w:r>
      <w:r w:rsidR="00763014">
        <w:t xml:space="preserve">and </w:t>
      </w:r>
      <w:r>
        <w:t>literar</w:t>
      </w:r>
      <w:r w:rsidR="001E2996">
        <w:t>y criticism (</w:t>
      </w:r>
      <w:r w:rsidR="00013C44">
        <w:t>T. S. Eliot)</w:t>
      </w:r>
      <w:r w:rsidR="00C0721E">
        <w:t>.</w:t>
      </w:r>
    </w:p>
    <w:p w:rsidR="003B518B" w:rsidRDefault="003B518B" w:rsidP="00441A19">
      <w:pPr>
        <w:spacing w:line="360" w:lineRule="auto"/>
      </w:pPr>
    </w:p>
    <w:p w:rsidR="00BE4A81" w:rsidRDefault="003B518B" w:rsidP="00441A19">
      <w:pPr>
        <w:spacing w:line="360" w:lineRule="auto"/>
      </w:pPr>
      <w:r w:rsidRPr="00C26B79">
        <w:rPr>
          <w:b/>
        </w:rPr>
        <w:t>Bibliography</w:t>
      </w:r>
      <w:r>
        <w:t xml:space="preserve">: </w:t>
      </w:r>
    </w:p>
    <w:p w:rsidR="002E114E" w:rsidRDefault="003B518B" w:rsidP="00441A19">
      <w:pPr>
        <w:spacing w:line="360" w:lineRule="auto"/>
      </w:pPr>
      <w:proofErr w:type="spellStart"/>
      <w:r w:rsidRPr="00BE4A81">
        <w:t>Besterman</w:t>
      </w:r>
      <w:proofErr w:type="spellEnd"/>
      <w:r w:rsidRPr="00BE4A81">
        <w:t xml:space="preserve">, </w:t>
      </w:r>
      <w:r w:rsidR="00BE4A81" w:rsidRPr="00BE4A81">
        <w:t xml:space="preserve">T. (1934) </w:t>
      </w:r>
      <w:r w:rsidRPr="00BE4A81">
        <w:rPr>
          <w:i/>
        </w:rPr>
        <w:t>A Bibliography of Sir James George Frazer O. M.</w:t>
      </w:r>
      <w:r w:rsidR="00BE4A81" w:rsidRPr="00BE4A81">
        <w:t xml:space="preserve">, </w:t>
      </w:r>
      <w:r w:rsidRPr="00BE4A81">
        <w:t xml:space="preserve">London: </w:t>
      </w:r>
    </w:p>
    <w:p w:rsidR="00BE4A81" w:rsidRDefault="003B518B" w:rsidP="00441A19">
      <w:pPr>
        <w:spacing w:line="360" w:lineRule="auto"/>
        <w:ind w:left="720"/>
      </w:pPr>
      <w:r w:rsidRPr="00BE4A81">
        <w:t xml:space="preserve">Macmillan; </w:t>
      </w:r>
      <w:proofErr w:type="spellStart"/>
      <w:r w:rsidRPr="00BE4A81">
        <w:t>repr</w:t>
      </w:r>
      <w:proofErr w:type="spellEnd"/>
      <w:r w:rsidRPr="00BE4A81">
        <w:t xml:space="preserve">. </w:t>
      </w:r>
      <w:r w:rsidR="00BE4A81" w:rsidRPr="00BE4A81">
        <w:rPr>
          <w:rFonts w:cs="Arial Unicode MS"/>
        </w:rPr>
        <w:t>(</w:t>
      </w:r>
      <w:r w:rsidR="00BE4A81" w:rsidRPr="00BE4A81">
        <w:t>1968)</w:t>
      </w:r>
      <w:r w:rsidR="00BE4A81">
        <w:t xml:space="preserve"> </w:t>
      </w:r>
      <w:r w:rsidRPr="00BE4A81">
        <w:t xml:space="preserve">London: </w:t>
      </w:r>
      <w:proofErr w:type="spellStart"/>
      <w:r w:rsidRPr="00BE4A81">
        <w:t>Dawsons</w:t>
      </w:r>
      <w:proofErr w:type="spellEnd"/>
      <w:r w:rsidRPr="00BE4A81">
        <w:t xml:space="preserve"> of Pall</w:t>
      </w:r>
      <w:r w:rsidR="00BE4A81">
        <w:t xml:space="preserve"> Mall</w:t>
      </w:r>
      <w:r w:rsidRPr="00BE4A81">
        <w:t xml:space="preserve">; </w:t>
      </w:r>
      <w:r w:rsidR="002E114E">
        <w:t xml:space="preserve">supplemented by </w:t>
      </w:r>
      <w:r w:rsidR="00376E90">
        <w:t xml:space="preserve">Ackerman 1987: 309-10. </w:t>
      </w:r>
    </w:p>
    <w:p w:rsidR="00502EB1" w:rsidRDefault="00502EB1" w:rsidP="00441A19">
      <w:pPr>
        <w:spacing w:line="360" w:lineRule="auto"/>
        <w:rPr>
          <w:b/>
        </w:rPr>
      </w:pPr>
    </w:p>
    <w:p w:rsidR="005E06AD" w:rsidRDefault="00BE4A81" w:rsidP="00441A19">
      <w:pPr>
        <w:spacing w:line="360" w:lineRule="auto"/>
        <w:rPr>
          <w:b/>
        </w:rPr>
      </w:pPr>
      <w:r>
        <w:rPr>
          <w:b/>
        </w:rPr>
        <w:t xml:space="preserve">Further Reading: </w:t>
      </w:r>
    </w:p>
    <w:p w:rsidR="00376E90" w:rsidRDefault="00376E90" w:rsidP="00441A19">
      <w:pPr>
        <w:spacing w:line="360" w:lineRule="auto"/>
      </w:pPr>
      <w:r w:rsidRPr="00BE4A81">
        <w:t>Ackerman,</w:t>
      </w:r>
      <w:r>
        <w:t xml:space="preserve"> R. (1987)</w:t>
      </w:r>
      <w:r w:rsidRPr="00BE4A81">
        <w:t xml:space="preserve"> </w:t>
      </w:r>
      <w:r w:rsidRPr="00BE4A81">
        <w:rPr>
          <w:i/>
        </w:rPr>
        <w:t>J. G. Frazer: His Life and Work</w:t>
      </w:r>
      <w:r>
        <w:t xml:space="preserve">, Cambridge: Cambridge University </w:t>
      </w:r>
    </w:p>
    <w:p w:rsidR="00376E90" w:rsidRDefault="00376E90" w:rsidP="00441A19">
      <w:pPr>
        <w:spacing w:line="360" w:lineRule="auto"/>
        <w:ind w:firstLine="720"/>
      </w:pPr>
      <w:r>
        <w:t xml:space="preserve">Press. </w:t>
      </w:r>
    </w:p>
    <w:p w:rsidR="00376E90" w:rsidRDefault="00376E90" w:rsidP="00441A19">
      <w:pPr>
        <w:spacing w:line="360" w:lineRule="auto"/>
      </w:pPr>
      <w:r>
        <w:t xml:space="preserve">Frazer, R., ed. (1990) </w:t>
      </w:r>
      <w:r>
        <w:rPr>
          <w:i/>
        </w:rPr>
        <w:t>Sir James Frazer and the Literary Imagination</w:t>
      </w:r>
      <w:r>
        <w:t xml:space="preserve">, London: </w:t>
      </w:r>
    </w:p>
    <w:p w:rsidR="00376E90" w:rsidRPr="00376E90" w:rsidRDefault="00376E90" w:rsidP="00441A19">
      <w:pPr>
        <w:spacing w:line="360" w:lineRule="auto"/>
        <w:ind w:firstLine="720"/>
      </w:pPr>
      <w:r w:rsidRPr="00376E90">
        <w:t>Macmillan</w:t>
      </w:r>
      <w:r>
        <w:t>.</w:t>
      </w:r>
    </w:p>
    <w:p w:rsidR="00376E90" w:rsidRDefault="00376E90" w:rsidP="00441A19">
      <w:pPr>
        <w:spacing w:line="360" w:lineRule="auto"/>
      </w:pPr>
      <w:r>
        <w:t xml:space="preserve">Leach, E. R. (1961) “Golden Bough or Gilded Twig?” </w:t>
      </w:r>
      <w:r>
        <w:rPr>
          <w:i/>
        </w:rPr>
        <w:t>Daedalus</w:t>
      </w:r>
      <w:r>
        <w:t xml:space="preserve"> 90: 371-87. </w:t>
      </w:r>
    </w:p>
    <w:p w:rsidR="00376E90" w:rsidRDefault="00376E90" w:rsidP="00441A19">
      <w:pPr>
        <w:spacing w:line="360" w:lineRule="auto"/>
      </w:pPr>
      <w:r w:rsidRPr="00376E90">
        <w:t xml:space="preserve">Smith, J. Z. </w:t>
      </w:r>
      <w:r>
        <w:t xml:space="preserve">(1973) “When the Bough Breaks,” </w:t>
      </w:r>
      <w:r>
        <w:rPr>
          <w:i/>
        </w:rPr>
        <w:t>History of Religions</w:t>
      </w:r>
      <w:r>
        <w:t xml:space="preserve"> 12, no. 4: 342-71. </w:t>
      </w:r>
    </w:p>
    <w:p w:rsidR="00376E90" w:rsidRDefault="00376E90" w:rsidP="00441A19">
      <w:pPr>
        <w:spacing w:line="360" w:lineRule="auto"/>
      </w:pPr>
      <w:r>
        <w:t xml:space="preserve">Vickery, J. B. (1973) </w:t>
      </w:r>
      <w:r>
        <w:rPr>
          <w:i/>
        </w:rPr>
        <w:t>The Literary Impact of “The Golden Bough</w:t>
      </w:r>
      <w:r>
        <w:t>,</w:t>
      </w:r>
      <w:r>
        <w:rPr>
          <w:i/>
        </w:rPr>
        <w:t>”</w:t>
      </w:r>
      <w:r>
        <w:t xml:space="preserve"> Princeton: Princeton </w:t>
      </w:r>
    </w:p>
    <w:p w:rsidR="00376E90" w:rsidRPr="00376E90" w:rsidRDefault="00376E90" w:rsidP="00441A19">
      <w:pPr>
        <w:spacing w:line="360" w:lineRule="auto"/>
        <w:ind w:firstLine="720"/>
      </w:pPr>
      <w:r>
        <w:t xml:space="preserve">University Press. </w:t>
      </w:r>
    </w:p>
    <w:p w:rsidR="000F09B2" w:rsidRDefault="000F09B2" w:rsidP="00441A19">
      <w:pPr>
        <w:spacing w:line="360" w:lineRule="auto"/>
      </w:pPr>
    </w:p>
    <w:p w:rsidR="00C313E3" w:rsidRDefault="00D26590" w:rsidP="00441A19">
      <w:pPr>
        <w:spacing w:line="360" w:lineRule="auto"/>
      </w:pPr>
      <w:r>
        <w:t xml:space="preserve">Joseph Emanuel </w:t>
      </w:r>
      <w:proofErr w:type="spellStart"/>
      <w:r>
        <w:t>Sanzo</w:t>
      </w:r>
      <w:proofErr w:type="spellEnd"/>
    </w:p>
    <w:p w:rsidR="00D26590" w:rsidRPr="005E06AD" w:rsidRDefault="00D26590" w:rsidP="00441A19">
      <w:pPr>
        <w:spacing w:line="360" w:lineRule="auto"/>
      </w:pPr>
      <w:r>
        <w:t>University of California, Los Angeles</w:t>
      </w:r>
    </w:p>
    <w:sectPr w:rsidR="00D26590" w:rsidRPr="005E06AD" w:rsidSect="00C313E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7B"/>
    <w:rsid w:val="00013C44"/>
    <w:rsid w:val="00045301"/>
    <w:rsid w:val="00092719"/>
    <w:rsid w:val="00097665"/>
    <w:rsid w:val="000F09B2"/>
    <w:rsid w:val="000F58BC"/>
    <w:rsid w:val="001145D1"/>
    <w:rsid w:val="001730F2"/>
    <w:rsid w:val="001B01C5"/>
    <w:rsid w:val="001E269A"/>
    <w:rsid w:val="001E2996"/>
    <w:rsid w:val="001E76AA"/>
    <w:rsid w:val="00217BE9"/>
    <w:rsid w:val="002233EB"/>
    <w:rsid w:val="002952AB"/>
    <w:rsid w:val="002A173F"/>
    <w:rsid w:val="002B5D12"/>
    <w:rsid w:val="002E114E"/>
    <w:rsid w:val="003172A8"/>
    <w:rsid w:val="003229CA"/>
    <w:rsid w:val="00376E90"/>
    <w:rsid w:val="003B1432"/>
    <w:rsid w:val="003B518B"/>
    <w:rsid w:val="00425EF8"/>
    <w:rsid w:val="00441A19"/>
    <w:rsid w:val="00502EB1"/>
    <w:rsid w:val="00545F56"/>
    <w:rsid w:val="0056447B"/>
    <w:rsid w:val="0058480A"/>
    <w:rsid w:val="005972E7"/>
    <w:rsid w:val="005E06AD"/>
    <w:rsid w:val="005E6F6B"/>
    <w:rsid w:val="006A66AF"/>
    <w:rsid w:val="006D29FE"/>
    <w:rsid w:val="006E50A3"/>
    <w:rsid w:val="00763014"/>
    <w:rsid w:val="007655CF"/>
    <w:rsid w:val="007659CE"/>
    <w:rsid w:val="00767A51"/>
    <w:rsid w:val="0077173B"/>
    <w:rsid w:val="00830156"/>
    <w:rsid w:val="00855DAB"/>
    <w:rsid w:val="008D0D4E"/>
    <w:rsid w:val="009452EC"/>
    <w:rsid w:val="00954E17"/>
    <w:rsid w:val="00974072"/>
    <w:rsid w:val="009D47BB"/>
    <w:rsid w:val="009F3E06"/>
    <w:rsid w:val="00A505E3"/>
    <w:rsid w:val="00A72B08"/>
    <w:rsid w:val="00A75B5E"/>
    <w:rsid w:val="00BD329C"/>
    <w:rsid w:val="00BE4A81"/>
    <w:rsid w:val="00C0721E"/>
    <w:rsid w:val="00C313E3"/>
    <w:rsid w:val="00C508CD"/>
    <w:rsid w:val="00C6471C"/>
    <w:rsid w:val="00D26590"/>
    <w:rsid w:val="00D35E3A"/>
    <w:rsid w:val="00DC6677"/>
    <w:rsid w:val="00E203D8"/>
    <w:rsid w:val="00E75D4F"/>
    <w:rsid w:val="00EA107B"/>
    <w:rsid w:val="00F178EA"/>
    <w:rsid w:val="00F311FC"/>
    <w:rsid w:val="00F60246"/>
    <w:rsid w:val="00FA78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8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8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3611</Characters>
  <Application>Microsoft Macintosh Word</Application>
  <DocSecurity>0</DocSecurity>
  <Lines>30</Lines>
  <Paragraphs>8</Paragraphs>
  <ScaleCrop>false</ScaleCrop>
  <Company>University of Utah</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 D'Orazio</dc:creator>
  <cp:keywords/>
  <cp:lastModifiedBy>Stephen Ross</cp:lastModifiedBy>
  <cp:revision>2</cp:revision>
  <dcterms:created xsi:type="dcterms:W3CDTF">2015-09-21T22:57:00Z</dcterms:created>
  <dcterms:modified xsi:type="dcterms:W3CDTF">2015-09-21T22:57:00Z</dcterms:modified>
</cp:coreProperties>
</file>