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6C3F4C" w:rsidRPr="006C3F4C" w:rsidTr="006C3F4C">
        <w:tc>
          <w:tcPr>
            <w:tcW w:w="491" w:type="dxa"/>
            <w:vMerge w:val="restart"/>
            <w:shd w:val="clear" w:color="auto" w:fill="A6A6A6"/>
            <w:textDirection w:val="btLr"/>
          </w:tcPr>
          <w:p w:rsidR="00B574C9" w:rsidRPr="006C3F4C" w:rsidRDefault="00B574C9" w:rsidP="006C3F4C">
            <w:pPr>
              <w:spacing w:after="0" w:line="240" w:lineRule="auto"/>
              <w:jc w:val="center"/>
              <w:rPr>
                <w:b/>
                <w:color w:val="FFFFFF"/>
              </w:rPr>
            </w:pPr>
            <w:r w:rsidRPr="006C3F4C">
              <w:rPr>
                <w:b/>
                <w:color w:val="FFFFFF"/>
              </w:rPr>
              <w:t>About you</w:t>
            </w:r>
          </w:p>
        </w:tc>
        <w:tc>
          <w:tcPr>
            <w:tcW w:w="1259" w:type="dxa"/>
            <w:shd w:val="clear" w:color="auto" w:fill="auto"/>
          </w:tcPr>
          <w:p w:rsidR="00B574C9" w:rsidRPr="006C3F4C" w:rsidRDefault="00B574C9" w:rsidP="006C3F4C">
            <w:pPr>
              <w:spacing w:after="0" w:line="240" w:lineRule="auto"/>
              <w:jc w:val="center"/>
              <w:rPr>
                <w:b/>
                <w:color w:val="FFFFFF"/>
              </w:rPr>
            </w:pPr>
            <w:r w:rsidRPr="006C3F4C">
              <w:rPr>
                <w:rStyle w:val="PlaceholderText"/>
                <w:b/>
                <w:color w:val="FFFFFF"/>
              </w:rPr>
              <w:t>[Salutation]</w:t>
            </w:r>
          </w:p>
        </w:tc>
        <w:tc>
          <w:tcPr>
            <w:tcW w:w="2073" w:type="dxa"/>
            <w:shd w:val="clear" w:color="auto" w:fill="auto"/>
          </w:tcPr>
          <w:p w:rsidR="00B574C9" w:rsidRPr="006C3F4C" w:rsidRDefault="006C3F4C" w:rsidP="006C3F4C">
            <w:pPr>
              <w:spacing w:after="0" w:line="240" w:lineRule="auto"/>
            </w:pPr>
            <w:r>
              <w:rPr>
                <w:rStyle w:val="PlaceholderText"/>
              </w:rPr>
              <w:t>Naama</w:t>
            </w:r>
          </w:p>
        </w:tc>
        <w:tc>
          <w:tcPr>
            <w:tcW w:w="2551" w:type="dxa"/>
            <w:shd w:val="clear" w:color="auto" w:fill="auto"/>
          </w:tcPr>
          <w:p w:rsidR="00B574C9" w:rsidRPr="006C3F4C" w:rsidRDefault="00B574C9" w:rsidP="006C3F4C">
            <w:pPr>
              <w:spacing w:after="0" w:line="240" w:lineRule="auto"/>
            </w:pPr>
            <w:r w:rsidRPr="006C3F4C">
              <w:rPr>
                <w:rStyle w:val="PlaceholderText"/>
              </w:rPr>
              <w:t>[Middle name]</w:t>
            </w:r>
          </w:p>
        </w:tc>
        <w:tc>
          <w:tcPr>
            <w:tcW w:w="2642" w:type="dxa"/>
            <w:shd w:val="clear" w:color="auto" w:fill="auto"/>
          </w:tcPr>
          <w:p w:rsidR="00B574C9" w:rsidRPr="006C3F4C" w:rsidRDefault="006C3F4C" w:rsidP="006C3F4C">
            <w:pPr>
              <w:spacing w:after="0" w:line="240" w:lineRule="auto"/>
            </w:pPr>
            <w:r>
              <w:rPr>
                <w:rStyle w:val="PlaceholderText"/>
              </w:rPr>
              <w:t>Harel</w:t>
            </w:r>
          </w:p>
        </w:tc>
      </w:tr>
      <w:tr w:rsidR="006C3F4C" w:rsidRPr="006C3F4C" w:rsidTr="006C3F4C">
        <w:trPr>
          <w:trHeight w:val="986"/>
        </w:trPr>
        <w:tc>
          <w:tcPr>
            <w:tcW w:w="491" w:type="dxa"/>
            <w:vMerge/>
            <w:shd w:val="clear" w:color="auto" w:fill="A6A6A6"/>
          </w:tcPr>
          <w:p w:rsidR="00B574C9" w:rsidRPr="006C3F4C" w:rsidRDefault="00B574C9" w:rsidP="006C3F4C">
            <w:pPr>
              <w:spacing w:after="0" w:line="240" w:lineRule="auto"/>
              <w:jc w:val="center"/>
              <w:rPr>
                <w:b/>
                <w:color w:val="FFFFFF"/>
              </w:rPr>
            </w:pPr>
          </w:p>
        </w:tc>
        <w:tc>
          <w:tcPr>
            <w:tcW w:w="8525" w:type="dxa"/>
            <w:gridSpan w:val="4"/>
            <w:shd w:val="clear" w:color="auto" w:fill="auto"/>
          </w:tcPr>
          <w:p w:rsidR="00B574C9" w:rsidRPr="006C3F4C" w:rsidRDefault="00B574C9" w:rsidP="006C3F4C">
            <w:pPr>
              <w:spacing w:after="0" w:line="240" w:lineRule="auto"/>
            </w:pPr>
            <w:r w:rsidRPr="006C3F4C">
              <w:rPr>
                <w:rStyle w:val="PlaceholderText"/>
              </w:rPr>
              <w:t>[Enter your biography]</w:t>
            </w:r>
          </w:p>
        </w:tc>
      </w:tr>
      <w:tr w:rsidR="006C3F4C" w:rsidRPr="006C3F4C" w:rsidTr="006C3F4C">
        <w:trPr>
          <w:trHeight w:val="986"/>
        </w:trPr>
        <w:tc>
          <w:tcPr>
            <w:tcW w:w="491" w:type="dxa"/>
            <w:vMerge/>
            <w:shd w:val="clear" w:color="auto" w:fill="A6A6A6"/>
          </w:tcPr>
          <w:p w:rsidR="00B574C9" w:rsidRPr="006C3F4C" w:rsidRDefault="00B574C9" w:rsidP="006C3F4C">
            <w:pPr>
              <w:spacing w:after="0" w:line="240" w:lineRule="auto"/>
              <w:jc w:val="center"/>
              <w:rPr>
                <w:b/>
                <w:color w:val="FFFFFF"/>
              </w:rPr>
            </w:pPr>
          </w:p>
        </w:tc>
        <w:tc>
          <w:tcPr>
            <w:tcW w:w="8525" w:type="dxa"/>
            <w:gridSpan w:val="4"/>
            <w:shd w:val="clear" w:color="auto" w:fill="auto"/>
          </w:tcPr>
          <w:p w:rsidR="00B574C9" w:rsidRPr="006C3F4C" w:rsidRDefault="00B574C9" w:rsidP="006C3F4C">
            <w:pPr>
              <w:spacing w:after="0" w:line="240" w:lineRule="auto"/>
            </w:pPr>
            <w:r w:rsidRPr="006C3F4C">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3F4C" w:rsidRPr="006C3F4C" w:rsidTr="006C3F4C">
        <w:tc>
          <w:tcPr>
            <w:tcW w:w="9016" w:type="dxa"/>
            <w:shd w:val="clear" w:color="auto" w:fill="A6A6A6"/>
            <w:tcMar>
              <w:top w:w="113" w:type="dxa"/>
              <w:bottom w:w="113" w:type="dxa"/>
            </w:tcMar>
          </w:tcPr>
          <w:p w:rsidR="00244BB0" w:rsidRPr="006C3F4C" w:rsidRDefault="00244BB0" w:rsidP="006C3F4C">
            <w:pPr>
              <w:spacing w:after="0" w:line="240" w:lineRule="auto"/>
              <w:jc w:val="center"/>
              <w:rPr>
                <w:b/>
                <w:color w:val="FFFFFF"/>
              </w:rPr>
            </w:pPr>
            <w:r w:rsidRPr="006C3F4C">
              <w:rPr>
                <w:b/>
                <w:color w:val="FFFFFF"/>
              </w:rPr>
              <w:t>Your article</w:t>
            </w:r>
          </w:p>
        </w:tc>
      </w:tr>
      <w:tr w:rsidR="003F0D73" w:rsidRPr="006C3F4C" w:rsidTr="006C3F4C">
        <w:tc>
          <w:tcPr>
            <w:tcW w:w="9016" w:type="dxa"/>
            <w:shd w:val="clear" w:color="auto" w:fill="auto"/>
            <w:tcMar>
              <w:top w:w="113" w:type="dxa"/>
              <w:bottom w:w="113" w:type="dxa"/>
            </w:tcMar>
          </w:tcPr>
          <w:p w:rsidR="003F0D73" w:rsidRPr="006C3F4C" w:rsidRDefault="006C3F4C" w:rsidP="006C3F4C">
            <w:pPr>
              <w:spacing w:after="0" w:line="240" w:lineRule="auto"/>
              <w:rPr>
                <w:b/>
              </w:rPr>
            </w:pPr>
            <w:r>
              <w:rPr>
                <w:b/>
                <w:bCs/>
                <w:color w:val="808080"/>
                <w:lang w:val="en-US"/>
              </w:rPr>
              <w:t xml:space="preserve">Gnessin, </w:t>
            </w:r>
            <w:r w:rsidRPr="006C3F4C">
              <w:rPr>
                <w:b/>
                <w:bCs/>
                <w:color w:val="808080"/>
                <w:lang w:val="en-US"/>
              </w:rPr>
              <w:t>Uri Nissan (1879-1913)</w:t>
            </w:r>
          </w:p>
        </w:tc>
      </w:tr>
      <w:tr w:rsidR="00464699" w:rsidRPr="006C3F4C" w:rsidTr="006C3F4C">
        <w:tc>
          <w:tcPr>
            <w:tcW w:w="9016" w:type="dxa"/>
            <w:shd w:val="clear" w:color="auto" w:fill="auto"/>
            <w:tcMar>
              <w:top w:w="113" w:type="dxa"/>
              <w:bottom w:w="113" w:type="dxa"/>
            </w:tcMar>
          </w:tcPr>
          <w:p w:rsidR="00464699" w:rsidRPr="006C3F4C" w:rsidRDefault="00464699" w:rsidP="006C3F4C">
            <w:pPr>
              <w:spacing w:after="0" w:line="240" w:lineRule="auto"/>
            </w:pPr>
            <w:r w:rsidRPr="006C3F4C">
              <w:rPr>
                <w:rStyle w:val="PlaceholderText"/>
                <w:b/>
              </w:rPr>
              <w:t xml:space="preserve">[Enter any </w:t>
            </w:r>
            <w:r w:rsidRPr="006C3F4C">
              <w:rPr>
                <w:rStyle w:val="PlaceholderText"/>
                <w:b/>
                <w:i/>
              </w:rPr>
              <w:t>variant forms</w:t>
            </w:r>
            <w:r w:rsidRPr="006C3F4C">
              <w:rPr>
                <w:rStyle w:val="PlaceholderText"/>
                <w:b/>
              </w:rPr>
              <w:t xml:space="preserve"> of your headword – OPTIONAL]</w:t>
            </w:r>
          </w:p>
        </w:tc>
      </w:tr>
      <w:tr w:rsidR="00E85A05" w:rsidRPr="006C3F4C" w:rsidTr="006C3F4C">
        <w:tc>
          <w:tcPr>
            <w:tcW w:w="9016" w:type="dxa"/>
            <w:shd w:val="clear" w:color="auto" w:fill="auto"/>
            <w:tcMar>
              <w:top w:w="113" w:type="dxa"/>
              <w:bottom w:w="113" w:type="dxa"/>
            </w:tcMar>
          </w:tcPr>
          <w:p w:rsidR="00E85A05" w:rsidRPr="006C3F4C" w:rsidRDefault="00337B96" w:rsidP="006C3F4C">
            <w:pPr>
              <w:spacing w:after="0" w:line="240" w:lineRule="auto"/>
            </w:pPr>
            <w:r w:rsidRPr="00337B96">
              <w:t xml:space="preserve">Uri Nissan Gnessin is a Russian Jewish author, who is recognized as one of the founders of Modern Hebrew literature. He was born in Starodub, a small town in the Ukraine, as a son of a Hasidic rabbi. </w:t>
            </w:r>
            <w:r w:rsidRPr="00337B96">
              <w:rPr>
                <w:lang w:val="en"/>
              </w:rPr>
              <w:t>Attracted</w:t>
            </w:r>
            <w:r w:rsidRPr="00337B96">
              <w:t xml:space="preserve"> to the </w:t>
            </w:r>
            <w:r w:rsidRPr="00337B96">
              <w:rPr>
                <w:i/>
                <w:iCs/>
              </w:rPr>
              <w:t>Haskalah</w:t>
            </w:r>
            <w:r w:rsidRPr="00337B96">
              <w:t xml:space="preserve"> (the Jewish Enlightenment movement), Gnessin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r w:rsidRPr="00337B96">
              <w:rPr>
                <w:i/>
                <w:iCs/>
              </w:rPr>
              <w:t>Tsilele</w:t>
            </w:r>
            <w:r w:rsidRPr="00337B96">
              <w:rPr>
                <w:rStyle w:val="Emphasis"/>
                <w:i/>
                <w:iCs/>
                <w:color w:val="1122CC"/>
                <w:lang w:val="en"/>
              </w:rPr>
              <w:t xml:space="preserve"> </w:t>
            </w:r>
            <w:r w:rsidRPr="00337B96">
              <w:rPr>
                <w:i/>
                <w:iCs/>
              </w:rPr>
              <w:t>Ha</w:t>
            </w:r>
            <w:r w:rsidRPr="00337B96">
              <w:rPr>
                <w:i/>
                <w:iCs/>
                <w:color w:val="222222"/>
                <w:lang w:val="en"/>
              </w:rPr>
              <w:t>’</w:t>
            </w:r>
            <w:r w:rsidRPr="00337B96">
              <w:rPr>
                <w:i/>
                <w:iCs/>
                <w:lang w:val="en"/>
              </w:rPr>
              <w:t xml:space="preserve">ḥayim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r w:rsidRPr="00337B96">
              <w:rPr>
                <w:i/>
                <w:iCs/>
                <w:lang w:val="en"/>
              </w:rPr>
              <w:t>Nisyonot</w:t>
            </w:r>
            <w:r w:rsidRPr="00337B96">
              <w:rPr>
                <w:lang w:val="en"/>
              </w:rPr>
              <w:t xml:space="preserve"> (</w:t>
            </w:r>
            <w:r w:rsidRPr="00337B96">
              <w:rPr>
                <w:i/>
                <w:iCs/>
                <w:lang w:val="en"/>
              </w:rPr>
              <w:t>Attempts</w:t>
            </w:r>
            <w:r w:rsidRPr="00337B96">
              <w:rPr>
                <w:lang w:val="en"/>
              </w:rPr>
              <w:t>) in 1906.</w:t>
            </w:r>
          </w:p>
        </w:tc>
      </w:tr>
      <w:tr w:rsidR="003F0D73" w:rsidRPr="006C3F4C" w:rsidTr="006C3F4C">
        <w:tc>
          <w:tcPr>
            <w:tcW w:w="9016" w:type="dxa"/>
            <w:shd w:val="clear" w:color="auto" w:fill="auto"/>
            <w:tcMar>
              <w:top w:w="113" w:type="dxa"/>
              <w:bottom w:w="113" w:type="dxa"/>
            </w:tcMar>
          </w:tcPr>
          <w:p w:rsidR="003F0D73" w:rsidRDefault="00337B96" w:rsidP="006C3F4C">
            <w:pPr>
              <w:spacing w:after="0" w:line="240" w:lineRule="auto"/>
            </w:pPr>
            <w:r w:rsidRPr="00337B96">
              <w:t xml:space="preserve">Uri Nissan Gnessin is a Russian Jewish author, who is recognized as one of the founders of Modern Hebrew literature. He was born in Starodub, a small town in the Ukraine, as a son of a Hasidic rabbi. </w:t>
            </w:r>
            <w:r w:rsidRPr="00337B96">
              <w:rPr>
                <w:lang w:val="en"/>
              </w:rPr>
              <w:t>Attracted</w:t>
            </w:r>
            <w:r w:rsidRPr="00337B96">
              <w:t xml:space="preserve"> to the </w:t>
            </w:r>
            <w:r w:rsidRPr="00337B96">
              <w:rPr>
                <w:i/>
                <w:iCs/>
              </w:rPr>
              <w:t>Haskalah</w:t>
            </w:r>
            <w:r w:rsidRPr="00337B96">
              <w:t xml:space="preserve"> (the Jewish Enlightenment movement), Gnessin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r w:rsidRPr="00337B96">
              <w:rPr>
                <w:i/>
                <w:iCs/>
              </w:rPr>
              <w:t>Tsilele</w:t>
            </w:r>
            <w:r w:rsidRPr="00337B96">
              <w:rPr>
                <w:rStyle w:val="Emphasis"/>
                <w:i/>
                <w:iCs/>
                <w:color w:val="1122CC"/>
                <w:lang w:val="en"/>
              </w:rPr>
              <w:t xml:space="preserve"> </w:t>
            </w:r>
            <w:r w:rsidRPr="00337B96">
              <w:rPr>
                <w:i/>
                <w:iCs/>
              </w:rPr>
              <w:t>Ha</w:t>
            </w:r>
            <w:r w:rsidRPr="00337B96">
              <w:rPr>
                <w:i/>
                <w:iCs/>
                <w:color w:val="222222"/>
                <w:lang w:val="en"/>
              </w:rPr>
              <w:t>’</w:t>
            </w:r>
            <w:r w:rsidRPr="00337B96">
              <w:rPr>
                <w:i/>
                <w:iCs/>
                <w:lang w:val="en"/>
              </w:rPr>
              <w:t xml:space="preserve">ḥayim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r w:rsidRPr="00337B96">
              <w:rPr>
                <w:i/>
                <w:iCs/>
                <w:lang w:val="en"/>
              </w:rPr>
              <w:t>Nisyonot</w:t>
            </w:r>
            <w:r w:rsidRPr="00337B96">
              <w:rPr>
                <w:lang w:val="en"/>
              </w:rPr>
              <w:t xml:space="preserve"> (</w:t>
            </w:r>
            <w:r w:rsidRPr="00337B96">
              <w:rPr>
                <w:i/>
                <w:iCs/>
                <w:lang w:val="en"/>
              </w:rPr>
              <w:t>Attempts</w:t>
            </w:r>
            <w:r w:rsidRPr="00337B96">
              <w:rPr>
                <w:lang w:val="en"/>
              </w:rPr>
              <w:t>) in 1906. I</w:t>
            </w:r>
            <w:r w:rsidRPr="00337B96">
              <w:t xml:space="preserve">n 1907 Gnessin co-edited with Yosef Haim Brenner the acclaimed Hebrew periodical </w:t>
            </w:r>
            <w:r w:rsidRPr="00337B96">
              <w:rPr>
                <w:i/>
                <w:iCs/>
              </w:rPr>
              <w:t>Ha’Meorer</w:t>
            </w:r>
            <w:r w:rsidRPr="00337B96">
              <w:t xml:space="preserve"> (</w:t>
            </w:r>
            <w:r w:rsidRPr="00337B96">
              <w:rPr>
                <w:i/>
                <w:iCs/>
              </w:rPr>
              <w:t xml:space="preserve">The </w:t>
            </w:r>
            <w:r w:rsidRPr="00337B96">
              <w:rPr>
                <w:rStyle w:val="st1"/>
                <w:i/>
                <w:iCs/>
                <w:lang w:val="en"/>
              </w:rPr>
              <w:t>Awakener</w:t>
            </w:r>
            <w:r w:rsidRPr="00337B96">
              <w:t xml:space="preserve">) in London. He then moved to Palestine, but returned to Russia shortly after. At the age of </w:t>
            </w:r>
            <w:r w:rsidR="009601C0" w:rsidRPr="00337B96">
              <w:t>thirty-four</w:t>
            </w:r>
            <w:r w:rsidRPr="00337B96">
              <w:t xml:space="preserve"> Gnessin died of a heart attack in Warsaw.</w:t>
            </w:r>
          </w:p>
          <w:p w:rsidR="00BD5450" w:rsidRDefault="00BD5450" w:rsidP="006C3F4C">
            <w:pPr>
              <w:spacing w:after="0" w:line="240" w:lineRule="auto"/>
            </w:pPr>
          </w:p>
          <w:p w:rsidR="002414A6" w:rsidRDefault="00BD5450" w:rsidP="002414A6">
            <w:pPr>
              <w:keepNext/>
              <w:spacing w:after="0" w:line="240" w:lineRule="auto"/>
            </w:pPr>
            <w:r>
              <w:t>File: Gnessin.jpg</w:t>
            </w:r>
          </w:p>
          <w:p w:rsidR="00BD5450" w:rsidRDefault="002414A6" w:rsidP="002414A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2414A6" w:rsidRDefault="00BD5450" w:rsidP="006C3F4C">
            <w:pPr>
              <w:spacing w:after="0" w:line="240" w:lineRule="auto"/>
            </w:pPr>
            <w:r>
              <w:t>Source: &lt;</w:t>
            </w:r>
            <w:r w:rsidR="002414A6" w:rsidRPr="002414A6">
              <w:t>http://revolvy-cdn.revolvyllc.netdna-cdn.com/images/cache/e4/7d/2c/</w:t>
            </w:r>
          </w:p>
          <w:p w:rsidR="00BD5450" w:rsidRDefault="002414A6" w:rsidP="006C3F4C">
            <w:pPr>
              <w:spacing w:after="0" w:line="240" w:lineRule="auto"/>
            </w:pPr>
            <w:r w:rsidRPr="002414A6">
              <w:t>e47d2c52e151bbbc4fbaaa77512cabea.jpg</w:t>
            </w:r>
            <w:r w:rsidR="00BD5450">
              <w:t>&gt;</w:t>
            </w:r>
          </w:p>
          <w:p w:rsidR="00BD5450" w:rsidRDefault="00BD5450" w:rsidP="006C3F4C">
            <w:pPr>
              <w:spacing w:after="0" w:line="240" w:lineRule="auto"/>
            </w:pPr>
          </w:p>
          <w:p w:rsidR="00BD5450" w:rsidRPr="00BD5450" w:rsidRDefault="00BD5450" w:rsidP="00BD5450">
            <w:pPr>
              <w:spacing w:after="0" w:line="240" w:lineRule="auto"/>
              <w:rPr>
                <w:lang w:val="en"/>
              </w:rPr>
            </w:pPr>
            <w:r w:rsidRPr="00BD5450">
              <w:rPr>
                <w:lang w:val="en"/>
              </w:rPr>
              <w:t xml:space="preserve">Gnessin left behind a small but remarkable body of work. His most central works include four novellas, entitled </w:t>
            </w:r>
            <w:r w:rsidR="00C1288D">
              <w:rPr>
                <w:lang w:val="en"/>
              </w:rPr>
              <w:t>‘</w:t>
            </w:r>
            <w:r w:rsidRPr="00BD5450">
              <w:rPr>
                <w:i/>
                <w:iCs/>
                <w:lang w:val="en"/>
              </w:rPr>
              <w:t>Ha</w:t>
            </w:r>
            <w:r w:rsidRPr="00BD5450">
              <w:rPr>
                <w:i/>
                <w:iCs/>
                <w:lang w:val="en-US"/>
              </w:rPr>
              <w:t>t</w:t>
            </w:r>
            <w:r w:rsidRPr="00BD5450">
              <w:rPr>
                <w:i/>
                <w:iCs/>
                <w:lang w:val="en"/>
              </w:rPr>
              <w:t>sidah</w:t>
            </w:r>
            <w:r w:rsidR="00C1288D">
              <w:rPr>
                <w:lang w:val="en"/>
              </w:rPr>
              <w:t>’</w:t>
            </w:r>
            <w:r w:rsidRPr="00BD5450">
              <w:rPr>
                <w:lang w:val="en"/>
              </w:rPr>
              <w:t xml:space="preserve"> (Sideways</w:t>
            </w:r>
            <w:r w:rsidRPr="00BD5450">
              <w:rPr>
                <w:lang w:val="en-US"/>
              </w:rPr>
              <w:t>, 1905</w:t>
            </w:r>
            <w:r w:rsidRPr="00BD5450">
              <w:rPr>
                <w:lang w:val="en"/>
              </w:rPr>
              <w:t xml:space="preserve">), </w:t>
            </w:r>
            <w:r w:rsidR="00C1288D">
              <w:rPr>
                <w:lang w:val="en"/>
              </w:rPr>
              <w:t>‘</w:t>
            </w:r>
            <w:r w:rsidRPr="00BD5450">
              <w:rPr>
                <w:i/>
                <w:iCs/>
                <w:lang w:val="en"/>
              </w:rPr>
              <w:t>Benotayim</w:t>
            </w:r>
            <w:r w:rsidR="00C1288D">
              <w:rPr>
                <w:lang w:val="en"/>
              </w:rPr>
              <w:t>’</w:t>
            </w:r>
            <w:r w:rsidRPr="00BD5450">
              <w:rPr>
                <w:lang w:val="en"/>
              </w:rPr>
              <w:t xml:space="preserve"> (Meantime, 1906) </w:t>
            </w:r>
            <w:r w:rsidR="00C1288D">
              <w:rPr>
                <w:lang w:val="en"/>
              </w:rPr>
              <w:t>‘</w:t>
            </w:r>
            <w:r w:rsidRPr="00BD5450">
              <w:rPr>
                <w:i/>
                <w:iCs/>
                <w:lang w:val="en"/>
              </w:rPr>
              <w:t>Be-terem</w:t>
            </w:r>
            <w:r w:rsidR="00C1288D">
              <w:rPr>
                <w:lang w:val="en"/>
              </w:rPr>
              <w:t>’</w:t>
            </w:r>
            <w:r w:rsidRPr="00BD5450">
              <w:rPr>
                <w:lang w:val="en"/>
              </w:rPr>
              <w:t xml:space="preserve"> (Before, 1909), and </w:t>
            </w:r>
            <w:r w:rsidR="00C1288D">
              <w:rPr>
                <w:lang w:val="en"/>
              </w:rPr>
              <w:t>‘</w:t>
            </w:r>
            <w:r w:rsidRPr="00BD5450">
              <w:rPr>
                <w:i/>
                <w:iCs/>
                <w:lang w:val="en"/>
              </w:rPr>
              <w:t>Etsel</w:t>
            </w:r>
            <w:r w:rsidR="00C1288D">
              <w:rPr>
                <w:lang w:val="en"/>
              </w:rPr>
              <w:t>’</w:t>
            </w:r>
            <w:r w:rsidRPr="00BD5450">
              <w:rPr>
                <w:lang w:val="en"/>
              </w:rPr>
              <w:t xml:space="preserve"> (At, 1913), all share similar themes, protagonists and style. The main theme in these novellas, as indicated also in their titles, is uprootedness. At their core stand young intellectual Jewish men, torn between the physical and the spiritual elements of the self, in a search of meaningful life. These protagonists closely resemble Gnessin himself, as well as the archetype of the young Eastern European Jew at </w:t>
            </w:r>
            <w:r w:rsidRPr="00BD5450">
              <w:rPr>
                <w:i/>
                <w:iCs/>
                <w:lang w:val="en"/>
              </w:rPr>
              <w:t>Fin de siècle</w:t>
            </w:r>
            <w:r w:rsidRPr="00BD5450">
              <w:rPr>
                <w:lang w:val="en"/>
              </w:rPr>
              <w:t xml:space="preserve">, who is conflicted between the two worlds of Jewish provincial communities and urban secular society, yet belongs in neither one. Unlike the delicate protagonists of his novellas, in his two prominent short stories, </w:t>
            </w:r>
            <w:r w:rsidR="00C1288D">
              <w:rPr>
                <w:lang w:val="en"/>
              </w:rPr>
              <w:t>‘</w:t>
            </w:r>
            <w:r w:rsidRPr="00BD5450">
              <w:rPr>
                <w:i/>
                <w:iCs/>
                <w:lang w:val="en"/>
              </w:rPr>
              <w:t>Ba-ganim</w:t>
            </w:r>
            <w:r w:rsidR="00C1288D">
              <w:rPr>
                <w:lang w:val="en"/>
              </w:rPr>
              <w:t>’</w:t>
            </w:r>
            <w:r w:rsidRPr="00BD5450">
              <w:rPr>
                <w:lang w:val="en"/>
              </w:rPr>
              <w:t xml:space="preserve"> (In </w:t>
            </w:r>
            <w:r w:rsidRPr="00BD5450">
              <w:rPr>
                <w:lang w:val="en"/>
              </w:rPr>
              <w:lastRenderedPageBreak/>
              <w:t xml:space="preserve">the Gardens, 1910) and </w:t>
            </w:r>
            <w:r w:rsidR="00C1288D">
              <w:rPr>
                <w:lang w:val="en"/>
              </w:rPr>
              <w:t>‘</w:t>
            </w:r>
            <w:r w:rsidRPr="00BD5450">
              <w:rPr>
                <w:i/>
                <w:iCs/>
                <w:lang w:val="en"/>
              </w:rPr>
              <w:t>Ketatah</w:t>
            </w:r>
            <w:r w:rsidR="00C1288D">
              <w:rPr>
                <w:lang w:val="en"/>
              </w:rPr>
              <w:t>’</w:t>
            </w:r>
            <w:r w:rsidRPr="00BD5450">
              <w:rPr>
                <w:lang w:val="en"/>
              </w:rPr>
              <w:t xml:space="preserve"> (A Quarrel, 1913), Gnessin portrays simple and crude people. </w:t>
            </w:r>
            <w:r w:rsidRPr="00BD5450">
              <w:rPr>
                <w:lang w:val="en-US"/>
              </w:rPr>
              <w:t>The detachment from Jewish roots appears in his work also stylistically. Gnessin was the first to introduce into Hebrew literature several modernist European literary techniques, first and foremost stream-of-consciousness and interior monologues, as well as the projection of the</w:t>
            </w:r>
            <w:r w:rsidRPr="00BD5450">
              <w:rPr>
                <w:lang w:val="en"/>
              </w:rPr>
              <w:t xml:space="preserve"> protagonists’ inner world onto impressionistic descriptions of nature and their surroundings. His writing influenced many Modern Hebrew authors, including David Vogel, Leah Goldberg and S. Yizhar. </w:t>
            </w:r>
          </w:p>
          <w:p w:rsidR="00BD5450" w:rsidRDefault="00BD5450" w:rsidP="00BD5450">
            <w:pPr>
              <w:spacing w:after="0" w:line="240" w:lineRule="auto"/>
              <w:rPr>
                <w:b/>
                <w:bCs/>
                <w:lang w:val="en-US"/>
              </w:rPr>
            </w:pPr>
          </w:p>
          <w:p w:rsidR="00BD5450" w:rsidRPr="00355960" w:rsidRDefault="00BD5450" w:rsidP="00BD5450">
            <w:pPr>
              <w:pStyle w:val="Heading1"/>
              <w:spacing w:after="0"/>
              <w:rPr>
                <w:rFonts w:eastAsia="Calibri"/>
                <w:lang w:val="en-US"/>
              </w:rPr>
            </w:pPr>
            <w:r>
              <w:rPr>
                <w:lang w:val="en-US"/>
              </w:rPr>
              <w:t>List of W</w:t>
            </w:r>
            <w:r w:rsidRPr="00355960">
              <w:rPr>
                <w:rFonts w:eastAsia="Calibri"/>
                <w:lang w:val="en-US"/>
              </w:rPr>
              <w:t>orks</w:t>
            </w:r>
          </w:p>
          <w:p w:rsidR="00BD5450" w:rsidRPr="00BD5450" w:rsidRDefault="00BD5450" w:rsidP="00BD5450">
            <w:pPr>
              <w:spacing w:after="0" w:line="240" w:lineRule="auto"/>
              <w:rPr>
                <w:lang w:val="en-US"/>
              </w:rPr>
            </w:pPr>
            <w:r w:rsidRPr="00BD5450">
              <w:rPr>
                <w:i/>
                <w:iCs/>
                <w:lang w:val="en-US"/>
              </w:rPr>
              <w:t>The Complete Works of U.N. Gnessin</w:t>
            </w:r>
            <w:r w:rsidRPr="00BD5450">
              <w:rPr>
                <w:lang w:val="en-US"/>
              </w:rPr>
              <w:t xml:space="preserve"> [3 volumes], (Tel Aviv: Sifriat Poalim, 1946).</w:t>
            </w:r>
          </w:p>
          <w:p w:rsidR="00BD5450" w:rsidRPr="006C3F4C" w:rsidRDefault="00BD5450" w:rsidP="00BD5450">
            <w:pPr>
              <w:spacing w:after="0" w:line="240" w:lineRule="auto"/>
            </w:pPr>
            <w:r w:rsidRPr="00BD5450">
              <w:rPr>
                <w:i/>
                <w:iCs/>
                <w:lang w:val="en-US"/>
              </w:rPr>
              <w:t>Beside &amp; Other Stories</w:t>
            </w:r>
            <w:r w:rsidRPr="00BD5450">
              <w:rPr>
                <w:lang w:val="en-US"/>
              </w:rPr>
              <w:t>, with an introduction by Rachel Albeck-Gidron (New Milford &amp;</w:t>
            </w:r>
            <w:r w:rsidRPr="00BD5450">
              <w:rPr>
                <w:lang w:val="en"/>
              </w:rPr>
              <w:t xml:space="preserve"> </w:t>
            </w:r>
            <w:r w:rsidRPr="00BD5450">
              <w:rPr>
                <w:lang w:val="en-US"/>
              </w:rPr>
              <w:t>London: Toby Press, 2005).</w:t>
            </w:r>
          </w:p>
        </w:tc>
      </w:tr>
      <w:tr w:rsidR="003235A7" w:rsidRPr="006C3F4C" w:rsidTr="006C3F4C">
        <w:tc>
          <w:tcPr>
            <w:tcW w:w="9016" w:type="dxa"/>
            <w:shd w:val="clear" w:color="auto" w:fill="auto"/>
          </w:tcPr>
          <w:p w:rsidR="003235A7" w:rsidRPr="006C3F4C" w:rsidRDefault="003235A7" w:rsidP="006C3F4C">
            <w:pPr>
              <w:spacing w:after="0" w:line="240" w:lineRule="auto"/>
            </w:pPr>
            <w:r w:rsidRPr="006C3F4C">
              <w:rPr>
                <w:u w:val="single"/>
              </w:rPr>
              <w:lastRenderedPageBreak/>
              <w:t>Further reading</w:t>
            </w:r>
            <w:r w:rsidRPr="006C3F4C">
              <w:t>:</w:t>
            </w:r>
          </w:p>
          <w:bookmarkStart w:id="0" w:name="Result_6"/>
          <w:p w:rsidR="00ED4305" w:rsidRPr="00355960" w:rsidRDefault="00B45DC8" w:rsidP="009601C0">
            <w:pPr>
              <w:spacing w:after="0" w:line="240" w:lineRule="auto"/>
              <w:rPr>
                <w:color w:val="000000"/>
                <w:lang w:val="en-US"/>
              </w:rPr>
            </w:pPr>
            <w:sdt>
              <w:sdtPr>
                <w:rPr>
                  <w:color w:val="000000"/>
                  <w:lang w:val="en-US"/>
                </w:rPr>
                <w:id w:val="-292521764"/>
                <w:citation/>
              </w:sdtPr>
              <w:sdtContent>
                <w:r>
                  <w:rPr>
                    <w:color w:val="000000"/>
                    <w:lang w:val="en-US"/>
                  </w:rPr>
                  <w:fldChar w:fldCharType="begin"/>
                </w:r>
                <w:r>
                  <w:rPr>
                    <w:noProof/>
                    <w:color w:val="000000"/>
                    <w:lang w:val="en-CA"/>
                  </w:rPr>
                  <w:instrText xml:space="preserve"> CITATION Bal89 \l 4105 </w:instrText>
                </w:r>
                <w:r>
                  <w:rPr>
                    <w:color w:val="000000"/>
                    <w:lang w:val="en-US"/>
                  </w:rPr>
                  <w:fldChar w:fldCharType="separate"/>
                </w:r>
                <w:r w:rsidRPr="00B45DC8">
                  <w:rPr>
                    <w:noProof/>
                    <w:color w:val="000000"/>
                    <w:lang w:val="en-CA"/>
                  </w:rPr>
                  <w:t>(Balaban)</w:t>
                </w:r>
                <w:r>
                  <w:rPr>
                    <w:color w:val="000000"/>
                    <w:lang w:val="en-US"/>
                  </w:rPr>
                  <w:fldChar w:fldCharType="end"/>
                </w:r>
              </w:sdtContent>
            </w:sdt>
          </w:p>
          <w:bookmarkEnd w:id="0"/>
          <w:p w:rsidR="009601C0" w:rsidRPr="00355960" w:rsidRDefault="00ED4948" w:rsidP="009601C0">
            <w:pPr>
              <w:spacing w:after="0" w:line="240" w:lineRule="auto"/>
              <w:rPr>
                <w:color w:val="000000"/>
                <w:lang w:val="en-US"/>
              </w:rPr>
            </w:pPr>
            <w:sdt>
              <w:sdtPr>
                <w:rPr>
                  <w:color w:val="000000"/>
                  <w:lang w:val="en-US"/>
                </w:rPr>
                <w:id w:val="696432169"/>
                <w:citation/>
              </w:sdtPr>
              <w:sdtContent>
                <w:r>
                  <w:rPr>
                    <w:color w:val="000000"/>
                    <w:lang w:val="en-US"/>
                  </w:rPr>
                  <w:fldChar w:fldCharType="begin"/>
                </w:r>
                <w:r>
                  <w:rPr>
                    <w:noProof/>
                    <w:color w:val="000000"/>
                    <w:lang w:val="en-CA"/>
                  </w:rPr>
                  <w:instrText xml:space="preserve"> CITATION Eve90 \l 4105 </w:instrText>
                </w:r>
                <w:r>
                  <w:rPr>
                    <w:color w:val="000000"/>
                    <w:lang w:val="en-US"/>
                  </w:rPr>
                  <w:fldChar w:fldCharType="separate"/>
                </w:r>
                <w:r w:rsidRPr="00ED4948">
                  <w:rPr>
                    <w:noProof/>
                    <w:color w:val="000000"/>
                    <w:lang w:val="en-CA"/>
                  </w:rPr>
                  <w:t>(Even-Zohar)</w:t>
                </w:r>
                <w:r>
                  <w:rPr>
                    <w:color w:val="000000"/>
                    <w:lang w:val="en-US"/>
                  </w:rPr>
                  <w:fldChar w:fldCharType="end"/>
                </w:r>
              </w:sdtContent>
            </w:sdt>
          </w:p>
          <w:p w:rsidR="003235A7" w:rsidRPr="002D776A" w:rsidRDefault="00ED4948" w:rsidP="009601C0">
            <w:pPr>
              <w:spacing w:after="0" w:line="240" w:lineRule="auto"/>
              <w:rPr>
                <w:color w:val="808080"/>
                <w:lang w:val="en-US"/>
              </w:rPr>
            </w:pPr>
            <w:sdt>
              <w:sdtPr>
                <w:rPr>
                  <w:color w:val="808080"/>
                  <w:lang w:val="en-US"/>
                </w:rPr>
                <w:id w:val="505251368"/>
                <w:citation/>
              </w:sdtPr>
              <w:sdtContent>
                <w:r>
                  <w:rPr>
                    <w:color w:val="808080"/>
                    <w:lang w:val="en-US"/>
                  </w:rPr>
                  <w:fldChar w:fldCharType="begin"/>
                </w:r>
                <w:r>
                  <w:rPr>
                    <w:noProof/>
                    <w:color w:val="000000"/>
                    <w:lang w:val="en-CA"/>
                  </w:rPr>
                  <w:instrText xml:space="preserve"> CITATION Ste91 \l 4105 </w:instrText>
                </w:r>
                <w:r>
                  <w:rPr>
                    <w:color w:val="808080"/>
                    <w:lang w:val="en-US"/>
                  </w:rPr>
                  <w:fldChar w:fldCharType="separate"/>
                </w:r>
                <w:r w:rsidRPr="00ED4948">
                  <w:rPr>
                    <w:noProof/>
                    <w:color w:val="000000"/>
                    <w:lang w:val="en-CA"/>
                  </w:rPr>
                  <w:t>(Steinhart)</w:t>
                </w:r>
                <w:r>
                  <w:rPr>
                    <w:color w:val="808080"/>
                    <w:lang w:val="en-US"/>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63" w:rsidRDefault="00053063" w:rsidP="007A0D55">
      <w:pPr>
        <w:spacing w:after="0" w:line="240" w:lineRule="auto"/>
      </w:pPr>
      <w:r>
        <w:separator/>
      </w:r>
    </w:p>
  </w:endnote>
  <w:endnote w:type="continuationSeparator" w:id="0">
    <w:p w:rsidR="00053063" w:rsidRDefault="000530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63" w:rsidRDefault="00053063" w:rsidP="007A0D55">
      <w:pPr>
        <w:spacing w:after="0" w:line="240" w:lineRule="auto"/>
      </w:pPr>
      <w:r>
        <w:separator/>
      </w:r>
    </w:p>
  </w:footnote>
  <w:footnote w:type="continuationSeparator" w:id="0">
    <w:p w:rsidR="00053063" w:rsidRDefault="0005306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C3F4C">
      <w:rPr>
        <w:b/>
        <w:color w:val="7F7F7F"/>
      </w:rPr>
      <w:t>Taylor &amp; Francis</w:t>
    </w:r>
    <w:r w:rsidRPr="006C3F4C">
      <w:rPr>
        <w:color w:val="7F7F7F"/>
      </w:rPr>
      <w:t xml:space="preserve"> – </w:t>
    </w:r>
    <w:r w:rsidRPr="006C3F4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4C"/>
    <w:rsid w:val="00032559"/>
    <w:rsid w:val="00052040"/>
    <w:rsid w:val="0005306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4A6"/>
    <w:rsid w:val="00244BB0"/>
    <w:rsid w:val="002A0A0D"/>
    <w:rsid w:val="002B0B37"/>
    <w:rsid w:val="002D776A"/>
    <w:rsid w:val="0030662D"/>
    <w:rsid w:val="003235A7"/>
    <w:rsid w:val="00337B96"/>
    <w:rsid w:val="0035596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F4C"/>
    <w:rsid w:val="006D0412"/>
    <w:rsid w:val="006E2762"/>
    <w:rsid w:val="007411B9"/>
    <w:rsid w:val="00780D95"/>
    <w:rsid w:val="00780DC7"/>
    <w:rsid w:val="007A0D55"/>
    <w:rsid w:val="007B3377"/>
    <w:rsid w:val="007E5F44"/>
    <w:rsid w:val="00821DE3"/>
    <w:rsid w:val="00846CE1"/>
    <w:rsid w:val="00881CBC"/>
    <w:rsid w:val="008A5B87"/>
    <w:rsid w:val="00922950"/>
    <w:rsid w:val="009601C0"/>
    <w:rsid w:val="009A7264"/>
    <w:rsid w:val="009D1606"/>
    <w:rsid w:val="009E18A1"/>
    <w:rsid w:val="009E73D7"/>
    <w:rsid w:val="00A27D2C"/>
    <w:rsid w:val="00A76FD9"/>
    <w:rsid w:val="00AB436D"/>
    <w:rsid w:val="00AD2F24"/>
    <w:rsid w:val="00AD4844"/>
    <w:rsid w:val="00B219AE"/>
    <w:rsid w:val="00B33145"/>
    <w:rsid w:val="00B45DC8"/>
    <w:rsid w:val="00B574C9"/>
    <w:rsid w:val="00BA1E16"/>
    <w:rsid w:val="00BC39C9"/>
    <w:rsid w:val="00BD5450"/>
    <w:rsid w:val="00BE5BF7"/>
    <w:rsid w:val="00BF40E1"/>
    <w:rsid w:val="00C1288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4305"/>
    <w:rsid w:val="00ED494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33E98-6999-45B9-BC09-81E44B7F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1">
    <w:name w:val="st1"/>
    <w:rsid w:val="00337B96"/>
  </w:style>
  <w:style w:type="character" w:styleId="Emphasis">
    <w:name w:val="Emphasis"/>
    <w:uiPriority w:val="20"/>
    <w:qFormat/>
    <w:rsid w:val="00337B96"/>
    <w:rPr>
      <w:b/>
      <w:bCs/>
      <w:i w:val="0"/>
      <w:iCs w:val="0"/>
    </w:rPr>
  </w:style>
  <w:style w:type="paragraph" w:styleId="Caption">
    <w:name w:val="caption"/>
    <w:basedOn w:val="Normal"/>
    <w:next w:val="Normal"/>
    <w:uiPriority w:val="35"/>
    <w:semiHidden/>
    <w:qFormat/>
    <w:rsid w:val="00241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48388">
      <w:bodyDiv w:val="1"/>
      <w:marLeft w:val="0"/>
      <w:marRight w:val="0"/>
      <w:marTop w:val="0"/>
      <w:marBottom w:val="0"/>
      <w:divBdr>
        <w:top w:val="none" w:sz="0" w:space="0" w:color="auto"/>
        <w:left w:val="none" w:sz="0" w:space="0" w:color="auto"/>
        <w:bottom w:val="none" w:sz="0" w:space="0" w:color="auto"/>
        <w:right w:val="none" w:sz="0" w:space="0" w:color="auto"/>
      </w:divBdr>
    </w:div>
    <w:div w:id="837428162">
      <w:bodyDiv w:val="1"/>
      <w:marLeft w:val="0"/>
      <w:marRight w:val="0"/>
      <w:marTop w:val="0"/>
      <w:marBottom w:val="0"/>
      <w:divBdr>
        <w:top w:val="none" w:sz="0" w:space="0" w:color="auto"/>
        <w:left w:val="none" w:sz="0" w:space="0" w:color="auto"/>
        <w:bottom w:val="none" w:sz="0" w:space="0" w:color="auto"/>
        <w:right w:val="none" w:sz="0" w:space="0" w:color="auto"/>
      </w:divBdr>
    </w:div>
    <w:div w:id="1091390545">
      <w:bodyDiv w:val="1"/>
      <w:marLeft w:val="0"/>
      <w:marRight w:val="0"/>
      <w:marTop w:val="0"/>
      <w:marBottom w:val="0"/>
      <w:divBdr>
        <w:top w:val="none" w:sz="0" w:space="0" w:color="auto"/>
        <w:left w:val="none" w:sz="0" w:space="0" w:color="auto"/>
        <w:bottom w:val="none" w:sz="0" w:space="0" w:color="auto"/>
        <w:right w:val="none" w:sz="0" w:space="0" w:color="auto"/>
      </w:divBdr>
    </w:div>
    <w:div w:id="1330332349">
      <w:bodyDiv w:val="1"/>
      <w:marLeft w:val="0"/>
      <w:marRight w:val="0"/>
      <w:marTop w:val="0"/>
      <w:marBottom w:val="0"/>
      <w:divBdr>
        <w:top w:val="none" w:sz="0" w:space="0" w:color="auto"/>
        <w:left w:val="none" w:sz="0" w:space="0" w:color="auto"/>
        <w:bottom w:val="none" w:sz="0" w:space="0" w:color="auto"/>
        <w:right w:val="none" w:sz="0" w:space="0" w:color="auto"/>
      </w:divBdr>
    </w:div>
    <w:div w:id="1404796086">
      <w:bodyDiv w:val="1"/>
      <w:marLeft w:val="0"/>
      <w:marRight w:val="0"/>
      <w:marTop w:val="0"/>
      <w:marBottom w:val="0"/>
      <w:divBdr>
        <w:top w:val="none" w:sz="0" w:space="0" w:color="auto"/>
        <w:left w:val="none" w:sz="0" w:space="0" w:color="auto"/>
        <w:bottom w:val="none" w:sz="0" w:space="0" w:color="auto"/>
        <w:right w:val="none" w:sz="0" w:space="0" w:color="auto"/>
      </w:divBdr>
    </w:div>
    <w:div w:id="1801847398">
      <w:bodyDiv w:val="1"/>
      <w:marLeft w:val="0"/>
      <w:marRight w:val="0"/>
      <w:marTop w:val="0"/>
      <w:marBottom w:val="0"/>
      <w:divBdr>
        <w:top w:val="none" w:sz="0" w:space="0" w:color="auto"/>
        <w:left w:val="none" w:sz="0" w:space="0" w:color="auto"/>
        <w:bottom w:val="none" w:sz="0" w:space="0" w:color="auto"/>
        <w:right w:val="none" w:sz="0" w:space="0" w:color="auto"/>
      </w:divBdr>
    </w:div>
    <w:div w:id="19994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Bal89</b:Tag>
    <b:SourceType>JournalArticle</b:SourceType>
    <b:Guid>{F1C66311-5333-4B21-A247-E762E5CC824D}</b:Guid>
    <b:Title>Gnessin Revisited</b:Title>
    <b:Year>1989</b:Year>
    <b:Author>
      <b:Author>
        <b:NameList>
          <b:Person>
            <b:Last>Balaban</b:Last>
            <b:First>A.</b:First>
          </b:Person>
        </b:NameList>
      </b:Author>
    </b:Author>
    <b:JournalName>Prooftexts: A Journal of Jewish Literary History</b:JournalName>
    <b:Pages>177-183</b:Pages>
    <b:Volume>IX</b:Volume>
    <b:Issue>2</b:Issue>
    <b:RefOrder>1</b:RefOrder>
  </b:Source>
  <b:Source>
    <b:Tag>Eve90</b:Tag>
    <b:SourceType>JournalArticle</b:SourceType>
    <b:Guid>{22E9CB53-2306-438E-81C1-5627B48D9310}</b:Guid>
    <b:Author>
      <b:Author>
        <b:NameList>
          <b:Person>
            <b:Last>Even-Zohar</b:Last>
            <b:First>I.</b:First>
          </b:Person>
        </b:NameList>
      </b:Author>
    </b:Author>
    <b:Title>Gnessin's Dialogue and Its Russian Models</b:Title>
    <b:JournalName>Poetics Today</b:JournalName>
    <b:Year>1990</b:Year>
    <b:Pages>131-153</b:Pages>
    <b:Volume>XI</b:Volume>
    <b:Issue>1</b:Issue>
    <b:RefOrder>2</b:RefOrder>
  </b:Source>
  <b:Source>
    <b:Tag>Ste91</b:Tag>
    <b:SourceType>JournalArticle</b:SourceType>
    <b:Guid>{4FA7C990-F71B-4433-86EC-8644BAAB33DA}</b:Guid>
    <b:Author>
      <b:Author>
        <b:NameList>
          <b:Person>
            <b:Last>Steinhart</b:Last>
            <b:First>D.</b:First>
          </b:Person>
        </b:NameList>
      </b:Author>
    </b:Author>
    <b:Title>Is Anybody There? The Subjectivism of Uri-Nissan Gnessin</b:Title>
    <b:JournalName>Prooftexts: A Journal of Jewish Literary History</b:JournalName>
    <b:Year>1991</b:Year>
    <b:Pages>131-151</b:Pages>
    <b:Volume>XI</b:Volume>
    <b:Issue>2</b:Issue>
    <b:RefOrder>3</b:RefOrder>
  </b:Source>
</b:Sources>
</file>

<file path=customXml/itemProps1.xml><?xml version="1.0" encoding="utf-8"?>
<ds:datastoreItem xmlns:ds="http://schemas.openxmlformats.org/officeDocument/2006/customXml" ds:itemID="{78CE9F27-AA7C-43C8-92B5-45DC0F40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34</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2016-06-25T21:26:00Z</dcterms:created>
  <dcterms:modified xsi:type="dcterms:W3CDTF">2016-07-15T20:43:00Z</dcterms:modified>
</cp:coreProperties>
</file>