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6"/>
        <w:gridCol w:w="2631"/>
      </w:tblGrid>
      <w:tr w:rsidR="00AF0B0F" w:rsidRPr="00AC5FD7" w:rsidTr="00AF0B0F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AC5FD7" w:rsidRDefault="00B574C9" w:rsidP="00AF0B0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AC5FD7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AC5FD7" w:rsidRDefault="00B574C9" w:rsidP="00AF0B0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AC5FD7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AC5FD7" w:rsidRDefault="005B4D63" w:rsidP="00AF0B0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Style w:val="PlaceholderText"/>
                <w:rFonts w:asciiTheme="minorHAnsi" w:hAnsiTheme="minorHAnsi"/>
              </w:rPr>
              <w:t>Antony</w:t>
            </w:r>
          </w:p>
        </w:tc>
        <w:tc>
          <w:tcPr>
            <w:tcW w:w="2551" w:type="dxa"/>
            <w:shd w:val="clear" w:color="auto" w:fill="auto"/>
          </w:tcPr>
          <w:p w:rsidR="00B574C9" w:rsidRPr="00AC5FD7" w:rsidRDefault="00B574C9" w:rsidP="00AF0B0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AC5FD7" w:rsidRDefault="005B4D63" w:rsidP="00AF0B0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Style w:val="PlaceholderText"/>
              </w:rPr>
              <w:t>Shuttleworth</w:t>
            </w:r>
          </w:p>
        </w:tc>
      </w:tr>
      <w:tr w:rsidR="00AF0B0F" w:rsidRPr="00AC5FD7" w:rsidTr="00AF0B0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C5FD7" w:rsidRDefault="00B574C9" w:rsidP="00AF0B0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C5FD7" w:rsidRDefault="00B574C9" w:rsidP="00AF0B0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AF0B0F" w:rsidRPr="00AC5FD7" w:rsidTr="00AF0B0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C5FD7" w:rsidRDefault="00B574C9" w:rsidP="00AF0B0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C5FD7" w:rsidRDefault="005B4D63" w:rsidP="00AF0B0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Style w:val="PlaceholderText"/>
                <w:rFonts w:asciiTheme="minorHAnsi" w:hAnsiTheme="minorHAnsi"/>
              </w:rPr>
              <w:t>Ohio State University</w:t>
            </w:r>
          </w:p>
        </w:tc>
      </w:tr>
    </w:tbl>
    <w:p w:rsidR="003D3579" w:rsidRPr="00AC5FD7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AF0B0F" w:rsidRPr="00AC5FD7" w:rsidTr="00AF0B0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AC5FD7" w:rsidRDefault="00244BB0" w:rsidP="00AF0B0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AC5FD7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AC5FD7" w:rsidTr="00AF0B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AC5FD7" w:rsidRDefault="00AF0B0F" w:rsidP="00AF0B0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AC5FD7">
              <w:rPr>
                <w:rFonts w:asciiTheme="minorHAnsi" w:hAnsiTheme="minorHAnsi"/>
                <w:b/>
              </w:rPr>
              <w:t>Green, Henry (1905-1973)</w:t>
            </w:r>
          </w:p>
        </w:tc>
      </w:tr>
      <w:tr w:rsidR="00464699" w:rsidRPr="00AC5FD7" w:rsidTr="00AF0B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AC5FD7" w:rsidRDefault="00464699" w:rsidP="00AF0B0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AC5FD7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AC5FD7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AC5FD7" w:rsidTr="00AF0B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AC5FD7" w:rsidRDefault="00AF0B0F" w:rsidP="00AF0B0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>Henry Green was the pen-name of Henry Yorke, a well-regarded novelist working in the mid-twentieth century.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Living in London, Yorke worked much of his life as a businessman for his family's engineering firm.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He published nine novels between 1926 and 1952.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In the later part of his life he was affected by worsening alcoholism, and became increasingly house bound.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He died in 1973.</w:t>
            </w:r>
          </w:p>
        </w:tc>
      </w:tr>
      <w:tr w:rsidR="003F0D73" w:rsidRPr="00AC5FD7" w:rsidTr="00AF0B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>Henry Green was the pen-name of Henry Yorke, a well-regarded novelist working in the mid-twentieth century.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Living in London, Yorke worked much of his life as a businessman for his family's engineering firm.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He published nine novels between 1926 and 1952.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In the later part of his life he was affected by worsening alcoholism, and became increasingly house bound.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He died in 1973.</w:t>
            </w:r>
          </w:p>
          <w:p w:rsidR="00AC5FD7" w:rsidRDefault="00AC5FD7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 xml:space="preserve">Born to a family with aristocratic connections, Green was educated </w:t>
            </w:r>
            <w:r w:rsidR="00C66057">
              <w:rPr>
                <w:rFonts w:asciiTheme="minorHAnsi" w:hAnsiTheme="minorHAnsi"/>
              </w:rPr>
              <w:t>at Eton, which he described as ‘a humane concentration camp’</w:t>
            </w:r>
            <w:r w:rsidRPr="00AC5FD7">
              <w:rPr>
                <w:rFonts w:asciiTheme="minorHAnsi" w:hAnsiTheme="minorHAnsi"/>
              </w:rPr>
              <w:t>, and Oxford, where he was a contemporary</w:t>
            </w:r>
            <w:r w:rsidR="00C66057">
              <w:rPr>
                <w:rFonts w:asciiTheme="minorHAnsi" w:hAnsiTheme="minorHAnsi"/>
              </w:rPr>
              <w:t xml:space="preserve"> of Evelyn</w:t>
            </w:r>
            <w:r w:rsidRPr="00AC5FD7">
              <w:rPr>
                <w:rFonts w:asciiTheme="minorHAnsi" w:hAnsiTheme="minorHAnsi"/>
              </w:rPr>
              <w:t xml:space="preserve"> W</w:t>
            </w:r>
            <w:r w:rsidR="00C66057">
              <w:rPr>
                <w:rFonts w:asciiTheme="minorHAnsi" w:hAnsiTheme="minorHAnsi"/>
              </w:rPr>
              <w:t>augh and Anthony Powell</w:t>
            </w:r>
            <w:r w:rsidRPr="00AC5FD7">
              <w:rPr>
                <w:rFonts w:asciiTheme="minorHAnsi" w:hAnsiTheme="minorHAnsi"/>
              </w:rPr>
              <w:t xml:space="preserve"> and where he published his first novel.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  <w:i/>
              </w:rPr>
              <w:t>Blindness</w:t>
            </w:r>
            <w:r w:rsidRPr="00AC5FD7">
              <w:rPr>
                <w:rFonts w:asciiTheme="minorHAnsi" w:hAnsiTheme="minorHAnsi"/>
              </w:rPr>
              <w:t xml:space="preserve"> (1926) examines the effects of a blinding injur</w:t>
            </w:r>
            <w:r w:rsidR="00C66057">
              <w:rPr>
                <w:rFonts w:asciiTheme="minorHAnsi" w:hAnsiTheme="minorHAnsi"/>
              </w:rPr>
              <w:t>y on a young man's development into an artist. In 1929 Green married Mary Adelaide (</w:t>
            </w:r>
            <w:r w:rsidR="004632B3">
              <w:rPr>
                <w:rFonts w:asciiTheme="minorHAnsi" w:hAnsiTheme="minorHAnsi"/>
              </w:rPr>
              <w:t>‘</w:t>
            </w:r>
            <w:r w:rsidR="00C66057">
              <w:rPr>
                <w:rFonts w:asciiTheme="minorHAnsi" w:hAnsiTheme="minorHAnsi"/>
              </w:rPr>
              <w:t>Dig</w:t>
            </w:r>
            <w:r w:rsidR="004632B3">
              <w:rPr>
                <w:rFonts w:asciiTheme="minorHAnsi" w:hAnsiTheme="minorHAnsi"/>
              </w:rPr>
              <w:t>’</w:t>
            </w:r>
            <w:r w:rsidR="00C66057">
              <w:rPr>
                <w:rFonts w:asciiTheme="minorHAnsi" w:hAnsiTheme="minorHAnsi"/>
              </w:rPr>
              <w:t>) Biddulph</w:t>
            </w:r>
            <w:r w:rsidRPr="00AC5FD7">
              <w:rPr>
                <w:rFonts w:asciiTheme="minorHAnsi" w:hAnsiTheme="minorHAnsi"/>
              </w:rPr>
              <w:t>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 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>Most of Green's novels draw o</w:t>
            </w:r>
            <w:r w:rsidR="00DC3C1D">
              <w:rPr>
                <w:rFonts w:asciiTheme="minorHAnsi" w:hAnsiTheme="minorHAnsi"/>
              </w:rPr>
              <w:t xml:space="preserve">n autobiographical experience. </w:t>
            </w:r>
            <w:r w:rsidRPr="00AC5FD7">
              <w:rPr>
                <w:rFonts w:asciiTheme="minorHAnsi" w:hAnsiTheme="minorHAnsi"/>
                <w:i/>
              </w:rPr>
              <w:t>L</w:t>
            </w:r>
            <w:r w:rsidR="00DC3C1D">
              <w:rPr>
                <w:rFonts w:asciiTheme="minorHAnsi" w:hAnsiTheme="minorHAnsi"/>
                <w:i/>
              </w:rPr>
              <w:t>iving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(1929), a depiction of factory life in the midlands, is informed by a period Green spent working on the fac</w:t>
            </w:r>
            <w:r w:rsidR="00DC3C1D">
              <w:rPr>
                <w:rFonts w:asciiTheme="minorHAnsi" w:hAnsiTheme="minorHAnsi"/>
              </w:rPr>
              <w:t xml:space="preserve">tory floor of the family firm. </w:t>
            </w:r>
            <w:r w:rsidR="00B962C0">
              <w:rPr>
                <w:rFonts w:asciiTheme="minorHAnsi" w:hAnsiTheme="minorHAnsi"/>
                <w:i/>
              </w:rPr>
              <w:t>Caught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(1943) makes use of his work with the London Fire Service.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Although Green's early writing dealt with similar subjects to his contemporaries (working-class life, the threat of war) it did so in distinctive ways.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="005008DC">
              <w:rPr>
                <w:rFonts w:asciiTheme="minorHAnsi" w:hAnsiTheme="minorHAnsi"/>
                <w:i/>
              </w:rPr>
              <w:t>Living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and </w:t>
            </w:r>
            <w:r w:rsidRPr="00AC5FD7">
              <w:rPr>
                <w:rFonts w:asciiTheme="minorHAnsi" w:hAnsiTheme="minorHAnsi"/>
                <w:i/>
              </w:rPr>
              <w:t>P</w:t>
            </w:r>
            <w:r w:rsidR="005008DC">
              <w:rPr>
                <w:rFonts w:asciiTheme="minorHAnsi" w:hAnsiTheme="minorHAnsi"/>
                <w:i/>
              </w:rPr>
              <w:t>arty</w:t>
            </w:r>
            <w:r w:rsidRPr="00AC5FD7">
              <w:rPr>
                <w:rFonts w:asciiTheme="minorHAnsi" w:hAnsiTheme="minorHAnsi"/>
                <w:i/>
              </w:rPr>
              <w:t xml:space="preserve"> G</w:t>
            </w:r>
            <w:r w:rsidR="005008DC">
              <w:rPr>
                <w:rFonts w:asciiTheme="minorHAnsi" w:hAnsiTheme="minorHAnsi"/>
                <w:i/>
              </w:rPr>
              <w:t>oing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="005008DC">
              <w:rPr>
                <w:rFonts w:asciiTheme="minorHAnsi" w:hAnsiTheme="minorHAnsi"/>
              </w:rPr>
              <w:t xml:space="preserve">(1939) employ </w:t>
            </w:r>
            <w:r w:rsidRPr="00AC5FD7">
              <w:rPr>
                <w:rFonts w:asciiTheme="minorHAnsi" w:hAnsiTheme="minorHAnsi"/>
              </w:rPr>
              <w:t>an unusual syntax, where grammatical articles are used sparingly if at all.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>The prominent use of gerunds (doting, loving) is a noticeable Green trait.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>Green's prewar work is informed by the socially-conscious ethos of that era.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  <w:i/>
              </w:rPr>
              <w:t>L</w:t>
            </w:r>
            <w:r w:rsidR="00FA11E1">
              <w:rPr>
                <w:rFonts w:asciiTheme="minorHAnsi" w:hAnsiTheme="minorHAnsi"/>
                <w:i/>
              </w:rPr>
              <w:t>iving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(1929) observes differences and parallels between factory classes, </w:t>
            </w:r>
            <w:r w:rsidR="00FA11E1">
              <w:rPr>
                <w:rFonts w:asciiTheme="minorHAnsi" w:hAnsiTheme="minorHAnsi"/>
                <w:i/>
              </w:rPr>
              <w:t>Party Going</w:t>
            </w:r>
            <w:r w:rsidRPr="00AC5FD7">
              <w:rPr>
                <w:rFonts w:asciiTheme="minorHAnsi" w:hAnsiTheme="minorHAnsi"/>
              </w:rPr>
              <w:t xml:space="preserve"> (1939) the perplexities and failings of a group of wealthy travellers </w:t>
            </w:r>
            <w:r w:rsidR="00FA11E1" w:rsidRPr="00AC5FD7">
              <w:rPr>
                <w:rFonts w:asciiTheme="minorHAnsi" w:hAnsiTheme="minorHAnsi"/>
              </w:rPr>
              <w:t>centred</w:t>
            </w:r>
            <w:r w:rsidRPr="00AC5FD7">
              <w:rPr>
                <w:rFonts w:asciiTheme="minorHAnsi" w:hAnsiTheme="minorHAnsi"/>
              </w:rPr>
              <w:t xml:space="preserve"> around a glamorous socialite in a fog-bound railway station peopled by a sometimes threatening crowd.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 xml:space="preserve">A trio of war-time novels provides unusual views of the Second World War. </w:t>
            </w:r>
            <w:r w:rsidR="00FA11E1">
              <w:rPr>
                <w:rFonts w:asciiTheme="minorHAnsi" w:hAnsiTheme="minorHAnsi"/>
                <w:i/>
              </w:rPr>
              <w:t>Caught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(1943) reveals intrigue in a London fire station, and the opportunities for ignoble and unheroic behaviour there.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="00F06104">
              <w:rPr>
                <w:rFonts w:asciiTheme="minorHAnsi" w:hAnsiTheme="minorHAnsi"/>
                <w:i/>
              </w:rPr>
              <w:t>Loving</w:t>
            </w:r>
            <w:r w:rsidRPr="00AC5FD7">
              <w:rPr>
                <w:rFonts w:asciiTheme="minorHAnsi" w:hAnsiTheme="minorHAnsi"/>
              </w:rPr>
              <w:t xml:space="preserve"> (1945) deals with semi-feudal relations in an Irish country house, where roles are played out in a social order threatened with collapse.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It was Green's most commercially successful novel, </w:t>
            </w:r>
            <w:r w:rsidR="00155CD9">
              <w:rPr>
                <w:rFonts w:asciiTheme="minorHAnsi" w:hAnsiTheme="minorHAnsi"/>
              </w:rPr>
              <w:lastRenderedPageBreak/>
              <w:t xml:space="preserve">and made into a film in 1995. </w:t>
            </w:r>
            <w:r w:rsidR="00155CD9">
              <w:rPr>
                <w:rFonts w:asciiTheme="minorHAnsi" w:hAnsiTheme="minorHAnsi"/>
                <w:i/>
              </w:rPr>
              <w:t>Back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(1946) presents a disturbing portrait of the difficulties of the return to normality by those affected by war.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 xml:space="preserve">In </w:t>
            </w:r>
            <w:r w:rsidRPr="00AC5FD7">
              <w:rPr>
                <w:rFonts w:asciiTheme="minorHAnsi" w:hAnsiTheme="minorHAnsi"/>
                <w:i/>
              </w:rPr>
              <w:t>C</w:t>
            </w:r>
            <w:r w:rsidR="00155CD9">
              <w:rPr>
                <w:rFonts w:asciiTheme="minorHAnsi" w:hAnsiTheme="minorHAnsi"/>
                <w:i/>
              </w:rPr>
              <w:t>oncluding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(1948) Green offered a social allegory set in a training institute preparing its students for life in an administered,</w:t>
            </w:r>
            <w:r w:rsidR="00155CD9">
              <w:rPr>
                <w:rFonts w:asciiTheme="minorHAnsi" w:hAnsiTheme="minorHAnsi"/>
              </w:rPr>
              <w:t xml:space="preserve"> bureaucratic postwar society. </w:t>
            </w:r>
            <w:r w:rsidRPr="00AC5FD7">
              <w:rPr>
                <w:rFonts w:asciiTheme="minorHAnsi" w:hAnsiTheme="minorHAnsi"/>
              </w:rPr>
              <w:t xml:space="preserve">Both </w:t>
            </w:r>
            <w:r w:rsidR="00155CD9">
              <w:rPr>
                <w:rFonts w:asciiTheme="minorHAnsi" w:hAnsiTheme="minorHAnsi"/>
                <w:i/>
              </w:rPr>
              <w:t>Nothing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(1950) and </w:t>
            </w:r>
            <w:r w:rsidRPr="00AC5FD7">
              <w:rPr>
                <w:rFonts w:asciiTheme="minorHAnsi" w:hAnsiTheme="minorHAnsi"/>
                <w:i/>
              </w:rPr>
              <w:t>D</w:t>
            </w:r>
            <w:r w:rsidR="00155CD9">
              <w:rPr>
                <w:rFonts w:asciiTheme="minorHAnsi" w:hAnsiTheme="minorHAnsi"/>
                <w:i/>
              </w:rPr>
              <w:t>oting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(1952) depict family dramas of upper-class life in a changed world where social identities and conventions can no longer be relied upon.</w:t>
            </w:r>
            <w:r w:rsidR="004632B3">
              <w:rPr>
                <w:rFonts w:asciiTheme="minorHAnsi" w:hAnsiTheme="minorHAnsi"/>
              </w:rPr>
              <w:t xml:space="preserve"> 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>Much of Green's fiction is concerned with the growing uncertainty in personal relationships and identity, together with the oblique ways in which insight into reality is gained, and provides a significant bridge between</w:t>
            </w:r>
            <w:r w:rsidR="00EE2367">
              <w:rPr>
                <w:rFonts w:asciiTheme="minorHAnsi" w:hAnsiTheme="minorHAnsi"/>
              </w:rPr>
              <w:t xml:space="preserve"> Modernist</w:t>
            </w:r>
            <w:r w:rsidRPr="00AC5FD7">
              <w:rPr>
                <w:rFonts w:asciiTheme="minorHAnsi" w:hAnsiTheme="minorHAnsi"/>
              </w:rPr>
              <w:t xml:space="preserve"> and more conventional narrative.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</w:rPr>
              <w:t xml:space="preserve">Fearing he would be killed in the coming war, Green wrote a memoir </w:t>
            </w:r>
            <w:r w:rsidRPr="00AC5FD7">
              <w:rPr>
                <w:rFonts w:asciiTheme="minorHAnsi" w:hAnsiTheme="minorHAnsi"/>
                <w:i/>
              </w:rPr>
              <w:t>P</w:t>
            </w:r>
            <w:r w:rsidR="00543E9F">
              <w:rPr>
                <w:rFonts w:asciiTheme="minorHAnsi" w:hAnsiTheme="minorHAnsi"/>
                <w:i/>
              </w:rPr>
              <w:t>ack My</w:t>
            </w:r>
            <w:r w:rsidRPr="00AC5FD7">
              <w:rPr>
                <w:rFonts w:asciiTheme="minorHAnsi" w:hAnsiTheme="minorHAnsi"/>
                <w:i/>
              </w:rPr>
              <w:t xml:space="preserve"> B</w:t>
            </w:r>
            <w:r w:rsidR="00543E9F">
              <w:rPr>
                <w:rFonts w:asciiTheme="minorHAnsi" w:hAnsiTheme="minorHAnsi"/>
                <w:i/>
              </w:rPr>
              <w:t>ag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="00543E9F">
              <w:rPr>
                <w:rFonts w:asciiTheme="minorHAnsi" w:hAnsiTheme="minorHAnsi"/>
              </w:rPr>
              <w:t>(1940) in the late thirties.</w:t>
            </w:r>
            <w:r w:rsidRPr="00AC5FD7">
              <w:rPr>
                <w:rFonts w:asciiTheme="minorHAnsi" w:hAnsiTheme="minorHAnsi"/>
              </w:rPr>
              <w:t xml:space="preserve"> After </w:t>
            </w:r>
            <w:r w:rsidRPr="00AC5FD7">
              <w:rPr>
                <w:rFonts w:asciiTheme="minorHAnsi" w:hAnsiTheme="minorHAnsi"/>
                <w:i/>
              </w:rPr>
              <w:t>D</w:t>
            </w:r>
            <w:r w:rsidR="00543E9F">
              <w:rPr>
                <w:rFonts w:asciiTheme="minorHAnsi" w:hAnsiTheme="minorHAnsi"/>
                <w:i/>
              </w:rPr>
              <w:t>oting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(1952) he published only occasional writing, collected in </w:t>
            </w:r>
            <w:r w:rsidRPr="00AC5FD7">
              <w:rPr>
                <w:rFonts w:asciiTheme="minorHAnsi" w:hAnsiTheme="minorHAnsi"/>
                <w:i/>
              </w:rPr>
              <w:t>S</w:t>
            </w:r>
            <w:r w:rsidR="00543E9F">
              <w:rPr>
                <w:rFonts w:asciiTheme="minorHAnsi" w:hAnsiTheme="minorHAnsi"/>
                <w:i/>
              </w:rPr>
              <w:t>urviving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(1992), edited by Matthew Yorke.</w:t>
            </w:r>
            <w:r w:rsidR="004632B3">
              <w:rPr>
                <w:rFonts w:asciiTheme="minorHAnsi" w:hAnsiTheme="minorHAnsi"/>
              </w:rPr>
              <w:t xml:space="preserve"> </w:t>
            </w:r>
            <w:r w:rsidRPr="00AC5FD7">
              <w:rPr>
                <w:rFonts w:asciiTheme="minorHAnsi" w:hAnsiTheme="minorHAnsi"/>
              </w:rPr>
              <w:t xml:space="preserve"> 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F0B0F" w:rsidRPr="00AC5FD7" w:rsidRDefault="004632B3" w:rsidP="004632B3">
            <w:pPr>
              <w:pStyle w:val="Heading1"/>
              <w:spacing w:after="0"/>
            </w:pPr>
            <w:r>
              <w:t>Chronology of all Works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B</w:t>
            </w:r>
            <w:r w:rsidR="00C623AF">
              <w:rPr>
                <w:rFonts w:asciiTheme="minorHAnsi" w:hAnsiTheme="minorHAnsi"/>
                <w:i/>
              </w:rPr>
              <w:t>lindness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(1926)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L</w:t>
            </w:r>
            <w:r w:rsidR="00C623AF">
              <w:rPr>
                <w:rFonts w:asciiTheme="minorHAnsi" w:hAnsiTheme="minorHAnsi"/>
                <w:i/>
              </w:rPr>
              <w:t>iving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(1929)</w:t>
            </w:r>
          </w:p>
          <w:p w:rsidR="00AF0B0F" w:rsidRPr="00AC5FD7" w:rsidRDefault="00C623AF" w:rsidP="00AC5FD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Party</w:t>
            </w:r>
            <w:r w:rsidR="00AF0B0F" w:rsidRPr="00AC5FD7">
              <w:rPr>
                <w:rFonts w:asciiTheme="minorHAnsi" w:hAnsiTheme="minorHAnsi"/>
                <w:i/>
              </w:rPr>
              <w:t xml:space="preserve"> G</w:t>
            </w:r>
            <w:r>
              <w:rPr>
                <w:rFonts w:asciiTheme="minorHAnsi" w:hAnsiTheme="minorHAnsi"/>
                <w:i/>
              </w:rPr>
              <w:t>oing</w:t>
            </w:r>
            <w:r w:rsidR="00AF0B0F" w:rsidRPr="00AC5FD7">
              <w:rPr>
                <w:rFonts w:asciiTheme="minorHAnsi" w:hAnsiTheme="minorHAnsi"/>
                <w:i/>
              </w:rPr>
              <w:t xml:space="preserve"> </w:t>
            </w:r>
            <w:r w:rsidR="00AF0B0F" w:rsidRPr="00AC5FD7">
              <w:rPr>
                <w:rFonts w:asciiTheme="minorHAnsi" w:hAnsiTheme="minorHAnsi"/>
              </w:rPr>
              <w:t>(1939)</w:t>
            </w:r>
          </w:p>
          <w:p w:rsidR="00AF0B0F" w:rsidRPr="00AC5FD7" w:rsidRDefault="00C623AF" w:rsidP="00AC5FD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Pack My Bag</w:t>
            </w:r>
            <w:r w:rsidR="00AF0B0F" w:rsidRPr="00AC5FD7">
              <w:rPr>
                <w:rFonts w:asciiTheme="minorHAnsi" w:hAnsiTheme="minorHAnsi"/>
                <w:i/>
              </w:rPr>
              <w:t xml:space="preserve"> </w:t>
            </w:r>
            <w:r w:rsidR="00AF0B0F" w:rsidRPr="00AC5FD7">
              <w:rPr>
                <w:rFonts w:asciiTheme="minorHAnsi" w:hAnsiTheme="minorHAnsi"/>
              </w:rPr>
              <w:t>(1940)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C</w:t>
            </w:r>
            <w:r w:rsidR="00C623AF">
              <w:rPr>
                <w:rFonts w:asciiTheme="minorHAnsi" w:hAnsiTheme="minorHAnsi"/>
                <w:i/>
              </w:rPr>
              <w:t>aught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(1943)</w:t>
            </w:r>
          </w:p>
          <w:p w:rsidR="00AF0B0F" w:rsidRPr="00AC5FD7" w:rsidRDefault="00C623AF" w:rsidP="00AC5FD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Loving</w:t>
            </w:r>
            <w:r w:rsidR="00AF0B0F" w:rsidRPr="00AC5FD7">
              <w:rPr>
                <w:rFonts w:asciiTheme="minorHAnsi" w:hAnsiTheme="minorHAnsi"/>
                <w:i/>
              </w:rPr>
              <w:t xml:space="preserve"> </w:t>
            </w:r>
            <w:r w:rsidR="00AF0B0F" w:rsidRPr="00AC5FD7">
              <w:rPr>
                <w:rFonts w:asciiTheme="minorHAnsi" w:hAnsiTheme="minorHAnsi"/>
              </w:rPr>
              <w:t>(1945)</w:t>
            </w:r>
          </w:p>
          <w:p w:rsidR="00AF0B0F" w:rsidRPr="00AC5FD7" w:rsidRDefault="00C623AF" w:rsidP="00AC5FD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Back</w:t>
            </w:r>
            <w:r w:rsidR="00AF0B0F" w:rsidRPr="00AC5FD7">
              <w:rPr>
                <w:rFonts w:asciiTheme="minorHAnsi" w:hAnsiTheme="minorHAnsi"/>
                <w:i/>
              </w:rPr>
              <w:t xml:space="preserve"> </w:t>
            </w:r>
            <w:r w:rsidR="00AF0B0F" w:rsidRPr="00AC5FD7">
              <w:rPr>
                <w:rFonts w:asciiTheme="minorHAnsi" w:hAnsiTheme="minorHAnsi"/>
              </w:rPr>
              <w:t>(1946)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C</w:t>
            </w:r>
            <w:r w:rsidR="00C623AF">
              <w:rPr>
                <w:rFonts w:asciiTheme="minorHAnsi" w:hAnsiTheme="minorHAnsi"/>
                <w:i/>
              </w:rPr>
              <w:t>oncluding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(1948)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N</w:t>
            </w:r>
            <w:r w:rsidR="00C623AF">
              <w:rPr>
                <w:rFonts w:asciiTheme="minorHAnsi" w:hAnsiTheme="minorHAnsi"/>
                <w:i/>
              </w:rPr>
              <w:t>othing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(1950)</w:t>
            </w:r>
          </w:p>
          <w:p w:rsidR="00AF0B0F" w:rsidRPr="00AC5FD7" w:rsidRDefault="00AF0B0F" w:rsidP="00AC5FD7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D</w:t>
            </w:r>
            <w:r w:rsidR="00C623AF">
              <w:rPr>
                <w:rFonts w:asciiTheme="minorHAnsi" w:hAnsiTheme="minorHAnsi"/>
                <w:i/>
              </w:rPr>
              <w:t>oting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(1952)</w:t>
            </w:r>
          </w:p>
          <w:p w:rsidR="003F0D73" w:rsidRPr="00AC5FD7" w:rsidRDefault="00AF0B0F" w:rsidP="00C623A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i/>
              </w:rPr>
              <w:t>S</w:t>
            </w:r>
            <w:r w:rsidR="00C623AF">
              <w:rPr>
                <w:rFonts w:asciiTheme="minorHAnsi" w:hAnsiTheme="minorHAnsi"/>
                <w:i/>
              </w:rPr>
              <w:t>urviv</w:t>
            </w:r>
            <w:r w:rsidR="004632B3">
              <w:rPr>
                <w:rFonts w:asciiTheme="minorHAnsi" w:hAnsiTheme="minorHAnsi"/>
                <w:i/>
              </w:rPr>
              <w:t>i</w:t>
            </w:r>
            <w:bookmarkStart w:id="0" w:name="_GoBack"/>
            <w:bookmarkEnd w:id="0"/>
            <w:r w:rsidR="00C623AF">
              <w:rPr>
                <w:rFonts w:asciiTheme="minorHAnsi" w:hAnsiTheme="minorHAnsi"/>
                <w:i/>
              </w:rPr>
              <w:t>ng</w:t>
            </w:r>
            <w:r w:rsidRPr="00AC5FD7">
              <w:rPr>
                <w:rFonts w:asciiTheme="minorHAnsi" w:hAnsiTheme="minorHAnsi"/>
                <w:i/>
              </w:rPr>
              <w:t xml:space="preserve"> </w:t>
            </w:r>
            <w:r w:rsidRPr="00AC5FD7">
              <w:rPr>
                <w:rFonts w:asciiTheme="minorHAnsi" w:hAnsiTheme="minorHAnsi"/>
              </w:rPr>
              <w:t>(1992)</w:t>
            </w:r>
          </w:p>
        </w:tc>
      </w:tr>
      <w:tr w:rsidR="003235A7" w:rsidRPr="00AC5FD7" w:rsidTr="00AF0B0F">
        <w:tc>
          <w:tcPr>
            <w:tcW w:w="9016" w:type="dxa"/>
            <w:shd w:val="clear" w:color="auto" w:fill="auto"/>
          </w:tcPr>
          <w:p w:rsidR="003235A7" w:rsidRPr="00AC5FD7" w:rsidRDefault="003235A7" w:rsidP="00AF0B0F">
            <w:pPr>
              <w:spacing w:after="0" w:line="240" w:lineRule="auto"/>
              <w:rPr>
                <w:rFonts w:asciiTheme="minorHAnsi" w:hAnsiTheme="minorHAnsi"/>
              </w:rPr>
            </w:pPr>
            <w:r w:rsidRPr="00AC5FD7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AC5FD7">
              <w:rPr>
                <w:rFonts w:asciiTheme="minorHAnsi" w:hAnsiTheme="minorHAnsi"/>
              </w:rPr>
              <w:t>:</w:t>
            </w:r>
          </w:p>
          <w:p w:rsidR="003235A7" w:rsidRPr="00AC5FD7" w:rsidRDefault="00296431" w:rsidP="00AF0B0F">
            <w:pPr>
              <w:spacing w:after="0" w:line="240" w:lineRule="auto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664076399"/>
                <w:citation/>
              </w:sdtPr>
              <w:sdtEndPr/>
              <w:sdtContent>
                <w:r w:rsidR="00C25D3D">
                  <w:rPr>
                    <w:rFonts w:asciiTheme="minorHAnsi" w:hAnsiTheme="minorHAnsi"/>
                  </w:rPr>
                  <w:fldChar w:fldCharType="begin"/>
                </w:r>
                <w:r w:rsidR="00C25D3D">
                  <w:rPr>
                    <w:rFonts w:asciiTheme="minorHAnsi" w:hAnsiTheme="minorHAnsi"/>
                    <w:lang w:val="en-CA"/>
                  </w:rPr>
                  <w:instrText xml:space="preserve"> CITATION Tre01 \l 4105 </w:instrText>
                </w:r>
                <w:r w:rsidR="00C25D3D">
                  <w:rPr>
                    <w:rFonts w:asciiTheme="minorHAnsi" w:hAnsiTheme="minorHAnsi"/>
                  </w:rPr>
                  <w:fldChar w:fldCharType="separate"/>
                </w:r>
                <w:r w:rsidR="00C25D3D" w:rsidRPr="00C25D3D">
                  <w:rPr>
                    <w:rFonts w:asciiTheme="minorHAnsi" w:hAnsiTheme="minorHAnsi"/>
                    <w:noProof/>
                    <w:lang w:val="en-CA"/>
                  </w:rPr>
                  <w:t>(Treglown)</w:t>
                </w:r>
                <w:r w:rsidR="00C25D3D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</w:tc>
      </w:tr>
    </w:tbl>
    <w:p w:rsidR="00C27FAB" w:rsidRPr="00AC5FD7" w:rsidRDefault="00C27FAB" w:rsidP="00B33145">
      <w:pPr>
        <w:rPr>
          <w:rFonts w:asciiTheme="minorHAnsi" w:hAnsiTheme="minorHAnsi"/>
        </w:rPr>
      </w:pPr>
    </w:p>
    <w:sectPr w:rsidR="00C27FAB" w:rsidRPr="00AC5F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31" w:rsidRDefault="00296431" w:rsidP="007A0D55">
      <w:pPr>
        <w:spacing w:after="0" w:line="240" w:lineRule="auto"/>
      </w:pPr>
      <w:r>
        <w:separator/>
      </w:r>
    </w:p>
  </w:endnote>
  <w:endnote w:type="continuationSeparator" w:id="0">
    <w:p w:rsidR="00296431" w:rsidRDefault="002964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31" w:rsidRDefault="00296431" w:rsidP="007A0D55">
      <w:pPr>
        <w:spacing w:after="0" w:line="240" w:lineRule="auto"/>
      </w:pPr>
      <w:r>
        <w:separator/>
      </w:r>
    </w:p>
  </w:footnote>
  <w:footnote w:type="continuationSeparator" w:id="0">
    <w:p w:rsidR="00296431" w:rsidRDefault="002964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AF0B0F">
      <w:rPr>
        <w:b/>
        <w:color w:val="7F7F7F"/>
      </w:rPr>
      <w:t>Taylor &amp; Francis</w:t>
    </w:r>
    <w:r w:rsidRPr="00AF0B0F">
      <w:rPr>
        <w:color w:val="7F7F7F"/>
      </w:rPr>
      <w:t xml:space="preserve"> – </w:t>
    </w:r>
    <w:r w:rsidRPr="00AF0B0F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0F"/>
    <w:rsid w:val="00032559"/>
    <w:rsid w:val="00052040"/>
    <w:rsid w:val="000B25AE"/>
    <w:rsid w:val="000B55AB"/>
    <w:rsid w:val="000D24DC"/>
    <w:rsid w:val="00101B2E"/>
    <w:rsid w:val="00116FA0"/>
    <w:rsid w:val="0015114C"/>
    <w:rsid w:val="00155CD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43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32B3"/>
    <w:rsid w:val="00464699"/>
    <w:rsid w:val="00483379"/>
    <w:rsid w:val="00487BC5"/>
    <w:rsid w:val="00496888"/>
    <w:rsid w:val="004A7476"/>
    <w:rsid w:val="004E5896"/>
    <w:rsid w:val="005008DC"/>
    <w:rsid w:val="00513EE6"/>
    <w:rsid w:val="00534F8F"/>
    <w:rsid w:val="00543E9F"/>
    <w:rsid w:val="00590035"/>
    <w:rsid w:val="005B177E"/>
    <w:rsid w:val="005B3921"/>
    <w:rsid w:val="005B4D63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1732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5FD7"/>
    <w:rsid w:val="00AD2F24"/>
    <w:rsid w:val="00AD4844"/>
    <w:rsid w:val="00AF0B0F"/>
    <w:rsid w:val="00B219AE"/>
    <w:rsid w:val="00B33145"/>
    <w:rsid w:val="00B574C9"/>
    <w:rsid w:val="00B962C0"/>
    <w:rsid w:val="00BC39C9"/>
    <w:rsid w:val="00BE5BF7"/>
    <w:rsid w:val="00BF40E1"/>
    <w:rsid w:val="00C25D3D"/>
    <w:rsid w:val="00C27FAB"/>
    <w:rsid w:val="00C358D4"/>
    <w:rsid w:val="00C623AF"/>
    <w:rsid w:val="00C6296B"/>
    <w:rsid w:val="00C66057"/>
    <w:rsid w:val="00CC37EC"/>
    <w:rsid w:val="00CC586D"/>
    <w:rsid w:val="00CF1542"/>
    <w:rsid w:val="00CF3EC5"/>
    <w:rsid w:val="00D656DA"/>
    <w:rsid w:val="00D83300"/>
    <w:rsid w:val="00DC3C1D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2367"/>
    <w:rsid w:val="00EF74F7"/>
    <w:rsid w:val="00F06104"/>
    <w:rsid w:val="00F36937"/>
    <w:rsid w:val="00F60F53"/>
    <w:rsid w:val="00FA11E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F655"/>
  <w15:chartTrackingRefBased/>
  <w15:docId w15:val="{3175A40E-E2C1-4272-8108-C949D7B3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Tre01</b:Tag>
    <b:SourceType>Book</b:SourceType>
    <b:Guid>{0DC7483E-09E8-44BE-A216-B67A62F8E57D}</b:Guid>
    <b:Title>Romancing: The Life and Work of Henry Green</b:Title>
    <b:Year>2001</b:Year>
    <b:Author>
      <b:Author>
        <b:NameList>
          <b:Person>
            <b:Last>Treglown</b:Last>
            <b:First>Jeremy</b:First>
          </b:Person>
        </b:NameList>
      </b:Author>
    </b:Author>
    <b:City>New York</b:City>
    <b:Publisher>Random House</b:Publisher>
    <b:RefOrder>1</b:RefOrder>
  </b:Source>
</b:Sources>
</file>

<file path=customXml/itemProps1.xml><?xml version="1.0" encoding="utf-8"?>
<ds:datastoreItem xmlns:ds="http://schemas.openxmlformats.org/officeDocument/2006/customXml" ds:itemID="{B6EE5289-FADE-4703-B9AB-8371DCD1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9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15</cp:revision>
  <dcterms:created xsi:type="dcterms:W3CDTF">2016-04-12T19:18:00Z</dcterms:created>
  <dcterms:modified xsi:type="dcterms:W3CDTF">2016-05-09T18:41:00Z</dcterms:modified>
</cp:coreProperties>
</file>