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536435" w:rsidRPr="00536435" w:rsidTr="00536435">
        <w:tc>
          <w:tcPr>
            <w:tcW w:w="491" w:type="dxa"/>
            <w:vMerge w:val="restart"/>
            <w:shd w:val="clear" w:color="auto" w:fill="A6A6A6"/>
            <w:textDirection w:val="btLr"/>
          </w:tcPr>
          <w:p w:rsidR="00B574C9" w:rsidRPr="00536435" w:rsidRDefault="00B574C9" w:rsidP="00536435">
            <w:pPr>
              <w:spacing w:after="0" w:line="240" w:lineRule="auto"/>
              <w:jc w:val="center"/>
              <w:rPr>
                <w:b/>
                <w:color w:val="FFFFFF"/>
              </w:rPr>
            </w:pPr>
            <w:r w:rsidRPr="00536435">
              <w:rPr>
                <w:b/>
                <w:color w:val="FFFFFF"/>
              </w:rPr>
              <w:t>About you</w:t>
            </w:r>
          </w:p>
        </w:tc>
        <w:tc>
          <w:tcPr>
            <w:tcW w:w="1259" w:type="dxa"/>
            <w:shd w:val="clear" w:color="auto" w:fill="auto"/>
          </w:tcPr>
          <w:p w:rsidR="00B574C9" w:rsidRPr="00536435" w:rsidRDefault="00B574C9" w:rsidP="00536435">
            <w:pPr>
              <w:spacing w:after="0" w:line="240" w:lineRule="auto"/>
              <w:jc w:val="center"/>
              <w:rPr>
                <w:b/>
                <w:color w:val="FFFFFF"/>
              </w:rPr>
            </w:pPr>
            <w:r w:rsidRPr="00536435">
              <w:rPr>
                <w:rStyle w:val="PlaceholderText"/>
                <w:b/>
                <w:color w:val="FFFFFF"/>
              </w:rPr>
              <w:t>[Salutation]</w:t>
            </w:r>
          </w:p>
        </w:tc>
        <w:tc>
          <w:tcPr>
            <w:tcW w:w="2073" w:type="dxa"/>
            <w:shd w:val="clear" w:color="auto" w:fill="auto"/>
          </w:tcPr>
          <w:p w:rsidR="00B574C9" w:rsidRPr="00536435" w:rsidRDefault="00536435" w:rsidP="00536435">
            <w:pPr>
              <w:spacing w:after="0" w:line="240" w:lineRule="auto"/>
            </w:pPr>
            <w:r>
              <w:rPr>
                <w:rStyle w:val="PlaceholderText"/>
              </w:rPr>
              <w:t>Rania</w:t>
            </w:r>
          </w:p>
        </w:tc>
        <w:tc>
          <w:tcPr>
            <w:tcW w:w="2551" w:type="dxa"/>
            <w:shd w:val="clear" w:color="auto" w:fill="auto"/>
          </w:tcPr>
          <w:p w:rsidR="00B574C9" w:rsidRPr="00536435" w:rsidRDefault="00B574C9" w:rsidP="00536435">
            <w:pPr>
              <w:spacing w:after="0" w:line="240" w:lineRule="auto"/>
            </w:pPr>
            <w:r w:rsidRPr="00536435">
              <w:rPr>
                <w:rStyle w:val="PlaceholderText"/>
              </w:rPr>
              <w:t>[Middle name]</w:t>
            </w:r>
          </w:p>
        </w:tc>
        <w:tc>
          <w:tcPr>
            <w:tcW w:w="2642" w:type="dxa"/>
            <w:shd w:val="clear" w:color="auto" w:fill="auto"/>
          </w:tcPr>
          <w:p w:rsidR="00B574C9" w:rsidRPr="00536435" w:rsidRDefault="00536435" w:rsidP="00536435">
            <w:pPr>
              <w:spacing w:after="0" w:line="240" w:lineRule="auto"/>
            </w:pPr>
            <w:r>
              <w:rPr>
                <w:rStyle w:val="PlaceholderText"/>
              </w:rPr>
              <w:t>Jawad</w:t>
            </w:r>
          </w:p>
        </w:tc>
      </w:tr>
      <w:tr w:rsidR="00536435" w:rsidRPr="00536435" w:rsidTr="00536435">
        <w:trPr>
          <w:trHeight w:val="986"/>
        </w:trPr>
        <w:tc>
          <w:tcPr>
            <w:tcW w:w="491" w:type="dxa"/>
            <w:vMerge/>
            <w:shd w:val="clear" w:color="auto" w:fill="A6A6A6"/>
          </w:tcPr>
          <w:p w:rsidR="00B574C9" w:rsidRPr="00536435" w:rsidRDefault="00B574C9" w:rsidP="00536435">
            <w:pPr>
              <w:spacing w:after="0" w:line="240" w:lineRule="auto"/>
              <w:jc w:val="center"/>
              <w:rPr>
                <w:b/>
                <w:color w:val="FFFFFF"/>
              </w:rPr>
            </w:pPr>
          </w:p>
        </w:tc>
        <w:tc>
          <w:tcPr>
            <w:tcW w:w="8525" w:type="dxa"/>
            <w:gridSpan w:val="4"/>
            <w:shd w:val="clear" w:color="auto" w:fill="auto"/>
          </w:tcPr>
          <w:p w:rsidR="00B574C9" w:rsidRPr="00536435" w:rsidRDefault="00B574C9" w:rsidP="00536435">
            <w:pPr>
              <w:spacing w:after="0" w:line="240" w:lineRule="auto"/>
            </w:pPr>
            <w:r w:rsidRPr="00536435">
              <w:rPr>
                <w:rStyle w:val="PlaceholderText"/>
              </w:rPr>
              <w:t>[Enter your biography]</w:t>
            </w:r>
          </w:p>
        </w:tc>
      </w:tr>
      <w:tr w:rsidR="00536435" w:rsidRPr="00536435" w:rsidTr="00536435">
        <w:trPr>
          <w:trHeight w:val="986"/>
        </w:trPr>
        <w:tc>
          <w:tcPr>
            <w:tcW w:w="491" w:type="dxa"/>
            <w:vMerge/>
            <w:shd w:val="clear" w:color="auto" w:fill="A6A6A6"/>
          </w:tcPr>
          <w:p w:rsidR="00B574C9" w:rsidRPr="00536435" w:rsidRDefault="00B574C9" w:rsidP="00536435">
            <w:pPr>
              <w:spacing w:after="0" w:line="240" w:lineRule="auto"/>
              <w:jc w:val="center"/>
              <w:rPr>
                <w:b/>
                <w:color w:val="FFFFFF"/>
              </w:rPr>
            </w:pPr>
          </w:p>
        </w:tc>
        <w:tc>
          <w:tcPr>
            <w:tcW w:w="8525" w:type="dxa"/>
            <w:gridSpan w:val="4"/>
            <w:shd w:val="clear" w:color="auto" w:fill="auto"/>
          </w:tcPr>
          <w:p w:rsidR="00B574C9" w:rsidRPr="00536435" w:rsidRDefault="00536435" w:rsidP="00536435">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36435" w:rsidTr="00536435">
        <w:tc>
          <w:tcPr>
            <w:tcW w:w="9016" w:type="dxa"/>
            <w:shd w:val="clear" w:color="auto" w:fill="A6A6A6"/>
            <w:tcMar>
              <w:top w:w="113" w:type="dxa"/>
              <w:bottom w:w="113" w:type="dxa"/>
            </w:tcMar>
          </w:tcPr>
          <w:p w:rsidR="00244BB0" w:rsidRPr="00536435" w:rsidRDefault="00244BB0" w:rsidP="00536435">
            <w:pPr>
              <w:spacing w:after="0" w:line="240" w:lineRule="auto"/>
              <w:jc w:val="center"/>
              <w:rPr>
                <w:b/>
                <w:color w:val="FFFFFF"/>
              </w:rPr>
            </w:pPr>
            <w:r w:rsidRPr="00536435">
              <w:rPr>
                <w:b/>
                <w:color w:val="FFFFFF"/>
              </w:rPr>
              <w:t>Your article</w:t>
            </w:r>
          </w:p>
        </w:tc>
      </w:tr>
      <w:tr w:rsidR="003F0D73" w:rsidRPr="00536435" w:rsidTr="00536435">
        <w:tc>
          <w:tcPr>
            <w:tcW w:w="9016" w:type="dxa"/>
            <w:shd w:val="clear" w:color="auto" w:fill="auto"/>
            <w:tcMar>
              <w:top w:w="113" w:type="dxa"/>
              <w:bottom w:w="113" w:type="dxa"/>
            </w:tcMar>
          </w:tcPr>
          <w:p w:rsidR="003F0D73" w:rsidRPr="00536435" w:rsidRDefault="00536435" w:rsidP="00536435">
            <w:pPr>
              <w:spacing w:after="0" w:line="240" w:lineRule="auto"/>
              <w:rPr>
                <w:b/>
              </w:rPr>
            </w:pPr>
            <w:r w:rsidRPr="006F46B4">
              <w:rPr>
                <w:rFonts w:ascii="Times New Roman" w:hAnsi="Times New Roman"/>
                <w:b/>
              </w:rPr>
              <w:t>Palestinian Theatre</w:t>
            </w:r>
          </w:p>
        </w:tc>
      </w:tr>
      <w:tr w:rsidR="00464699" w:rsidRPr="00536435" w:rsidTr="00536435">
        <w:tc>
          <w:tcPr>
            <w:tcW w:w="9016" w:type="dxa"/>
            <w:shd w:val="clear" w:color="auto" w:fill="auto"/>
            <w:tcMar>
              <w:top w:w="113" w:type="dxa"/>
              <w:bottom w:w="113" w:type="dxa"/>
            </w:tcMar>
          </w:tcPr>
          <w:p w:rsidR="00464699" w:rsidRPr="00536435" w:rsidRDefault="00464699" w:rsidP="00536435">
            <w:pPr>
              <w:spacing w:after="0" w:line="240" w:lineRule="auto"/>
            </w:pPr>
            <w:r w:rsidRPr="00536435">
              <w:rPr>
                <w:rStyle w:val="PlaceholderText"/>
                <w:b/>
              </w:rPr>
              <w:t xml:space="preserve">[Enter any </w:t>
            </w:r>
            <w:r w:rsidRPr="00536435">
              <w:rPr>
                <w:rStyle w:val="PlaceholderText"/>
                <w:b/>
                <w:i/>
              </w:rPr>
              <w:t>variant forms</w:t>
            </w:r>
            <w:r w:rsidRPr="00536435">
              <w:rPr>
                <w:rStyle w:val="PlaceholderText"/>
                <w:b/>
              </w:rPr>
              <w:t xml:space="preserve"> of your headword – OPTIONAL]</w:t>
            </w:r>
          </w:p>
        </w:tc>
      </w:tr>
      <w:tr w:rsidR="00E85A05" w:rsidRPr="00536435" w:rsidTr="00536435">
        <w:tc>
          <w:tcPr>
            <w:tcW w:w="9016" w:type="dxa"/>
            <w:shd w:val="clear" w:color="auto" w:fill="auto"/>
            <w:tcMar>
              <w:top w:w="113" w:type="dxa"/>
              <w:bottom w:w="113" w:type="dxa"/>
            </w:tcMar>
          </w:tcPr>
          <w:p w:rsidR="00E85A05" w:rsidRPr="00536435" w:rsidRDefault="0036407E" w:rsidP="00536435">
            <w:pPr>
              <w:spacing w:after="0" w:line="240" w:lineRule="auto"/>
            </w:pPr>
            <w:r>
              <w:rPr>
                <w:rFonts w:ascii="Times New Roman" w:hAnsi="Times New Roman"/>
              </w:rPr>
              <w:t xml:space="preserve">Because the majority of Palestinians have been displaced from Palestine due to the Zionist colonization of their lands </w:t>
            </w:r>
            <w:r w:rsidRPr="00F5637F">
              <w:rPr>
                <w:rFonts w:ascii="Times New Roman" w:hAnsi="Times New Roman"/>
              </w:rPr>
              <w:t xml:space="preserve">beginning in the late nineteenth century, Palestinian experience, history, and culture </w:t>
            </w:r>
            <w:r>
              <w:rPr>
                <w:rFonts w:ascii="Times New Roman" w:hAnsi="Times New Roman"/>
              </w:rPr>
              <w:t>are</w:t>
            </w:r>
            <w:r w:rsidRPr="00F5637F">
              <w:rPr>
                <w:rFonts w:ascii="Times New Roman" w:hAnsi="Times New Roman"/>
              </w:rPr>
              <w:t xml:space="preserve"> decentralized, transnational, and multi-sited. A discussion on Palestinian theatre therefore invites reflection on </w:t>
            </w:r>
            <w:r>
              <w:rPr>
                <w:rFonts w:ascii="Times New Roman" w:hAnsi="Times New Roman"/>
              </w:rPr>
              <w:t xml:space="preserve">colonialism, </w:t>
            </w:r>
            <w:r w:rsidRPr="00F5637F">
              <w:rPr>
                <w:rFonts w:ascii="Times New Roman" w:hAnsi="Times New Roman"/>
              </w:rPr>
              <w:t>nationalism, representation, and the relationship between politics</w:t>
            </w:r>
            <w:r>
              <w:rPr>
                <w:rFonts w:ascii="Times New Roman" w:hAnsi="Times New Roman"/>
              </w:rPr>
              <w:t>, society</w:t>
            </w:r>
            <w:r w:rsidRPr="00F5637F">
              <w:rPr>
                <w:rFonts w:ascii="Times New Roman" w:hAnsi="Times New Roman"/>
              </w:rPr>
              <w:t xml:space="preserve"> and art.</w:t>
            </w:r>
          </w:p>
        </w:tc>
      </w:tr>
      <w:tr w:rsidR="003F0D73" w:rsidRPr="00536435" w:rsidTr="00536435">
        <w:tc>
          <w:tcPr>
            <w:tcW w:w="9016" w:type="dxa"/>
            <w:shd w:val="clear" w:color="auto" w:fill="auto"/>
            <w:tcMar>
              <w:top w:w="113" w:type="dxa"/>
              <w:bottom w:w="113" w:type="dxa"/>
            </w:tcMar>
          </w:tcPr>
          <w:p w:rsidR="0036407E" w:rsidRDefault="0036407E" w:rsidP="0036407E">
            <w:pPr>
              <w:spacing w:after="0"/>
              <w:rPr>
                <w:rFonts w:ascii="Times New Roman" w:hAnsi="Times New Roman"/>
              </w:rPr>
            </w:pPr>
            <w:r>
              <w:rPr>
                <w:rFonts w:ascii="Times New Roman" w:hAnsi="Times New Roman"/>
              </w:rPr>
              <w:t xml:space="preserve">Because the majority of Palestinians have been displaced from Palestine due to the Zionist colonization of their lands </w:t>
            </w:r>
            <w:r w:rsidRPr="00F5637F">
              <w:rPr>
                <w:rFonts w:ascii="Times New Roman" w:hAnsi="Times New Roman"/>
              </w:rPr>
              <w:t xml:space="preserve">beginning in the late nineteenth century, Palestinian experience, history, and culture </w:t>
            </w:r>
            <w:r>
              <w:rPr>
                <w:rFonts w:ascii="Times New Roman" w:hAnsi="Times New Roman"/>
              </w:rPr>
              <w:t>are</w:t>
            </w:r>
            <w:r w:rsidRPr="00F5637F">
              <w:rPr>
                <w:rFonts w:ascii="Times New Roman" w:hAnsi="Times New Roman"/>
              </w:rPr>
              <w:t xml:space="preserve"> decentralized, transnational, and multi-sited. A discussion on Palestinian theatre therefore invites reflection on </w:t>
            </w:r>
            <w:r>
              <w:rPr>
                <w:rFonts w:ascii="Times New Roman" w:hAnsi="Times New Roman"/>
              </w:rPr>
              <w:t xml:space="preserve">colonialism, </w:t>
            </w:r>
            <w:r w:rsidRPr="00F5637F">
              <w:rPr>
                <w:rFonts w:ascii="Times New Roman" w:hAnsi="Times New Roman"/>
              </w:rPr>
              <w:t>nationalism, representation, and the relationship between politics</w:t>
            </w:r>
            <w:r>
              <w:rPr>
                <w:rFonts w:ascii="Times New Roman" w:hAnsi="Times New Roman"/>
              </w:rPr>
              <w:t>, society</w:t>
            </w:r>
            <w:r w:rsidRPr="00F5637F">
              <w:rPr>
                <w:rFonts w:ascii="Times New Roman" w:hAnsi="Times New Roman"/>
              </w:rPr>
              <w:t xml:space="preserve"> and art.</w:t>
            </w:r>
          </w:p>
          <w:p w:rsidR="0036407E" w:rsidRDefault="0036407E" w:rsidP="0036407E">
            <w:pPr>
              <w:spacing w:after="0"/>
              <w:rPr>
                <w:rFonts w:ascii="Times New Roman" w:hAnsi="Times New Roman"/>
              </w:rPr>
            </w:pPr>
          </w:p>
          <w:p w:rsidR="0036407E" w:rsidRDefault="0036407E" w:rsidP="0036407E">
            <w:pPr>
              <w:spacing w:after="0"/>
              <w:rPr>
                <w:rFonts w:ascii="Times New Roman" w:hAnsi="Times New Roman"/>
              </w:rPr>
            </w:pPr>
            <w:r>
              <w:rPr>
                <w:rFonts w:ascii="Times New Roman" w:hAnsi="Times New Roman"/>
              </w:rPr>
              <w:t xml:space="preserve">The presence of theatre in the Arab world takes the form of diverse performance practices, such as various celebratory and mourning rituals, farcical satires based on acts of imitation, shadow puppetry, and </w:t>
            </w:r>
            <w:r w:rsidRPr="005F2995">
              <w:rPr>
                <w:rFonts w:ascii="Times New Roman" w:hAnsi="Times New Roman"/>
              </w:rPr>
              <w:t>storytelling</w:t>
            </w:r>
            <w:r>
              <w:rPr>
                <w:rFonts w:ascii="Times New Roman" w:hAnsi="Times New Roman"/>
              </w:rPr>
              <w:t xml:space="preserve"> that draws on Arab folklore, traditionally accompanied by live music</w:t>
            </w:r>
            <w:r w:rsidRPr="00E308B0">
              <w:rPr>
                <w:rFonts w:ascii="Times New Roman" w:hAnsi="Times New Roman"/>
              </w:rPr>
              <w:t xml:space="preserve">. </w:t>
            </w:r>
            <w:r>
              <w:rPr>
                <w:rFonts w:ascii="Times New Roman" w:hAnsi="Times New Roman"/>
              </w:rPr>
              <w:t>One example of</w:t>
            </w:r>
            <w:r w:rsidRPr="00175C0E">
              <w:rPr>
                <w:rFonts w:ascii="Times New Roman" w:hAnsi="Times New Roman"/>
              </w:rPr>
              <w:t xml:space="preserve"> a local Arab theatrical </w:t>
            </w:r>
            <w:proofErr w:type="spellStart"/>
            <w:r w:rsidRPr="00175C0E">
              <w:rPr>
                <w:rFonts w:ascii="Times New Roman" w:hAnsi="Times New Roman"/>
              </w:rPr>
              <w:t>artform</w:t>
            </w:r>
            <w:proofErr w:type="spellEnd"/>
            <w:r w:rsidRPr="00175C0E">
              <w:rPr>
                <w:rFonts w:ascii="Times New Roman" w:hAnsi="Times New Roman"/>
              </w:rPr>
              <w:t xml:space="preserve"> </w:t>
            </w:r>
            <w:r w:rsidRPr="004E3FB3">
              <w:rPr>
                <w:rFonts w:ascii="Times New Roman" w:hAnsi="Times New Roman"/>
                <w:rtl/>
              </w:rPr>
              <w:t>صندوق العجب</w:t>
            </w:r>
            <w:r w:rsidRPr="004E3FB3">
              <w:rPr>
                <w:rFonts w:ascii="Times New Roman" w:hAnsi="Times New Roman"/>
              </w:rPr>
              <w:t xml:space="preserve"> </w:t>
            </w:r>
            <w:r>
              <w:rPr>
                <w:rFonts w:ascii="Times New Roman" w:hAnsi="Times New Roman"/>
              </w:rPr>
              <w:t>[</w:t>
            </w:r>
            <w:proofErr w:type="spellStart"/>
            <w:r>
              <w:rPr>
                <w:rFonts w:ascii="Times New Roman" w:hAnsi="Times New Roman"/>
              </w:rPr>
              <w:t>Sanduq</w:t>
            </w:r>
            <w:proofErr w:type="spellEnd"/>
            <w:r>
              <w:rPr>
                <w:rFonts w:ascii="Times New Roman" w:hAnsi="Times New Roman"/>
              </w:rPr>
              <w:t xml:space="preserve"> al-‘</w:t>
            </w:r>
            <w:proofErr w:type="spellStart"/>
            <w:r>
              <w:rPr>
                <w:rFonts w:ascii="Times New Roman" w:hAnsi="Times New Roman"/>
              </w:rPr>
              <w:t>Ajab</w:t>
            </w:r>
            <w:proofErr w:type="spellEnd"/>
            <w:r>
              <w:rPr>
                <w:rFonts w:ascii="Times New Roman" w:hAnsi="Times New Roman"/>
              </w:rPr>
              <w:t xml:space="preserve">]—translated into English </w:t>
            </w:r>
            <w:r w:rsidRPr="00175C0E">
              <w:rPr>
                <w:rFonts w:ascii="Times New Roman" w:hAnsi="Times New Roman"/>
              </w:rPr>
              <w:t>as “</w:t>
            </w:r>
            <w:r>
              <w:rPr>
                <w:rFonts w:ascii="Times New Roman" w:hAnsi="Times New Roman"/>
              </w:rPr>
              <w:t>Box of Wonders” or “Magic Box”—</w:t>
            </w:r>
            <w:r w:rsidRPr="00175C0E">
              <w:rPr>
                <w:rFonts w:ascii="Times New Roman" w:hAnsi="Times New Roman"/>
              </w:rPr>
              <w:t>consists of a box structure with holes through which one looks to see pictures on a paper ribbon that a storyteller rotates while narrating.</w:t>
            </w:r>
            <w:r>
              <w:rPr>
                <w:rFonts w:ascii="Times New Roman" w:hAnsi="Times New Roman"/>
              </w:rPr>
              <w:t xml:space="preserve"> Modern theatre at times </w:t>
            </w:r>
            <w:r w:rsidRPr="004E3FB3">
              <w:rPr>
                <w:rFonts w:ascii="Times New Roman" w:hAnsi="Times New Roman"/>
              </w:rPr>
              <w:t>draws on such indigenous performance traditions a</w:t>
            </w:r>
            <w:r>
              <w:rPr>
                <w:rFonts w:ascii="Times New Roman" w:hAnsi="Times New Roman"/>
              </w:rPr>
              <w:t xml:space="preserve">s </w:t>
            </w:r>
            <w:r w:rsidRPr="007B7420">
              <w:rPr>
                <w:rFonts w:ascii="Times New Roman" w:hAnsi="Times New Roman"/>
              </w:rPr>
              <w:t>a counter discourse to</w:t>
            </w:r>
            <w:r w:rsidRPr="00175C0E">
              <w:rPr>
                <w:rFonts w:ascii="Times New Roman" w:hAnsi="Times New Roman"/>
              </w:rPr>
              <w:t xml:space="preserve"> European and colonial cultural models</w:t>
            </w:r>
            <w:r>
              <w:rPr>
                <w:rFonts w:ascii="Times New Roman" w:hAnsi="Times New Roman"/>
              </w:rPr>
              <w:t>.</w:t>
            </w:r>
          </w:p>
          <w:p w:rsidR="00F928DF" w:rsidRDefault="00F928DF" w:rsidP="0036407E">
            <w:pPr>
              <w:spacing w:after="0"/>
              <w:rPr>
                <w:rFonts w:ascii="Times New Roman" w:hAnsi="Times New Roman"/>
              </w:rPr>
            </w:pPr>
          </w:p>
          <w:p w:rsidR="00A50C15" w:rsidRDefault="00F928DF" w:rsidP="00A50C15">
            <w:pPr>
              <w:keepNext/>
              <w:spacing w:after="0"/>
            </w:pPr>
            <w:r>
              <w:rPr>
                <w:rFonts w:ascii="Times New Roman" w:hAnsi="Times New Roman"/>
              </w:rPr>
              <w:t>File: Sanduq.jpg</w:t>
            </w:r>
          </w:p>
          <w:p w:rsidR="00F928DF" w:rsidRDefault="00A50C15" w:rsidP="00A50C15">
            <w:pPr>
              <w:pStyle w:val="Caption"/>
              <w:spacing w:after="0"/>
              <w:rPr>
                <w:rFonts w:ascii="Times New Roman" w:hAnsi="Times New Roman"/>
              </w:rPr>
            </w:pPr>
            <w:r w:rsidRPr="00A423A7">
              <w:rPr>
                <w:lang w:val="es-ES"/>
              </w:rPr>
              <w:t xml:space="preserve">Figure </w:t>
            </w:r>
            <w:r>
              <w:fldChar w:fldCharType="begin"/>
            </w:r>
            <w:r w:rsidRPr="00A423A7">
              <w:rPr>
                <w:lang w:val="es-ES"/>
              </w:rPr>
              <w:instrText xml:space="preserve"> SEQ Figure \* ARABIC </w:instrText>
            </w:r>
            <w:r>
              <w:fldChar w:fldCharType="separate"/>
            </w:r>
            <w:r w:rsidR="00466A8A">
              <w:rPr>
                <w:noProof/>
                <w:lang w:val="es-ES"/>
              </w:rPr>
              <w:t>1</w:t>
            </w:r>
            <w:r>
              <w:fldChar w:fldCharType="end"/>
            </w:r>
            <w:r w:rsidRPr="00A423A7">
              <w:rPr>
                <w:lang w:val="es-ES"/>
              </w:rPr>
              <w:t xml:space="preserve">. </w:t>
            </w:r>
            <w:proofErr w:type="spellStart"/>
            <w:r w:rsidRPr="00900433">
              <w:rPr>
                <w:rFonts w:ascii="Arial" w:hAnsi="Arial" w:cs="Arial"/>
              </w:rPr>
              <w:t>صندوق</w:t>
            </w:r>
            <w:proofErr w:type="spellEnd"/>
            <w:r w:rsidRPr="00A423A7">
              <w:rPr>
                <w:lang w:val="es-ES"/>
              </w:rPr>
              <w:t xml:space="preserve"> </w:t>
            </w:r>
            <w:proofErr w:type="spellStart"/>
            <w:r w:rsidRPr="00900433">
              <w:rPr>
                <w:rFonts w:ascii="Arial" w:hAnsi="Arial" w:cs="Arial"/>
              </w:rPr>
              <w:t>العجب</w:t>
            </w:r>
            <w:proofErr w:type="spellEnd"/>
            <w:r w:rsidRPr="00A423A7">
              <w:rPr>
                <w:lang w:val="es-ES"/>
              </w:rPr>
              <w:t xml:space="preserve"> [</w:t>
            </w:r>
            <w:proofErr w:type="spellStart"/>
            <w:r w:rsidRPr="00A423A7">
              <w:rPr>
                <w:lang w:val="es-ES"/>
              </w:rPr>
              <w:t>Sanduq</w:t>
            </w:r>
            <w:proofErr w:type="spellEnd"/>
            <w:r w:rsidRPr="00A423A7">
              <w:rPr>
                <w:lang w:val="es-ES"/>
              </w:rPr>
              <w:t xml:space="preserve"> al-‘</w:t>
            </w:r>
            <w:proofErr w:type="spellStart"/>
            <w:r w:rsidRPr="00A423A7">
              <w:rPr>
                <w:lang w:val="es-ES"/>
              </w:rPr>
              <w:t>Ajab</w:t>
            </w:r>
            <w:proofErr w:type="spellEnd"/>
            <w:r w:rsidRPr="00A423A7">
              <w:rPr>
                <w:lang w:val="es-ES"/>
              </w:rPr>
              <w:t xml:space="preserve">]. </w:t>
            </w:r>
            <w:r w:rsidRPr="00900433">
              <w:t xml:space="preserve">This picture is taken in </w:t>
            </w:r>
            <w:r>
              <w:t xml:space="preserve">Palestine sometime between 1918 and </w:t>
            </w:r>
            <w:r w:rsidRPr="00900433">
              <w:t>1935.</w:t>
            </w:r>
          </w:p>
          <w:p w:rsidR="00F928DF" w:rsidRDefault="00F928DF" w:rsidP="00A50C15">
            <w:pPr>
              <w:spacing w:after="0"/>
              <w:rPr>
                <w:rFonts w:ascii="Times New Roman" w:hAnsi="Times New Roman"/>
              </w:rPr>
            </w:pPr>
            <w:r>
              <w:rPr>
                <w:rFonts w:ascii="Times New Roman" w:hAnsi="Times New Roman"/>
              </w:rPr>
              <w:t>Source:</w:t>
            </w:r>
            <w:r w:rsidR="00AD241F">
              <w:rPr>
                <w:rFonts w:ascii="Times New Roman" w:hAnsi="Times New Roman"/>
              </w:rPr>
              <w:t xml:space="preserve"> </w:t>
            </w:r>
            <w:r w:rsidR="00AD241F" w:rsidRPr="00175C0E">
              <w:rPr>
                <w:rFonts w:ascii="Times New Roman" w:hAnsi="Times New Roman"/>
                <w:i/>
              </w:rPr>
              <w:t>Before Their Diaspora</w:t>
            </w:r>
            <w:r w:rsidR="00AD241F" w:rsidRPr="00175C0E">
              <w:rPr>
                <w:rFonts w:ascii="Times New Roman" w:hAnsi="Times New Roman"/>
              </w:rPr>
              <w:t xml:space="preserve">, </w:t>
            </w:r>
            <w:proofErr w:type="spellStart"/>
            <w:r w:rsidR="00AD241F" w:rsidRPr="00175C0E">
              <w:rPr>
                <w:rFonts w:ascii="Times New Roman" w:hAnsi="Times New Roman"/>
              </w:rPr>
              <w:t>Walid</w:t>
            </w:r>
            <w:proofErr w:type="spellEnd"/>
            <w:r w:rsidR="00AD241F" w:rsidRPr="00175C0E">
              <w:rPr>
                <w:rFonts w:ascii="Times New Roman" w:hAnsi="Times New Roman"/>
              </w:rPr>
              <w:t xml:space="preserve"> </w:t>
            </w:r>
            <w:proofErr w:type="spellStart"/>
            <w:r w:rsidR="00AD241F" w:rsidRPr="00175C0E">
              <w:rPr>
                <w:rFonts w:ascii="Times New Roman" w:hAnsi="Times New Roman"/>
              </w:rPr>
              <w:t>Khalidi</w:t>
            </w:r>
            <w:proofErr w:type="spellEnd"/>
          </w:p>
          <w:p w:rsidR="00F928DF" w:rsidRDefault="00F928DF" w:rsidP="0036407E">
            <w:pPr>
              <w:spacing w:after="0"/>
              <w:rPr>
                <w:rFonts w:ascii="Times New Roman" w:hAnsi="Times New Roman"/>
              </w:rPr>
            </w:pPr>
          </w:p>
          <w:p w:rsidR="00A50C15" w:rsidRDefault="00F928DF" w:rsidP="00A50C15">
            <w:pPr>
              <w:keepNext/>
              <w:spacing w:after="0"/>
            </w:pPr>
            <w:r>
              <w:rPr>
                <w:rFonts w:ascii="Times New Roman" w:hAnsi="Times New Roman"/>
              </w:rPr>
              <w:t xml:space="preserve">File: </w:t>
            </w:r>
            <w:r w:rsidR="00AD241F">
              <w:rPr>
                <w:rFonts w:ascii="Times New Roman" w:hAnsi="Times New Roman"/>
              </w:rPr>
              <w:t>Indigenous.jpg</w:t>
            </w:r>
          </w:p>
          <w:p w:rsidR="00F928DF" w:rsidRDefault="00A50C15" w:rsidP="00F66895">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sidR="00466A8A">
              <w:rPr>
                <w:noProof/>
              </w:rPr>
              <w:t>2</w:t>
            </w:r>
            <w:r>
              <w:fldChar w:fldCharType="end"/>
            </w:r>
            <w:r>
              <w:t xml:space="preserve">. </w:t>
            </w:r>
            <w:r w:rsidRPr="00357C13">
              <w:t>Ticket stub for the play</w:t>
            </w:r>
            <w:r w:rsidR="00446A96">
              <w:t xml:space="preserve"> </w:t>
            </w:r>
            <w:r w:rsidRPr="00357C13">
              <w:t>"</w:t>
            </w:r>
            <w:proofErr w:type="spellStart"/>
            <w:r w:rsidRPr="00357C13">
              <w:rPr>
                <w:rFonts w:ascii="Arial" w:hAnsi="Arial" w:cs="Arial"/>
              </w:rPr>
              <w:t>لما</w:t>
            </w:r>
            <w:proofErr w:type="spellEnd"/>
            <w:r w:rsidRPr="00357C13">
              <w:t xml:space="preserve"> </w:t>
            </w:r>
            <w:proofErr w:type="spellStart"/>
            <w:r w:rsidRPr="00357C13">
              <w:rPr>
                <w:rFonts w:ascii="Arial" w:hAnsi="Arial" w:cs="Arial"/>
              </w:rPr>
              <w:t>انجنينا</w:t>
            </w:r>
            <w:proofErr w:type="spellEnd"/>
            <w:proofErr w:type="gramStart"/>
            <w:r w:rsidRPr="00357C13">
              <w:t>"  [</w:t>
            </w:r>
            <w:proofErr w:type="gramEnd"/>
            <w:r w:rsidRPr="00357C13">
              <w:t xml:space="preserve">When We Went Mad] by </w:t>
            </w:r>
            <w:proofErr w:type="spellStart"/>
            <w:r w:rsidRPr="00357C13">
              <w:rPr>
                <w:rFonts w:ascii="Arial" w:hAnsi="Arial" w:cs="Arial"/>
              </w:rPr>
              <w:t>مسرح</w:t>
            </w:r>
            <w:proofErr w:type="spellEnd"/>
            <w:r w:rsidRPr="00357C13">
              <w:t xml:space="preserve"> </w:t>
            </w:r>
            <w:proofErr w:type="spellStart"/>
            <w:r w:rsidRPr="00357C13">
              <w:rPr>
                <w:rFonts w:ascii="Arial" w:hAnsi="Arial" w:cs="Arial"/>
              </w:rPr>
              <w:t>صندوق</w:t>
            </w:r>
            <w:proofErr w:type="spellEnd"/>
            <w:r w:rsidRPr="00357C13">
              <w:t xml:space="preserve"> </w:t>
            </w:r>
            <w:proofErr w:type="spellStart"/>
            <w:r w:rsidRPr="00357C13">
              <w:rPr>
                <w:rFonts w:ascii="Arial" w:hAnsi="Arial" w:cs="Arial"/>
              </w:rPr>
              <w:t>العجب</w:t>
            </w:r>
            <w:proofErr w:type="spellEnd"/>
            <w:r w:rsidRPr="00357C13">
              <w:t xml:space="preserve"> [</w:t>
            </w:r>
            <w:proofErr w:type="spellStart"/>
            <w:r w:rsidRPr="00357C13">
              <w:t>Masrah</w:t>
            </w:r>
            <w:proofErr w:type="spellEnd"/>
            <w:r w:rsidRPr="00357C13">
              <w:t xml:space="preserve"> </w:t>
            </w:r>
            <w:proofErr w:type="spellStart"/>
            <w:r w:rsidRPr="00357C13">
              <w:t>Sanduq</w:t>
            </w:r>
            <w:proofErr w:type="spellEnd"/>
            <w:r w:rsidRPr="00357C13">
              <w:t xml:space="preserve"> al-‘</w:t>
            </w:r>
            <w:proofErr w:type="spellStart"/>
            <w:r w:rsidRPr="00357C13">
              <w:t>Ajab</w:t>
            </w:r>
            <w:proofErr w:type="spellEnd"/>
            <w:r w:rsidRPr="00357C13">
              <w:t xml:space="preserve">], dated 6 June 1976. The troupe’s name references an Arab theatrical </w:t>
            </w:r>
            <w:proofErr w:type="spellStart"/>
            <w:r w:rsidRPr="00357C13">
              <w:t>artform</w:t>
            </w:r>
            <w:proofErr w:type="spellEnd"/>
            <w:r w:rsidRPr="00357C13">
              <w:t xml:space="preserve"> present in Palestine for years. The play documents the everyday social re</w:t>
            </w:r>
            <w:r>
              <w:t>alities of two Palestinian labourers in Israel and their descent into madness.</w:t>
            </w:r>
          </w:p>
          <w:p w:rsidR="00AD241F" w:rsidRPr="005E692E" w:rsidRDefault="00AD241F" w:rsidP="0036407E">
            <w:pPr>
              <w:spacing w:after="0"/>
              <w:rPr>
                <w:rFonts w:ascii="Times New Roman" w:hAnsi="Times New Roman"/>
              </w:rPr>
            </w:pPr>
            <w:r>
              <w:rPr>
                <w:rFonts w:ascii="Times New Roman" w:hAnsi="Times New Roman"/>
              </w:rPr>
              <w:t xml:space="preserve">Source: </w:t>
            </w:r>
            <w:r w:rsidRPr="00175C0E">
              <w:rPr>
                <w:rFonts w:ascii="Times New Roman" w:hAnsi="Times New Roman"/>
              </w:rPr>
              <w:t xml:space="preserve">personal photo; ticket stub courtesy of personal archive of </w:t>
            </w:r>
            <w:proofErr w:type="spellStart"/>
            <w:r w:rsidRPr="00175C0E">
              <w:rPr>
                <w:rFonts w:ascii="Times New Roman" w:hAnsi="Times New Roman"/>
              </w:rPr>
              <w:t>Sanduq</w:t>
            </w:r>
            <w:proofErr w:type="spellEnd"/>
            <w:r w:rsidRPr="00175C0E">
              <w:rPr>
                <w:rFonts w:ascii="Times New Roman" w:hAnsi="Times New Roman"/>
              </w:rPr>
              <w:t xml:space="preserve"> al-‘</w:t>
            </w:r>
            <w:proofErr w:type="spellStart"/>
            <w:r w:rsidRPr="00175C0E">
              <w:rPr>
                <w:rFonts w:ascii="Times New Roman" w:hAnsi="Times New Roman"/>
              </w:rPr>
              <w:t>Ajab</w:t>
            </w:r>
            <w:proofErr w:type="spellEnd"/>
            <w:r w:rsidRPr="00175C0E">
              <w:rPr>
                <w:rFonts w:ascii="Times New Roman" w:hAnsi="Times New Roman"/>
              </w:rPr>
              <w:t xml:space="preserve"> Theatre Troupe member ‘Adel al-</w:t>
            </w:r>
            <w:proofErr w:type="spellStart"/>
            <w:r w:rsidRPr="00175C0E">
              <w:rPr>
                <w:rFonts w:ascii="Times New Roman" w:hAnsi="Times New Roman"/>
              </w:rPr>
              <w:t>Tartir</w:t>
            </w:r>
            <w:proofErr w:type="spellEnd"/>
          </w:p>
          <w:p w:rsidR="0036407E" w:rsidRDefault="0036407E" w:rsidP="0036407E">
            <w:pPr>
              <w:spacing w:after="0"/>
              <w:rPr>
                <w:rFonts w:ascii="Times New Roman" w:hAnsi="Times New Roman"/>
              </w:rPr>
            </w:pPr>
          </w:p>
          <w:p w:rsidR="0036407E" w:rsidRDefault="0036407E" w:rsidP="0036407E">
            <w:pPr>
              <w:spacing w:after="0"/>
              <w:rPr>
                <w:rFonts w:ascii="Times New Roman" w:hAnsi="Times New Roman"/>
              </w:rPr>
            </w:pPr>
            <w:r w:rsidRPr="00E308B0">
              <w:rPr>
                <w:rFonts w:ascii="Times New Roman" w:hAnsi="Times New Roman"/>
              </w:rPr>
              <w:t xml:space="preserve">While the emergence of </w:t>
            </w:r>
            <w:r>
              <w:rPr>
                <w:rFonts w:ascii="Times New Roman" w:hAnsi="Times New Roman"/>
              </w:rPr>
              <w:t xml:space="preserve">local </w:t>
            </w:r>
            <w:r w:rsidRPr="00E308B0">
              <w:rPr>
                <w:rFonts w:ascii="Times New Roman" w:hAnsi="Times New Roman"/>
              </w:rPr>
              <w:t xml:space="preserve">performance </w:t>
            </w:r>
            <w:r w:rsidRPr="009F0EF6">
              <w:rPr>
                <w:rFonts w:ascii="Times New Roman" w:hAnsi="Times New Roman"/>
              </w:rPr>
              <w:t xml:space="preserve">practices going back </w:t>
            </w:r>
            <w:r w:rsidRPr="00D5180E">
              <w:rPr>
                <w:rFonts w:ascii="Times New Roman" w:hAnsi="Times New Roman"/>
              </w:rPr>
              <w:t>hundreds of years cannot be neatly defined, Palestinian encounters with the European tradition date to</w:t>
            </w:r>
            <w:r w:rsidRPr="00E308B0">
              <w:rPr>
                <w:rFonts w:ascii="Times New Roman" w:hAnsi="Times New Roman"/>
              </w:rPr>
              <w:t xml:space="preserve"> the establishment of European </w:t>
            </w:r>
            <w:r>
              <w:rPr>
                <w:rFonts w:ascii="Times New Roman" w:hAnsi="Times New Roman"/>
              </w:rPr>
              <w:t xml:space="preserve">colonial </w:t>
            </w:r>
            <w:r w:rsidRPr="00E308B0">
              <w:rPr>
                <w:rFonts w:ascii="Times New Roman" w:hAnsi="Times New Roman"/>
              </w:rPr>
              <w:t xml:space="preserve">missionary schools in Palestine in the </w:t>
            </w:r>
            <w:r>
              <w:rPr>
                <w:rFonts w:ascii="Times New Roman" w:hAnsi="Times New Roman"/>
              </w:rPr>
              <w:t>nineteenth</w:t>
            </w:r>
            <w:r w:rsidRPr="00E308B0">
              <w:rPr>
                <w:rFonts w:ascii="Times New Roman" w:hAnsi="Times New Roman"/>
              </w:rPr>
              <w:t xml:space="preserve"> century</w:t>
            </w:r>
            <w:r>
              <w:rPr>
                <w:rFonts w:ascii="Times New Roman" w:hAnsi="Times New Roman"/>
              </w:rPr>
              <w:t xml:space="preserve">. </w:t>
            </w:r>
            <w:r w:rsidRPr="00B44A96">
              <w:rPr>
                <w:rFonts w:ascii="Times New Roman" w:hAnsi="Times New Roman"/>
              </w:rPr>
              <w:t xml:space="preserve">These schools promoted the </w:t>
            </w:r>
            <w:r w:rsidRPr="00B44A96">
              <w:rPr>
                <w:rFonts w:ascii="Times New Roman" w:hAnsi="Times New Roman"/>
              </w:rPr>
              <w:lastRenderedPageBreak/>
              <w:t>westernization of education and culture in Palestine, which included the study of theatre as a literary and performance genre. Nationalist schoolteachers</w:t>
            </w:r>
            <w:r>
              <w:rPr>
                <w:rFonts w:ascii="Times New Roman" w:hAnsi="Times New Roman"/>
              </w:rPr>
              <w:t xml:space="preserve"> introduced their students to contemporary Arabic plays as a way to counter Eurocentric pedagogies.</w:t>
            </w:r>
          </w:p>
          <w:p w:rsidR="0036407E" w:rsidRDefault="0036407E" w:rsidP="0036407E">
            <w:pPr>
              <w:spacing w:after="0"/>
              <w:rPr>
                <w:rFonts w:ascii="Times New Roman" w:hAnsi="Times New Roman"/>
              </w:rPr>
            </w:pPr>
          </w:p>
          <w:p w:rsidR="0036407E" w:rsidRDefault="0036407E" w:rsidP="0036407E">
            <w:pPr>
              <w:spacing w:after="0"/>
              <w:rPr>
                <w:rFonts w:ascii="Times New Roman" w:hAnsi="Times New Roman"/>
              </w:rPr>
            </w:pPr>
            <w:r>
              <w:rPr>
                <w:rFonts w:ascii="Times New Roman" w:hAnsi="Times New Roman"/>
              </w:rPr>
              <w:t xml:space="preserve">In the early twentieth century, visiting Arab theatre </w:t>
            </w:r>
            <w:r w:rsidRPr="00D465BB">
              <w:rPr>
                <w:rFonts w:ascii="Times New Roman" w:hAnsi="Times New Roman"/>
              </w:rPr>
              <w:t>troupes from Egypt, Lebanon, and Syria began to perform in Palestinian cities, local Palestin</w:t>
            </w:r>
            <w:r>
              <w:rPr>
                <w:rFonts w:ascii="Times New Roman" w:hAnsi="Times New Roman"/>
              </w:rPr>
              <w:t xml:space="preserve">ian </w:t>
            </w:r>
            <w:r w:rsidRPr="00493FC1">
              <w:rPr>
                <w:rFonts w:ascii="Times New Roman" w:hAnsi="Times New Roman"/>
              </w:rPr>
              <w:t>drama clubs and troupes</w:t>
            </w:r>
            <w:r>
              <w:rPr>
                <w:rFonts w:ascii="Times New Roman" w:hAnsi="Times New Roman"/>
              </w:rPr>
              <w:t xml:space="preserve"> </w:t>
            </w:r>
            <w:r w:rsidRPr="007E0FE2">
              <w:rPr>
                <w:rFonts w:ascii="Times New Roman" w:hAnsi="Times New Roman"/>
              </w:rPr>
              <w:t>started to form, plays were being written, the local radio broadcast plays, and local newspapers documented theatre activities.</w:t>
            </w:r>
            <w:r>
              <w:rPr>
                <w:rFonts w:ascii="Times New Roman" w:hAnsi="Times New Roman"/>
              </w:rPr>
              <w:t xml:space="preserve"> </w:t>
            </w:r>
            <w:proofErr w:type="spellStart"/>
            <w:r>
              <w:rPr>
                <w:rFonts w:ascii="Times New Roman" w:hAnsi="Times New Roman"/>
              </w:rPr>
              <w:t>Nasri</w:t>
            </w:r>
            <w:proofErr w:type="spellEnd"/>
            <w:r>
              <w:rPr>
                <w:rFonts w:ascii="Times New Roman" w:hAnsi="Times New Roman"/>
              </w:rPr>
              <w:t xml:space="preserve"> al-</w:t>
            </w:r>
            <w:proofErr w:type="spellStart"/>
            <w:r>
              <w:rPr>
                <w:rFonts w:ascii="Times New Roman" w:hAnsi="Times New Roman"/>
              </w:rPr>
              <w:t>Jawzi</w:t>
            </w:r>
            <w:proofErr w:type="spellEnd"/>
            <w:r>
              <w:rPr>
                <w:rFonts w:ascii="Times New Roman" w:hAnsi="Times New Roman"/>
              </w:rPr>
              <w:t xml:space="preserve"> is known for helping to pioneer the production and performance of original Arabic plays. His 1935 play </w:t>
            </w:r>
            <w:proofErr w:type="spellStart"/>
            <w:r w:rsidRPr="00405BC2">
              <w:rPr>
                <w:rFonts w:ascii="Times New Roman" w:hAnsi="Times New Roman"/>
                <w:i/>
              </w:rPr>
              <w:t>Ashbah</w:t>
            </w:r>
            <w:proofErr w:type="spellEnd"/>
            <w:r w:rsidRPr="00405BC2">
              <w:rPr>
                <w:rFonts w:ascii="Times New Roman" w:hAnsi="Times New Roman"/>
                <w:i/>
              </w:rPr>
              <w:t xml:space="preserve"> al-</w:t>
            </w:r>
            <w:proofErr w:type="spellStart"/>
            <w:r w:rsidRPr="00405BC2">
              <w:rPr>
                <w:rFonts w:ascii="Times New Roman" w:hAnsi="Times New Roman"/>
                <w:i/>
              </w:rPr>
              <w:t>Ahrar</w:t>
            </w:r>
            <w:proofErr w:type="spellEnd"/>
            <w:r>
              <w:rPr>
                <w:rFonts w:ascii="Times New Roman" w:hAnsi="Times New Roman"/>
              </w:rPr>
              <w:t xml:space="preserve"> (Ghosts of the Free), which publicly condemned </w:t>
            </w:r>
            <w:r w:rsidRPr="00D465BB">
              <w:rPr>
                <w:rFonts w:ascii="Times New Roman" w:hAnsi="Times New Roman"/>
              </w:rPr>
              <w:t xml:space="preserve">the selling of Palestinian lands to </w:t>
            </w:r>
            <w:r>
              <w:rPr>
                <w:rFonts w:ascii="Times New Roman" w:hAnsi="Times New Roman"/>
              </w:rPr>
              <w:t>Zionists</w:t>
            </w:r>
            <w:r w:rsidRPr="00D465BB">
              <w:rPr>
                <w:rFonts w:ascii="Times New Roman" w:hAnsi="Times New Roman"/>
              </w:rPr>
              <w:t xml:space="preserve"> settlers, was banned by the British Mandate authorities for its anti-colonial stance. Over time, the theatre became associated with modernity</w:t>
            </w:r>
            <w:r w:rsidRPr="007E0FE2">
              <w:rPr>
                <w:rFonts w:ascii="Times New Roman" w:hAnsi="Times New Roman"/>
              </w:rPr>
              <w:t xml:space="preserve"> and encounters with the West, while indigenous performance practices became valued as part of local Palestinian-Arab heritage.</w:t>
            </w:r>
          </w:p>
          <w:p w:rsidR="0036407E" w:rsidRPr="007E0FE2" w:rsidRDefault="0036407E" w:rsidP="0036407E">
            <w:pPr>
              <w:spacing w:after="0"/>
              <w:rPr>
                <w:rFonts w:ascii="Times New Roman" w:hAnsi="Times New Roman"/>
              </w:rPr>
            </w:pPr>
          </w:p>
          <w:p w:rsidR="00E82585" w:rsidRDefault="0036407E" w:rsidP="0036407E">
            <w:pPr>
              <w:spacing w:after="0"/>
              <w:rPr>
                <w:rFonts w:ascii="Times New Roman" w:hAnsi="Times New Roman"/>
              </w:rPr>
            </w:pPr>
            <w:r w:rsidRPr="007E0FE2">
              <w:rPr>
                <w:rFonts w:ascii="Times New Roman" w:hAnsi="Times New Roman"/>
              </w:rPr>
              <w:t xml:space="preserve">The </w:t>
            </w:r>
            <w:r w:rsidRPr="00464847">
              <w:rPr>
                <w:rFonts w:ascii="Times New Roman" w:hAnsi="Times New Roman"/>
              </w:rPr>
              <w:t>establishment of the Israeli state in 1948 on the lands of Palestine</w:t>
            </w:r>
            <w:r>
              <w:rPr>
                <w:rFonts w:ascii="Times New Roman" w:hAnsi="Times New Roman"/>
              </w:rPr>
              <w:t xml:space="preserve"> (known in Arabic as </w:t>
            </w:r>
            <w:r w:rsidRPr="00D632CA">
              <w:rPr>
                <w:rFonts w:ascii="Times New Roman" w:hAnsi="Times New Roman"/>
                <w:i/>
              </w:rPr>
              <w:t>Al-Nakba</w:t>
            </w:r>
            <w:r>
              <w:rPr>
                <w:rFonts w:ascii="Times New Roman" w:hAnsi="Times New Roman"/>
              </w:rPr>
              <w:t>)</w:t>
            </w:r>
            <w:r w:rsidRPr="00464847">
              <w:rPr>
                <w:rFonts w:ascii="Times New Roman" w:hAnsi="Times New Roman"/>
              </w:rPr>
              <w:t xml:space="preserve"> displaced and fragmented Palestine and its people, subjecting them to colonial rule and military occupation</w:t>
            </w:r>
            <w:r w:rsidRPr="007225EA">
              <w:rPr>
                <w:rFonts w:ascii="Times New Roman" w:hAnsi="Times New Roman"/>
              </w:rPr>
              <w:t>. As the majority of Palestinians were turned into stateless refugees, theatre as a forum for self-representation took on both aesthetic and political connotations. The practice of</w:t>
            </w:r>
            <w:r w:rsidRPr="00464847">
              <w:rPr>
                <w:rFonts w:ascii="Times New Roman" w:hAnsi="Times New Roman"/>
              </w:rPr>
              <w:t xml:space="preserve"> theatre, like</w:t>
            </w:r>
            <w:r>
              <w:rPr>
                <w:rFonts w:ascii="Times New Roman" w:hAnsi="Times New Roman"/>
              </w:rPr>
              <w:t xml:space="preserve"> song and literature, has been used as a platform </w:t>
            </w:r>
            <w:r w:rsidRPr="00E9089C">
              <w:rPr>
                <w:rFonts w:ascii="Times New Roman" w:hAnsi="Times New Roman"/>
              </w:rPr>
              <w:t>to narrate political-historical moments</w:t>
            </w:r>
            <w:r w:rsidRPr="00575F02">
              <w:rPr>
                <w:rFonts w:ascii="Times New Roman" w:hAnsi="Times New Roman"/>
              </w:rPr>
              <w:t xml:space="preserve">, personal experiences, and social issues that </w:t>
            </w:r>
            <w:r w:rsidRPr="000225AE">
              <w:rPr>
                <w:rFonts w:ascii="Times New Roman" w:hAnsi="Times New Roman"/>
              </w:rPr>
              <w:t>characterize Palestinian society’s past and present.</w:t>
            </w:r>
            <w:r>
              <w:rPr>
                <w:rFonts w:ascii="Times New Roman" w:hAnsi="Times New Roman"/>
              </w:rPr>
              <w:t xml:space="preserve"> Emile </w:t>
            </w:r>
            <w:proofErr w:type="spellStart"/>
            <w:r>
              <w:rPr>
                <w:rFonts w:ascii="Times New Roman" w:hAnsi="Times New Roman"/>
              </w:rPr>
              <w:t>Habibi’s</w:t>
            </w:r>
            <w:proofErr w:type="spellEnd"/>
            <w:r>
              <w:rPr>
                <w:rFonts w:ascii="Times New Roman" w:hAnsi="Times New Roman"/>
              </w:rPr>
              <w:t xml:space="preserve"> </w:t>
            </w:r>
            <w:r w:rsidRPr="00175C0E">
              <w:rPr>
                <w:rFonts w:ascii="Times New Roman" w:hAnsi="Times New Roman"/>
              </w:rPr>
              <w:t>highly intertextual monodrama</w:t>
            </w:r>
            <w:r w:rsidRPr="00F717EE">
              <w:rPr>
                <w:rFonts w:ascii="Times New Roman" w:hAnsi="Times New Roman"/>
                <w:rtl/>
              </w:rPr>
              <w:t>"ام الروبابيكيا"</w:t>
            </w:r>
            <w:r w:rsidRPr="00175C0E">
              <w:rPr>
                <w:rFonts w:ascii="Times New Roman" w:hAnsi="Times New Roman"/>
              </w:rPr>
              <w:t xml:space="preserve"> [Umm al-</w:t>
            </w:r>
            <w:proofErr w:type="spellStart"/>
            <w:r w:rsidRPr="00175C0E">
              <w:rPr>
                <w:rFonts w:ascii="Times New Roman" w:hAnsi="Times New Roman"/>
              </w:rPr>
              <w:t>Rubabikiya</w:t>
            </w:r>
            <w:proofErr w:type="spellEnd"/>
            <w:r w:rsidRPr="00175C0E">
              <w:rPr>
                <w:rFonts w:ascii="Times New Roman" w:hAnsi="Times New Roman"/>
              </w:rPr>
              <w:t>, The Mother of Second-Hand Things], which opened in Acre in 1992</w:t>
            </w:r>
            <w:r>
              <w:rPr>
                <w:rFonts w:ascii="Times New Roman" w:hAnsi="Times New Roman"/>
              </w:rPr>
              <w:t xml:space="preserve">, is an example of a play that juxtaposes historical junctures in Palestinian history (1948 and 1967). </w:t>
            </w:r>
            <w:r w:rsidRPr="00175C0E">
              <w:rPr>
                <w:rFonts w:ascii="Times New Roman" w:hAnsi="Times New Roman"/>
              </w:rPr>
              <w:t xml:space="preserve">Set in Haifa following the 1967 Arab defeat, the female narrator </w:t>
            </w:r>
            <w:r>
              <w:rPr>
                <w:rFonts w:ascii="Times New Roman" w:hAnsi="Times New Roman"/>
              </w:rPr>
              <w:t>holds onto</w:t>
            </w:r>
            <w:r w:rsidRPr="00175C0E">
              <w:rPr>
                <w:rFonts w:ascii="Times New Roman" w:hAnsi="Times New Roman"/>
              </w:rPr>
              <w:t xml:space="preserve"> the stories of those Palestinians who fled the Zionist forces in 1948 </w:t>
            </w:r>
            <w:r>
              <w:rPr>
                <w:rFonts w:ascii="Times New Roman" w:hAnsi="Times New Roman"/>
              </w:rPr>
              <w:t>by collecting</w:t>
            </w:r>
            <w:r w:rsidRPr="00175C0E">
              <w:rPr>
                <w:rFonts w:ascii="Times New Roman" w:hAnsi="Times New Roman"/>
              </w:rPr>
              <w:t xml:space="preserve"> the eve</w:t>
            </w:r>
            <w:r w:rsidR="00E82585">
              <w:rPr>
                <w:rFonts w:ascii="Times New Roman" w:hAnsi="Times New Roman"/>
              </w:rPr>
              <w:t>ryday objects they left behind.</w:t>
            </w:r>
          </w:p>
          <w:p w:rsidR="00E82585" w:rsidRDefault="00E82585" w:rsidP="0036407E">
            <w:pPr>
              <w:spacing w:after="0"/>
              <w:rPr>
                <w:rFonts w:ascii="Times New Roman" w:hAnsi="Times New Roman"/>
              </w:rPr>
            </w:pPr>
          </w:p>
          <w:p w:rsidR="00A423A7" w:rsidRDefault="00E82585" w:rsidP="00A423A7">
            <w:pPr>
              <w:keepNext/>
              <w:spacing w:after="0"/>
            </w:pPr>
            <w:r>
              <w:rPr>
                <w:rFonts w:ascii="Times New Roman" w:hAnsi="Times New Roman"/>
              </w:rPr>
              <w:t>File:</w:t>
            </w:r>
            <w:r w:rsidR="00A423A7">
              <w:rPr>
                <w:rFonts w:ascii="Times New Roman" w:hAnsi="Times New Roman"/>
              </w:rPr>
              <w:t xml:space="preserve"> Bushra.jpg</w:t>
            </w:r>
          </w:p>
          <w:p w:rsidR="00E82585" w:rsidRDefault="00A423A7" w:rsidP="008F33EE">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sidR="00466A8A">
              <w:rPr>
                <w:noProof/>
              </w:rPr>
              <w:t>3</w:t>
            </w:r>
            <w:r>
              <w:fldChar w:fldCharType="end"/>
            </w:r>
            <w:r>
              <w:t xml:space="preserve">. </w:t>
            </w:r>
            <w:r w:rsidRPr="003011E0">
              <w:t xml:space="preserve">Actress </w:t>
            </w:r>
            <w:proofErr w:type="spellStart"/>
            <w:r w:rsidRPr="003011E0">
              <w:t>Bushra</w:t>
            </w:r>
            <w:proofErr w:type="spellEnd"/>
            <w:r w:rsidRPr="003011E0">
              <w:t xml:space="preserve"> Kamran in Emile </w:t>
            </w:r>
            <w:proofErr w:type="spellStart"/>
            <w:r w:rsidRPr="003011E0">
              <w:t>Habibi’s</w:t>
            </w:r>
            <w:proofErr w:type="spellEnd"/>
            <w:r w:rsidRPr="003011E0">
              <w:t xml:space="preserve"> highly intertextual monodrama</w:t>
            </w:r>
            <w:r>
              <w:t xml:space="preserve"> </w:t>
            </w:r>
            <w:r w:rsidRPr="003011E0">
              <w:t>"</w:t>
            </w:r>
            <w:proofErr w:type="spellStart"/>
            <w:r w:rsidRPr="003011E0">
              <w:rPr>
                <w:rFonts w:ascii="Arial" w:hAnsi="Arial" w:cs="Arial"/>
              </w:rPr>
              <w:t>ام</w:t>
            </w:r>
            <w:proofErr w:type="spellEnd"/>
            <w:r w:rsidRPr="003011E0">
              <w:t xml:space="preserve"> </w:t>
            </w:r>
            <w:proofErr w:type="spellStart"/>
            <w:r w:rsidRPr="003011E0">
              <w:rPr>
                <w:rFonts w:ascii="Arial" w:hAnsi="Arial" w:cs="Arial"/>
              </w:rPr>
              <w:t>الروبابيكيا</w:t>
            </w:r>
            <w:proofErr w:type="spellEnd"/>
            <w:r w:rsidRPr="003011E0">
              <w:t>" [Umm al-</w:t>
            </w:r>
            <w:proofErr w:type="spellStart"/>
            <w:r w:rsidRPr="003011E0">
              <w:t>Rubabikiya</w:t>
            </w:r>
            <w:proofErr w:type="spellEnd"/>
            <w:r w:rsidRPr="003011E0">
              <w:t>, The Mother of Second-Hand Things], which opened in Acre in 1992.</w:t>
            </w:r>
          </w:p>
          <w:p w:rsidR="00E82585" w:rsidRPr="009B7B02" w:rsidRDefault="00E82585" w:rsidP="0036407E">
            <w:pPr>
              <w:spacing w:after="0"/>
              <w:rPr>
                <w:rFonts w:ascii="Times New Roman" w:hAnsi="Times New Roman"/>
              </w:rPr>
            </w:pPr>
            <w:r>
              <w:rPr>
                <w:rFonts w:ascii="Times New Roman" w:hAnsi="Times New Roman"/>
              </w:rPr>
              <w:t>Source: provided by the author</w:t>
            </w:r>
          </w:p>
          <w:p w:rsidR="0036407E" w:rsidRDefault="0036407E" w:rsidP="0036407E">
            <w:pPr>
              <w:spacing w:after="0"/>
              <w:rPr>
                <w:rFonts w:ascii="Times New Roman" w:hAnsi="Times New Roman"/>
              </w:rPr>
            </w:pPr>
          </w:p>
          <w:p w:rsidR="0036407E" w:rsidRDefault="0036407E" w:rsidP="0036407E">
            <w:pPr>
              <w:spacing w:after="0"/>
              <w:rPr>
                <w:rFonts w:ascii="Times New Roman" w:hAnsi="Times New Roman"/>
              </w:rPr>
            </w:pPr>
            <w:r>
              <w:rPr>
                <w:rFonts w:ascii="Times New Roman" w:hAnsi="Times New Roman"/>
              </w:rPr>
              <w:t xml:space="preserve">Major issues addressed in the theatre include the </w:t>
            </w:r>
            <w:r w:rsidRPr="008A0870">
              <w:rPr>
                <w:rFonts w:ascii="Times New Roman" w:hAnsi="Times New Roman"/>
              </w:rPr>
              <w:t>rupture caused by the Nakba</w:t>
            </w:r>
            <w:r>
              <w:rPr>
                <w:rFonts w:ascii="Times New Roman" w:hAnsi="Times New Roman"/>
              </w:rPr>
              <w:t xml:space="preserve"> and </w:t>
            </w:r>
            <w:r w:rsidRPr="00E9089C">
              <w:rPr>
                <w:rFonts w:ascii="Times New Roman" w:hAnsi="Times New Roman"/>
              </w:rPr>
              <w:t>its ongoing legacy</w:t>
            </w:r>
            <w:r>
              <w:rPr>
                <w:rFonts w:ascii="Times New Roman" w:hAnsi="Times New Roman"/>
              </w:rPr>
              <w:t xml:space="preserve">, the blurring of </w:t>
            </w:r>
            <w:r w:rsidRPr="000A6E07">
              <w:rPr>
                <w:rFonts w:ascii="Times New Roman" w:hAnsi="Times New Roman"/>
              </w:rPr>
              <w:t>the personal and the political</w:t>
            </w:r>
            <w:r>
              <w:rPr>
                <w:rFonts w:ascii="Times New Roman" w:hAnsi="Times New Roman"/>
              </w:rPr>
              <w:t xml:space="preserve">, </w:t>
            </w:r>
            <w:r w:rsidRPr="00B169F1">
              <w:rPr>
                <w:rFonts w:ascii="Times New Roman" w:hAnsi="Times New Roman"/>
              </w:rPr>
              <w:t>and questions of identity.</w:t>
            </w:r>
            <w:r>
              <w:rPr>
                <w:rFonts w:ascii="Times New Roman" w:hAnsi="Times New Roman"/>
              </w:rPr>
              <w:t xml:space="preserve"> </w:t>
            </w:r>
          </w:p>
          <w:p w:rsidR="0036407E" w:rsidRDefault="0036407E" w:rsidP="0036407E">
            <w:pPr>
              <w:spacing w:after="0"/>
              <w:rPr>
                <w:rFonts w:ascii="Times New Roman" w:hAnsi="Times New Roman"/>
              </w:rPr>
            </w:pPr>
            <w:r w:rsidRPr="00294329">
              <w:rPr>
                <w:rFonts w:ascii="Times New Roman" w:hAnsi="Times New Roman"/>
                <w:rtl/>
              </w:rPr>
              <w:t>"جليلي يا علي"</w:t>
            </w:r>
            <w:r w:rsidRPr="00175C0E">
              <w:rPr>
                <w:rFonts w:ascii="Times New Roman" w:hAnsi="Times New Roman"/>
              </w:rPr>
              <w:t xml:space="preserve"> </w:t>
            </w:r>
            <w:r w:rsidRPr="00E9089C">
              <w:rPr>
                <w:rFonts w:ascii="Times New Roman" w:hAnsi="Times New Roman"/>
              </w:rPr>
              <w:t xml:space="preserve">[Ali the Galilean], </w:t>
            </w:r>
            <w:r>
              <w:rPr>
                <w:rFonts w:ascii="Times New Roman" w:hAnsi="Times New Roman"/>
              </w:rPr>
              <w:t xml:space="preserve">for example, is </w:t>
            </w:r>
            <w:r w:rsidRPr="00E9089C">
              <w:rPr>
                <w:rFonts w:ascii="Times New Roman" w:hAnsi="Times New Roman"/>
              </w:rPr>
              <w:t xml:space="preserve">an El </w:t>
            </w:r>
            <w:proofErr w:type="spellStart"/>
            <w:r w:rsidRPr="00E9089C">
              <w:rPr>
                <w:rFonts w:ascii="Times New Roman" w:hAnsi="Times New Roman"/>
              </w:rPr>
              <w:t>Hakawati</w:t>
            </w:r>
            <w:proofErr w:type="spellEnd"/>
            <w:r w:rsidRPr="00E9089C">
              <w:rPr>
                <w:rFonts w:ascii="Times New Roman" w:hAnsi="Times New Roman"/>
              </w:rPr>
              <w:t xml:space="preserve"> production </w:t>
            </w:r>
            <w:r>
              <w:rPr>
                <w:rFonts w:ascii="Times New Roman" w:hAnsi="Times New Roman"/>
              </w:rPr>
              <w:t>of the early 1980s that satirically puts forth the question of what makes a ‘Palestinian-Israeli.’ The play traces the life of ‘Ali as he leaves his village in the Galilee to go to Tel Aviv,</w:t>
            </w:r>
            <w:r w:rsidRPr="00E9089C">
              <w:rPr>
                <w:rFonts w:ascii="Times New Roman" w:hAnsi="Times New Roman"/>
              </w:rPr>
              <w:t xml:space="preserve"> meets an Israeli who convinces him t</w:t>
            </w:r>
            <w:r>
              <w:rPr>
                <w:rFonts w:ascii="Times New Roman" w:hAnsi="Times New Roman"/>
              </w:rPr>
              <w:t>o go by the Hebrew name of Eli, confesses</w:t>
            </w:r>
            <w:r w:rsidRPr="00E9089C">
              <w:rPr>
                <w:rFonts w:ascii="Times New Roman" w:hAnsi="Times New Roman"/>
              </w:rPr>
              <w:t xml:space="preserve"> to his Jewish-Israel</w:t>
            </w:r>
            <w:r>
              <w:rPr>
                <w:rFonts w:ascii="Times New Roman" w:hAnsi="Times New Roman"/>
              </w:rPr>
              <w:t>i girlfriend that he is an Arab,</w:t>
            </w:r>
            <w:r w:rsidRPr="00E9089C">
              <w:rPr>
                <w:rFonts w:ascii="Times New Roman" w:hAnsi="Times New Roman"/>
              </w:rPr>
              <w:t xml:space="preserve"> and </w:t>
            </w:r>
            <w:r>
              <w:rPr>
                <w:rFonts w:ascii="Times New Roman" w:hAnsi="Times New Roman"/>
              </w:rPr>
              <w:t xml:space="preserve">is eventually </w:t>
            </w:r>
            <w:r w:rsidRPr="00E9089C">
              <w:rPr>
                <w:rFonts w:ascii="Times New Roman" w:hAnsi="Times New Roman"/>
              </w:rPr>
              <w:t xml:space="preserve">tortured and killed by the Israeli </w:t>
            </w:r>
            <w:bookmarkStart w:id="0" w:name="_GoBack"/>
            <w:bookmarkEnd w:id="0"/>
            <w:r w:rsidRPr="00E9089C">
              <w:rPr>
                <w:rFonts w:ascii="Times New Roman" w:hAnsi="Times New Roman"/>
              </w:rPr>
              <w:t>secret service</w:t>
            </w:r>
            <w:r>
              <w:rPr>
                <w:rFonts w:ascii="Times New Roman" w:hAnsi="Times New Roman"/>
              </w:rPr>
              <w:t>. The episodes—depicted in highly exaggerated aesthetic styles (i.e. melodrama, American Western, psychodrama, modern dance)—are performed in hono</w:t>
            </w:r>
            <w:r w:rsidR="00D66A12">
              <w:rPr>
                <w:rFonts w:ascii="Times New Roman" w:hAnsi="Times New Roman"/>
              </w:rPr>
              <w:t>u</w:t>
            </w:r>
            <w:r>
              <w:rPr>
                <w:rFonts w:ascii="Times New Roman" w:hAnsi="Times New Roman"/>
              </w:rPr>
              <w:t xml:space="preserve">r of ‘Ali who sits in the audience, clearly dissatisfied how his life (and those of the Palestinians) has been turned into a spectacle to be consumed by Palestinians and Israelis alike. </w:t>
            </w:r>
          </w:p>
          <w:p w:rsidR="0036407E" w:rsidRDefault="0036407E" w:rsidP="0036407E">
            <w:pPr>
              <w:spacing w:after="0"/>
              <w:rPr>
                <w:rFonts w:ascii="Times New Roman" w:hAnsi="Times New Roman"/>
              </w:rPr>
            </w:pPr>
          </w:p>
          <w:p w:rsidR="00B174FD" w:rsidRDefault="00F24B1C" w:rsidP="00B174FD">
            <w:pPr>
              <w:keepNext/>
              <w:spacing w:after="0"/>
            </w:pPr>
            <w:r>
              <w:rPr>
                <w:rFonts w:ascii="Times New Roman" w:hAnsi="Times New Roman"/>
              </w:rPr>
              <w:t>Link</w:t>
            </w:r>
            <w:r w:rsidR="00F717EE">
              <w:rPr>
                <w:rFonts w:ascii="Times New Roman" w:hAnsi="Times New Roman"/>
              </w:rPr>
              <w:t>:</w:t>
            </w:r>
            <w:r>
              <w:rPr>
                <w:rFonts w:ascii="Times New Roman" w:hAnsi="Times New Roman"/>
              </w:rPr>
              <w:t xml:space="preserve"> “I Am Yusuf And This Is My Brother”</w:t>
            </w:r>
            <w:r w:rsidR="00F717EE">
              <w:rPr>
                <w:rFonts w:ascii="Times New Roman" w:hAnsi="Times New Roman"/>
              </w:rPr>
              <w:t xml:space="preserve"> </w:t>
            </w:r>
            <w:r>
              <w:rPr>
                <w:rFonts w:ascii="Times New Roman" w:hAnsi="Times New Roman"/>
              </w:rPr>
              <w:t>(0:00 to 1:34)</w:t>
            </w:r>
          </w:p>
          <w:p w:rsidR="00F717EE" w:rsidRDefault="00B174FD" w:rsidP="00A81315">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sidR="00466A8A">
              <w:rPr>
                <w:noProof/>
              </w:rPr>
              <w:t>4</w:t>
            </w:r>
            <w:r>
              <w:fldChar w:fldCharType="end"/>
            </w:r>
            <w:r>
              <w:t xml:space="preserve">. </w:t>
            </w:r>
            <w:r w:rsidRPr="00F16CD0">
              <w:t xml:space="preserve">Trailer for theatre troupe </w:t>
            </w:r>
            <w:proofErr w:type="spellStart"/>
            <w:r w:rsidRPr="00F16CD0">
              <w:t>ShiberHur’s</w:t>
            </w:r>
            <w:proofErr w:type="spellEnd"/>
            <w:r w:rsidRPr="00F16CD0">
              <w:t xml:space="preserve"> </w:t>
            </w:r>
            <w:proofErr w:type="spellStart"/>
            <w:r w:rsidRPr="00F16CD0">
              <w:t>play"</w:t>
            </w:r>
            <w:r w:rsidRPr="00F16CD0">
              <w:rPr>
                <w:rFonts w:ascii="Arial" w:hAnsi="Arial" w:cs="Arial"/>
              </w:rPr>
              <w:t>اذ</w:t>
            </w:r>
            <w:proofErr w:type="spellEnd"/>
            <w:r w:rsidRPr="00F16CD0">
              <w:t xml:space="preserve"> </w:t>
            </w:r>
            <w:proofErr w:type="spellStart"/>
            <w:r w:rsidRPr="00F16CD0">
              <w:rPr>
                <w:rFonts w:ascii="Arial" w:hAnsi="Arial" w:cs="Arial"/>
              </w:rPr>
              <w:t>قال</w:t>
            </w:r>
            <w:proofErr w:type="spellEnd"/>
            <w:r w:rsidRPr="00F16CD0">
              <w:t xml:space="preserve"> </w:t>
            </w:r>
            <w:proofErr w:type="spellStart"/>
            <w:r w:rsidRPr="00F16CD0">
              <w:rPr>
                <w:rFonts w:ascii="Arial" w:hAnsi="Arial" w:cs="Arial"/>
              </w:rPr>
              <w:t>يوسف</w:t>
            </w:r>
            <w:proofErr w:type="spellEnd"/>
            <w:proofErr w:type="gramStart"/>
            <w:r w:rsidRPr="00F16CD0">
              <w:t>"  [</w:t>
            </w:r>
            <w:proofErr w:type="gramEnd"/>
            <w:r w:rsidRPr="00F16CD0">
              <w:t xml:space="preserve">English title: I Am Yusuf and This is My Brother], produced in 2010 and directed by Amir Nizar </w:t>
            </w:r>
            <w:proofErr w:type="spellStart"/>
            <w:r w:rsidRPr="00F16CD0">
              <w:t>Zuabi</w:t>
            </w:r>
            <w:proofErr w:type="spellEnd"/>
            <w:r w:rsidRPr="00F16CD0">
              <w:t>. The play narrates the story of a Palestinian village before, during, and after the 1948 Nak</w:t>
            </w:r>
            <w:r>
              <w:t>ba [the ‘catastrophe’ in Arabic, referring to the establishment of the Israeli state on Palestinian lands.</w:t>
            </w:r>
          </w:p>
          <w:p w:rsidR="00F717EE" w:rsidRDefault="00F717EE" w:rsidP="0036407E">
            <w:pPr>
              <w:spacing w:after="0"/>
              <w:rPr>
                <w:rFonts w:ascii="Times New Roman" w:hAnsi="Times New Roman"/>
              </w:rPr>
            </w:pPr>
            <w:r>
              <w:rPr>
                <w:rFonts w:ascii="Times New Roman" w:hAnsi="Times New Roman"/>
              </w:rPr>
              <w:t xml:space="preserve">Source: </w:t>
            </w:r>
            <w:hyperlink r:id="rId8" w:history="1">
              <w:r w:rsidR="00F24B1C" w:rsidRPr="00175C0E">
                <w:rPr>
                  <w:rStyle w:val="Hyperlink"/>
                  <w:rFonts w:ascii="Times New Roman" w:hAnsi="Times New Roman"/>
                </w:rPr>
                <w:t>http://www.youtube.com/watch?feature=player_embedded&amp;v=Netr9Nr3G9A</w:t>
              </w:r>
            </w:hyperlink>
          </w:p>
          <w:p w:rsidR="004B4A31" w:rsidRDefault="004B4A31" w:rsidP="0036407E">
            <w:pPr>
              <w:spacing w:after="0"/>
              <w:rPr>
                <w:rFonts w:ascii="Times New Roman" w:hAnsi="Times New Roman"/>
              </w:rPr>
            </w:pPr>
          </w:p>
          <w:p w:rsidR="005F2939" w:rsidRDefault="004B4A31" w:rsidP="005F2939">
            <w:pPr>
              <w:keepNext/>
              <w:spacing w:after="0"/>
            </w:pPr>
            <w:r>
              <w:rPr>
                <w:rFonts w:ascii="Times New Roman" w:hAnsi="Times New Roman"/>
              </w:rPr>
              <w:lastRenderedPageBreak/>
              <w:t xml:space="preserve">File: </w:t>
            </w:r>
            <w:r w:rsidR="005F2939">
              <w:rPr>
                <w:rFonts w:ascii="Times New Roman" w:hAnsi="Times New Roman"/>
              </w:rPr>
              <w:t>Ali.jpg</w:t>
            </w:r>
          </w:p>
          <w:p w:rsidR="004B4A31" w:rsidRDefault="005F2939" w:rsidP="00A63A98">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sidR="00466A8A">
              <w:rPr>
                <w:noProof/>
              </w:rPr>
              <w:t>5</w:t>
            </w:r>
            <w:r>
              <w:fldChar w:fldCharType="end"/>
            </w:r>
            <w:r>
              <w:t xml:space="preserve">. The poster </w:t>
            </w:r>
            <w:proofErr w:type="gramStart"/>
            <w:r>
              <w:t>for  "</w:t>
            </w:r>
            <w:proofErr w:type="spellStart"/>
            <w:proofErr w:type="gramEnd"/>
            <w:r>
              <w:rPr>
                <w:rFonts w:ascii="Arial" w:hAnsi="Arial" w:cs="Arial"/>
              </w:rPr>
              <w:t>جليلي</w:t>
            </w:r>
            <w:proofErr w:type="spellEnd"/>
            <w:r>
              <w:t xml:space="preserve"> </w:t>
            </w:r>
            <w:proofErr w:type="spellStart"/>
            <w:r>
              <w:rPr>
                <w:rFonts w:ascii="Arial" w:hAnsi="Arial" w:cs="Arial"/>
              </w:rPr>
              <w:t>يا</w:t>
            </w:r>
            <w:proofErr w:type="spellEnd"/>
            <w:r>
              <w:t xml:space="preserve"> </w:t>
            </w:r>
            <w:proofErr w:type="spellStart"/>
            <w:r>
              <w:rPr>
                <w:rFonts w:ascii="Arial" w:hAnsi="Arial" w:cs="Arial"/>
              </w:rPr>
              <w:t>علي</w:t>
            </w:r>
            <w:proofErr w:type="spellEnd"/>
            <w:r>
              <w:t>" [</w:t>
            </w:r>
            <w:proofErr w:type="spellStart"/>
            <w:r>
              <w:t>Jalili</w:t>
            </w:r>
            <w:proofErr w:type="spellEnd"/>
            <w:r>
              <w:t xml:space="preserve"> </w:t>
            </w:r>
            <w:proofErr w:type="spellStart"/>
            <w:r>
              <w:t>ya</w:t>
            </w:r>
            <w:proofErr w:type="spellEnd"/>
            <w:r>
              <w:t xml:space="preserve"> ‘Ali, Ali the Galilean], a play of   </w:t>
            </w:r>
            <w:proofErr w:type="spellStart"/>
            <w:r>
              <w:rPr>
                <w:rFonts w:ascii="Arial" w:hAnsi="Arial" w:cs="Arial"/>
              </w:rPr>
              <w:t>مسراح</w:t>
            </w:r>
            <w:proofErr w:type="spellEnd"/>
            <w:r>
              <w:t xml:space="preserve"> </w:t>
            </w:r>
            <w:proofErr w:type="spellStart"/>
            <w:r>
              <w:rPr>
                <w:rFonts w:ascii="Arial" w:hAnsi="Arial" w:cs="Arial"/>
              </w:rPr>
              <w:t>الحكاواتي</w:t>
            </w:r>
            <w:proofErr w:type="spellEnd"/>
            <w:r>
              <w:t xml:space="preserve"> [</w:t>
            </w:r>
            <w:proofErr w:type="spellStart"/>
            <w:r>
              <w:t>Masrah</w:t>
            </w:r>
            <w:proofErr w:type="spellEnd"/>
            <w:r>
              <w:t xml:space="preserve"> al-</w:t>
            </w:r>
            <w:proofErr w:type="spellStart"/>
            <w:r>
              <w:t>Hakawati</w:t>
            </w:r>
            <w:proofErr w:type="spellEnd"/>
            <w:r>
              <w:t>, The Storyteller Theatre Troupe] in the early 1980s that satirically addresses the status of Palestinians living in Israel and the politics of representation.</w:t>
            </w:r>
          </w:p>
          <w:p w:rsidR="004B4A31" w:rsidRDefault="004B4A31" w:rsidP="0036407E">
            <w:pPr>
              <w:spacing w:after="0"/>
              <w:rPr>
                <w:rFonts w:ascii="Times New Roman" w:hAnsi="Times New Roman"/>
              </w:rPr>
            </w:pPr>
            <w:r>
              <w:rPr>
                <w:rFonts w:ascii="Times New Roman" w:hAnsi="Times New Roman"/>
              </w:rPr>
              <w:t xml:space="preserve">Source: </w:t>
            </w:r>
            <w:r w:rsidR="005F2939">
              <w:rPr>
                <w:rFonts w:ascii="Times New Roman" w:hAnsi="Times New Roman"/>
              </w:rPr>
              <w:t>provided by the author</w:t>
            </w:r>
          </w:p>
          <w:p w:rsidR="00F717EE" w:rsidRDefault="00F717EE" w:rsidP="0036407E">
            <w:pPr>
              <w:spacing w:after="0"/>
              <w:rPr>
                <w:rFonts w:ascii="Times New Roman" w:hAnsi="Times New Roman"/>
              </w:rPr>
            </w:pPr>
          </w:p>
          <w:p w:rsidR="0036407E" w:rsidRDefault="0036407E" w:rsidP="0036407E">
            <w:pPr>
              <w:spacing w:after="0"/>
              <w:rPr>
                <w:rFonts w:ascii="Times New Roman" w:hAnsi="Times New Roman"/>
              </w:rPr>
            </w:pPr>
            <w:r>
              <w:rPr>
                <w:rFonts w:ascii="Times New Roman" w:hAnsi="Times New Roman"/>
              </w:rPr>
              <w:t xml:space="preserve">Theatre texts, techniques, and performances often dialogue </w:t>
            </w:r>
            <w:r w:rsidRPr="007D2967">
              <w:rPr>
                <w:rFonts w:ascii="Times New Roman" w:hAnsi="Times New Roman"/>
              </w:rPr>
              <w:t xml:space="preserve">with Arab folklore and literary culture. Writer, critic, and political activist </w:t>
            </w:r>
            <w:proofErr w:type="spellStart"/>
            <w:r w:rsidRPr="007D2967">
              <w:rPr>
                <w:rFonts w:ascii="Times New Roman" w:hAnsi="Times New Roman"/>
              </w:rPr>
              <w:t>Ghassan</w:t>
            </w:r>
            <w:proofErr w:type="spellEnd"/>
            <w:r w:rsidRPr="007D2967">
              <w:rPr>
                <w:rFonts w:ascii="Times New Roman" w:hAnsi="Times New Roman"/>
              </w:rPr>
              <w:t xml:space="preserve"> </w:t>
            </w:r>
            <w:proofErr w:type="spellStart"/>
            <w:r w:rsidRPr="007D2967">
              <w:rPr>
                <w:rFonts w:ascii="Times New Roman" w:hAnsi="Times New Roman"/>
              </w:rPr>
              <w:t>Ka</w:t>
            </w:r>
            <w:r w:rsidRPr="000B5972">
              <w:rPr>
                <w:rFonts w:ascii="Times New Roman" w:hAnsi="Times New Roman"/>
              </w:rPr>
              <w:t>nafani’s</w:t>
            </w:r>
            <w:proofErr w:type="spellEnd"/>
            <w:r w:rsidRPr="000B5972">
              <w:rPr>
                <w:rFonts w:ascii="Times New Roman" w:hAnsi="Times New Roman"/>
              </w:rPr>
              <w:t xml:space="preserve"> works have been repeatedly adapted for the theatre, particularly his</w:t>
            </w:r>
            <w:r>
              <w:rPr>
                <w:rFonts w:ascii="Times New Roman" w:hAnsi="Times New Roman"/>
              </w:rPr>
              <w:t xml:space="preserve"> novella</w:t>
            </w:r>
            <w:r w:rsidRPr="000B5972">
              <w:rPr>
                <w:rFonts w:ascii="Times New Roman" w:hAnsi="Times New Roman"/>
              </w:rPr>
              <w:t xml:space="preserve"> </w:t>
            </w:r>
            <w:proofErr w:type="spellStart"/>
            <w:r w:rsidRPr="006339E5">
              <w:rPr>
                <w:rFonts w:ascii="Times New Roman" w:hAnsi="Times New Roman"/>
                <w:i/>
              </w:rPr>
              <w:t>Rijal</w:t>
            </w:r>
            <w:proofErr w:type="spellEnd"/>
            <w:r w:rsidRPr="006339E5">
              <w:rPr>
                <w:rFonts w:ascii="Times New Roman" w:hAnsi="Times New Roman"/>
                <w:i/>
              </w:rPr>
              <w:t xml:space="preserve"> fi-l Shams</w:t>
            </w:r>
            <w:r>
              <w:rPr>
                <w:rFonts w:ascii="Times New Roman" w:hAnsi="Times New Roman"/>
              </w:rPr>
              <w:t xml:space="preserve"> [Men in the Sun] that details the plight of three Palestinian refugees. Adaptations of foreign texts are also common practice as a way to resist the ghettoization of Palestinian cultural life and to identify with </w:t>
            </w:r>
            <w:r w:rsidRPr="006339E5">
              <w:rPr>
                <w:rFonts w:ascii="Times New Roman" w:hAnsi="Times New Roman"/>
              </w:rPr>
              <w:t>conditions of injustice throughout the world.</w:t>
            </w:r>
          </w:p>
          <w:p w:rsidR="0036407E" w:rsidRDefault="0036407E" w:rsidP="0036407E">
            <w:pPr>
              <w:spacing w:after="0"/>
              <w:rPr>
                <w:rFonts w:ascii="Times New Roman" w:hAnsi="Times New Roman"/>
              </w:rPr>
            </w:pPr>
          </w:p>
          <w:p w:rsidR="00637B3B" w:rsidRDefault="007357CD" w:rsidP="00637B3B">
            <w:pPr>
              <w:keepNext/>
              <w:spacing w:after="0"/>
            </w:pPr>
            <w:r>
              <w:rPr>
                <w:rFonts w:ascii="Times New Roman" w:hAnsi="Times New Roman"/>
              </w:rPr>
              <w:t xml:space="preserve">File: </w:t>
            </w:r>
            <w:r w:rsidR="00637B3B" w:rsidRPr="00175C0E">
              <w:rPr>
                <w:rFonts w:ascii="Times New Roman" w:hAnsi="Times New Roman"/>
                <w:highlight w:val="cyan"/>
              </w:rPr>
              <w:t xml:space="preserve">Picture of </w:t>
            </w:r>
            <w:proofErr w:type="spellStart"/>
            <w:r w:rsidR="00637B3B" w:rsidRPr="00175C0E">
              <w:rPr>
                <w:rFonts w:ascii="Times New Roman" w:hAnsi="Times New Roman"/>
                <w:highlight w:val="cyan"/>
              </w:rPr>
              <w:t>riad</w:t>
            </w:r>
            <w:proofErr w:type="spellEnd"/>
            <w:r w:rsidR="00637B3B" w:rsidRPr="00175C0E">
              <w:rPr>
                <w:rFonts w:ascii="Times New Roman" w:hAnsi="Times New Roman"/>
                <w:highlight w:val="cyan"/>
              </w:rPr>
              <w:t xml:space="preserve"> </w:t>
            </w:r>
            <w:proofErr w:type="spellStart"/>
            <w:r w:rsidR="00637B3B" w:rsidRPr="00175C0E">
              <w:rPr>
                <w:rFonts w:ascii="Times New Roman" w:hAnsi="Times New Roman"/>
                <w:highlight w:val="cyan"/>
              </w:rPr>
              <w:t>masarwe’s</w:t>
            </w:r>
            <w:proofErr w:type="spellEnd"/>
            <w:r w:rsidR="00637B3B" w:rsidRPr="00175C0E">
              <w:rPr>
                <w:rFonts w:ascii="Times New Roman" w:hAnsi="Times New Roman"/>
                <w:highlight w:val="cyan"/>
              </w:rPr>
              <w:t xml:space="preserve"> production</w:t>
            </w:r>
            <w:r w:rsidR="00637B3B">
              <w:rPr>
                <w:rFonts w:ascii="Times New Roman" w:hAnsi="Times New Roman"/>
                <w:highlight w:val="cyan"/>
              </w:rPr>
              <w:t xml:space="preserve"> to insert</w:t>
            </w:r>
            <w:r w:rsidR="00B625E8">
              <w:rPr>
                <w:rFonts w:ascii="Times New Roman" w:hAnsi="Times New Roman"/>
              </w:rPr>
              <w:t xml:space="preserve"> (this is the note</w:t>
            </w:r>
            <w:r w:rsidR="00B625E8">
              <w:rPr>
                <w:rFonts w:ascii="Times New Roman" w:hAnsi="Times New Roman"/>
              </w:rPr>
              <w:t xml:space="preserve"> by the author)</w:t>
            </w:r>
          </w:p>
          <w:p w:rsidR="007357CD" w:rsidRPr="00E00411" w:rsidRDefault="00637B3B" w:rsidP="00E00411">
            <w:pPr>
              <w:pStyle w:val="Caption"/>
              <w:spacing w:after="0"/>
            </w:pPr>
            <w:r>
              <w:t xml:space="preserve">Figure </w:t>
            </w:r>
            <w:r>
              <w:fldChar w:fldCharType="begin"/>
            </w:r>
            <w:r>
              <w:instrText xml:space="preserve"> SEQ Figure \* ARABIC </w:instrText>
            </w:r>
            <w:r>
              <w:fldChar w:fldCharType="separate"/>
            </w:r>
            <w:r w:rsidR="00466A8A">
              <w:rPr>
                <w:noProof/>
              </w:rPr>
              <w:t>6</w:t>
            </w:r>
            <w:r>
              <w:fldChar w:fldCharType="end"/>
            </w:r>
            <w:r>
              <w:t xml:space="preserve">. </w:t>
            </w:r>
            <w:proofErr w:type="spellStart"/>
            <w:r w:rsidRPr="009C504E">
              <w:t>Riad</w:t>
            </w:r>
            <w:proofErr w:type="spellEnd"/>
            <w:r w:rsidRPr="009C504E">
              <w:t xml:space="preserve"> </w:t>
            </w:r>
            <w:proofErr w:type="spellStart"/>
            <w:r w:rsidRPr="009C504E">
              <w:t>Masarwe’s</w:t>
            </w:r>
            <w:proofErr w:type="spellEnd"/>
            <w:r w:rsidRPr="009C504E">
              <w:t xml:space="preserve"> theatre production of </w:t>
            </w:r>
            <w:proofErr w:type="spellStart"/>
            <w:r w:rsidRPr="009C504E">
              <w:t>Ghassan</w:t>
            </w:r>
            <w:proofErr w:type="spellEnd"/>
            <w:r w:rsidRPr="009C504E">
              <w:t xml:space="preserve"> </w:t>
            </w:r>
            <w:proofErr w:type="spellStart"/>
            <w:r w:rsidRPr="009C504E">
              <w:t>Kanafani’s</w:t>
            </w:r>
            <w:proofErr w:type="spellEnd"/>
            <w:r w:rsidRPr="009C504E">
              <w:t xml:space="preserve"> novella </w:t>
            </w:r>
            <w:proofErr w:type="spellStart"/>
            <w:r w:rsidRPr="009C504E">
              <w:t>Rijal</w:t>
            </w:r>
            <w:proofErr w:type="spellEnd"/>
            <w:r w:rsidRPr="009C504E">
              <w:t xml:space="preserve"> fi al-Shams, first staged in Nazareth in 1977. The play was produced in the wake of </w:t>
            </w:r>
            <w:proofErr w:type="spellStart"/>
            <w:r w:rsidRPr="009C504E">
              <w:t>Kanafani’s</w:t>
            </w:r>
            <w:proofErr w:type="spellEnd"/>
            <w:r w:rsidRPr="009C504E">
              <w:t xml:space="preserve"> assassination by the Israeli Mossad in Beirut in 1972, and the events of Land Day in 19</w:t>
            </w:r>
            <w:r>
              <w:t>76. Land Day commemorates the general strike organized in the Galilee in protest of expanded Israeli land confiscation policies of Palestinian lands inside the Israeli state. Six Palestinians who hold Israeli citizenship were killed by Israeli forces and hundreds imprisoned.</w:t>
            </w:r>
          </w:p>
          <w:p w:rsidR="007357CD" w:rsidRDefault="007357CD" w:rsidP="0036407E">
            <w:pPr>
              <w:spacing w:after="0"/>
              <w:rPr>
                <w:rFonts w:ascii="Times New Roman" w:hAnsi="Times New Roman"/>
              </w:rPr>
            </w:pPr>
            <w:r>
              <w:rPr>
                <w:rFonts w:ascii="Times New Roman" w:hAnsi="Times New Roman"/>
              </w:rPr>
              <w:t>Source:</w:t>
            </w:r>
            <w:r w:rsidR="00637B3B">
              <w:rPr>
                <w:rFonts w:ascii="Times New Roman" w:hAnsi="Times New Roman"/>
              </w:rPr>
              <w:t xml:space="preserve"> </w:t>
            </w:r>
            <w:r w:rsidR="00DF7F31">
              <w:rPr>
                <w:rFonts w:ascii="Times New Roman" w:hAnsi="Times New Roman"/>
              </w:rPr>
              <w:t>(I’m assuming this will be provided by the author as well)</w:t>
            </w:r>
          </w:p>
          <w:p w:rsidR="007357CD" w:rsidRDefault="007357CD" w:rsidP="0036407E">
            <w:pPr>
              <w:spacing w:after="0"/>
              <w:rPr>
                <w:rFonts w:ascii="Times New Roman" w:hAnsi="Times New Roman"/>
              </w:rPr>
            </w:pPr>
          </w:p>
          <w:p w:rsidR="00547B04" w:rsidRDefault="007357CD" w:rsidP="00547B04">
            <w:pPr>
              <w:keepNext/>
              <w:spacing w:after="0"/>
            </w:pPr>
            <w:r>
              <w:rPr>
                <w:rFonts w:ascii="Times New Roman" w:hAnsi="Times New Roman"/>
              </w:rPr>
              <w:t xml:space="preserve">File: </w:t>
            </w:r>
            <w:r w:rsidR="00F31295">
              <w:rPr>
                <w:rFonts w:ascii="Times New Roman" w:hAnsi="Times New Roman"/>
              </w:rPr>
              <w:t>Island.jpg</w:t>
            </w:r>
          </w:p>
          <w:p w:rsidR="007357CD" w:rsidRDefault="00547B04" w:rsidP="00547B04">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sidR="00466A8A">
              <w:rPr>
                <w:noProof/>
              </w:rPr>
              <w:t>7</w:t>
            </w:r>
            <w:r>
              <w:fldChar w:fldCharType="end"/>
            </w:r>
            <w:r>
              <w:t xml:space="preserve">. </w:t>
            </w:r>
            <w:r w:rsidRPr="00A90228">
              <w:t xml:space="preserve">A 1983 adaptation of South African theatre practitioner Athol </w:t>
            </w:r>
            <w:proofErr w:type="spellStart"/>
            <w:r w:rsidRPr="00A90228">
              <w:t>Fugard’s</w:t>
            </w:r>
            <w:proofErr w:type="spellEnd"/>
            <w:r w:rsidRPr="00A90228">
              <w:t xml:space="preserve"> The Island, acted by </w:t>
            </w:r>
            <w:proofErr w:type="spellStart"/>
            <w:r w:rsidRPr="00A90228">
              <w:t>Makram</w:t>
            </w:r>
            <w:proofErr w:type="spellEnd"/>
            <w:r w:rsidRPr="00A90228">
              <w:t xml:space="preserve"> </w:t>
            </w:r>
            <w:proofErr w:type="spellStart"/>
            <w:r w:rsidRPr="00A90228">
              <w:t>Khoury</w:t>
            </w:r>
            <w:proofErr w:type="spellEnd"/>
            <w:r w:rsidRPr="00A90228">
              <w:t xml:space="preserve"> (right) and </w:t>
            </w:r>
            <w:proofErr w:type="spellStart"/>
            <w:r w:rsidRPr="00A90228">
              <w:t>Yusef</w:t>
            </w:r>
            <w:proofErr w:type="spellEnd"/>
            <w:r w:rsidRPr="00A90228">
              <w:t xml:space="preserve"> Abu </w:t>
            </w:r>
            <w:proofErr w:type="spellStart"/>
            <w:r w:rsidRPr="00A90228">
              <w:t>Warde</w:t>
            </w:r>
            <w:proofErr w:type="spellEnd"/>
            <w:r w:rsidRPr="00A90228">
              <w:t xml:space="preserve"> (left). The play follows two black prisoners as they put on a production of Antigone for their inmates.</w:t>
            </w:r>
          </w:p>
          <w:p w:rsidR="007357CD" w:rsidRDefault="007357CD" w:rsidP="0036407E">
            <w:pPr>
              <w:spacing w:after="0"/>
              <w:rPr>
                <w:rFonts w:ascii="Times New Roman" w:hAnsi="Times New Roman"/>
              </w:rPr>
            </w:pPr>
            <w:r>
              <w:rPr>
                <w:rFonts w:ascii="Times New Roman" w:hAnsi="Times New Roman"/>
              </w:rPr>
              <w:t xml:space="preserve">Source: </w:t>
            </w:r>
            <w:r w:rsidR="00F31295">
              <w:rPr>
                <w:rFonts w:ascii="Times New Roman" w:hAnsi="Times New Roman"/>
              </w:rPr>
              <w:t>provided by the author</w:t>
            </w:r>
          </w:p>
          <w:p w:rsidR="00DF7F31" w:rsidRDefault="00DF7F31" w:rsidP="0036407E">
            <w:pPr>
              <w:spacing w:after="0"/>
              <w:rPr>
                <w:rFonts w:ascii="Times New Roman" w:hAnsi="Times New Roman"/>
              </w:rPr>
            </w:pPr>
          </w:p>
          <w:p w:rsidR="00466A8A" w:rsidRDefault="00DF7F31" w:rsidP="00466A8A">
            <w:pPr>
              <w:keepNext/>
              <w:spacing w:after="0"/>
            </w:pPr>
            <w:r>
              <w:rPr>
                <w:rFonts w:ascii="Times New Roman" w:hAnsi="Times New Roman"/>
              </w:rPr>
              <w:t xml:space="preserve">File: </w:t>
            </w:r>
            <w:r w:rsidRPr="006D525C">
              <w:rPr>
                <w:rFonts w:ascii="Times New Roman" w:hAnsi="Times New Roman"/>
                <w:highlight w:val="cyan"/>
              </w:rPr>
              <w:t xml:space="preserve">—insert picture of </w:t>
            </w:r>
            <w:proofErr w:type="spellStart"/>
            <w:r w:rsidRPr="006D525C">
              <w:rPr>
                <w:rFonts w:ascii="Times New Roman" w:hAnsi="Times New Roman"/>
                <w:highlight w:val="cyan"/>
              </w:rPr>
              <w:t>Juliano’s</w:t>
            </w:r>
            <w:proofErr w:type="spellEnd"/>
            <w:r w:rsidRPr="006D525C">
              <w:rPr>
                <w:rFonts w:ascii="Times New Roman" w:hAnsi="Times New Roman"/>
                <w:highlight w:val="cyan"/>
              </w:rPr>
              <w:t xml:space="preserve"> Death and the Maiden</w:t>
            </w:r>
            <w:r>
              <w:rPr>
                <w:rFonts w:ascii="Times New Roman" w:hAnsi="Times New Roman"/>
              </w:rPr>
              <w:t xml:space="preserve"> </w:t>
            </w:r>
            <w:r>
              <w:rPr>
                <w:rFonts w:ascii="Times New Roman" w:hAnsi="Times New Roman"/>
              </w:rPr>
              <w:t>(this is the note by the author)</w:t>
            </w:r>
          </w:p>
          <w:p w:rsidR="00DF7F31" w:rsidRDefault="00466A8A" w:rsidP="0043022F">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8D520D">
              <w:t xml:space="preserve">A 2011 adaptation of Chilean playwright Ariel </w:t>
            </w:r>
            <w:proofErr w:type="spellStart"/>
            <w:r w:rsidRPr="008D520D">
              <w:t>Dorfman’s</w:t>
            </w:r>
            <w:proofErr w:type="spellEnd"/>
            <w:r w:rsidRPr="008D520D">
              <w:t xml:space="preserve"> Death and the Maiden. Directed by </w:t>
            </w:r>
            <w:proofErr w:type="spellStart"/>
            <w:r w:rsidRPr="008D520D">
              <w:t>Juliano</w:t>
            </w:r>
            <w:proofErr w:type="spellEnd"/>
            <w:r w:rsidRPr="008D520D">
              <w:t xml:space="preserve"> </w:t>
            </w:r>
            <w:proofErr w:type="spellStart"/>
            <w:r w:rsidRPr="008D520D">
              <w:t>Mer-Khamis</w:t>
            </w:r>
            <w:proofErr w:type="spellEnd"/>
            <w:r w:rsidRPr="008D520D">
              <w:t xml:space="preserve">, acted by Clara </w:t>
            </w:r>
            <w:proofErr w:type="spellStart"/>
            <w:r w:rsidRPr="008D520D">
              <w:t>Khoury</w:t>
            </w:r>
            <w:proofErr w:type="spellEnd"/>
            <w:r w:rsidRPr="008D520D">
              <w:t xml:space="preserve">, </w:t>
            </w:r>
            <w:proofErr w:type="spellStart"/>
            <w:r w:rsidRPr="008D520D">
              <w:t>Amer</w:t>
            </w:r>
            <w:proofErr w:type="spellEnd"/>
            <w:r w:rsidRPr="008D520D">
              <w:t xml:space="preserve"> </w:t>
            </w:r>
            <w:proofErr w:type="spellStart"/>
            <w:r w:rsidRPr="008D520D">
              <w:t>Hlehel</w:t>
            </w:r>
            <w:proofErr w:type="spellEnd"/>
            <w:r w:rsidRPr="008D520D">
              <w:t>, and Saleh Bakri. The play depicts the trauma of a former female political prisoner who was tortured and ra</w:t>
            </w:r>
            <w:r>
              <w:t>ped under a repressive dictatorship.</w:t>
            </w:r>
          </w:p>
          <w:p w:rsidR="00DF7F31" w:rsidRDefault="00DF7F31" w:rsidP="0036407E">
            <w:pPr>
              <w:spacing w:after="0"/>
              <w:rPr>
                <w:rFonts w:ascii="Times New Roman" w:hAnsi="Times New Roman"/>
              </w:rPr>
            </w:pPr>
            <w:r>
              <w:rPr>
                <w:rFonts w:ascii="Times New Roman" w:hAnsi="Times New Roman"/>
              </w:rPr>
              <w:t xml:space="preserve">Source: </w:t>
            </w:r>
            <w:r>
              <w:rPr>
                <w:rFonts w:ascii="Times New Roman" w:hAnsi="Times New Roman"/>
              </w:rPr>
              <w:t>(I’m assuming this will be provided by the author as well)</w:t>
            </w:r>
          </w:p>
          <w:p w:rsidR="007357CD" w:rsidRDefault="007357CD" w:rsidP="0036407E">
            <w:pPr>
              <w:spacing w:after="0"/>
              <w:rPr>
                <w:rFonts w:ascii="Times New Roman" w:hAnsi="Times New Roman"/>
              </w:rPr>
            </w:pPr>
          </w:p>
          <w:p w:rsidR="0036407E" w:rsidRDefault="0036407E" w:rsidP="0036407E">
            <w:pPr>
              <w:spacing w:after="0"/>
              <w:rPr>
                <w:rFonts w:ascii="Times New Roman" w:hAnsi="Times New Roman"/>
              </w:rPr>
            </w:pPr>
            <w:r>
              <w:rPr>
                <w:rFonts w:ascii="Times New Roman" w:hAnsi="Times New Roman"/>
              </w:rPr>
              <w:t xml:space="preserve">Politicization (that can be traced to early Zionist settlements in Palestine) of the cultural sphere has led to debates over form and content of the modern theatre. As a highly representational medium, Palestinian theatre is </w:t>
            </w:r>
            <w:r w:rsidRPr="000A2332">
              <w:rPr>
                <w:rFonts w:ascii="Times New Roman" w:hAnsi="Times New Roman"/>
              </w:rPr>
              <w:t>frequently</w:t>
            </w:r>
            <w:r>
              <w:rPr>
                <w:rFonts w:ascii="Times New Roman" w:hAnsi="Times New Roman"/>
              </w:rPr>
              <w:t xml:space="preserve"> read as a reflective mirror of Palestinian realities. Realism in the theatre is used to affirm the national narrative and denounce colonial, societal, and patriarchal oppression. Experiments in form and content at times challenge unified narratives, and more frequently are used to activate audience experiences. Because of the fragmentation and displacement of the Palestinian population, choices in form largely reflect artists’ personal trajectories rather than an artistic movement.</w:t>
            </w:r>
          </w:p>
          <w:p w:rsidR="0036407E" w:rsidRDefault="0036407E" w:rsidP="0036407E">
            <w:pPr>
              <w:spacing w:after="0"/>
              <w:rPr>
                <w:rFonts w:ascii="Times New Roman" w:hAnsi="Times New Roman"/>
              </w:rPr>
            </w:pPr>
            <w:r>
              <w:rPr>
                <w:rFonts w:ascii="Times New Roman" w:hAnsi="Times New Roman"/>
              </w:rPr>
              <w:t xml:space="preserve"> </w:t>
            </w:r>
          </w:p>
          <w:p w:rsidR="003F0D73" w:rsidRPr="00536435" w:rsidRDefault="0036407E" w:rsidP="0036407E">
            <w:pPr>
              <w:spacing w:after="0" w:line="240" w:lineRule="auto"/>
            </w:pPr>
            <w:r>
              <w:rPr>
                <w:rFonts w:ascii="Times New Roman" w:hAnsi="Times New Roman"/>
              </w:rPr>
              <w:t>C</w:t>
            </w:r>
            <w:r w:rsidRPr="00E9089C">
              <w:rPr>
                <w:rFonts w:ascii="Times New Roman" w:hAnsi="Times New Roman"/>
              </w:rPr>
              <w:t xml:space="preserve">ulture in its many forms </w:t>
            </w:r>
            <w:r>
              <w:rPr>
                <w:rFonts w:ascii="Times New Roman" w:hAnsi="Times New Roman"/>
              </w:rPr>
              <w:t xml:space="preserve">has </w:t>
            </w:r>
            <w:r w:rsidRPr="00E9089C">
              <w:rPr>
                <w:rFonts w:ascii="Times New Roman" w:hAnsi="Times New Roman"/>
              </w:rPr>
              <w:t>play</w:t>
            </w:r>
            <w:r>
              <w:rPr>
                <w:rFonts w:ascii="Times New Roman" w:hAnsi="Times New Roman"/>
              </w:rPr>
              <w:t>ed</w:t>
            </w:r>
            <w:r w:rsidRPr="00E9089C">
              <w:rPr>
                <w:rFonts w:ascii="Times New Roman" w:hAnsi="Times New Roman"/>
              </w:rPr>
              <w:t xml:space="preserve"> a significant role as a unifying force for Palestinian identity</w:t>
            </w:r>
            <w:r>
              <w:rPr>
                <w:rFonts w:ascii="Times New Roman" w:hAnsi="Times New Roman"/>
              </w:rPr>
              <w:t xml:space="preserve"> and the anti-colonial national struggle</w:t>
            </w:r>
            <w:r w:rsidRPr="00E9089C">
              <w:rPr>
                <w:rFonts w:ascii="Times New Roman" w:hAnsi="Times New Roman"/>
              </w:rPr>
              <w:t>.</w:t>
            </w:r>
            <w:r>
              <w:rPr>
                <w:rFonts w:ascii="Times New Roman" w:hAnsi="Times New Roman"/>
              </w:rPr>
              <w:t xml:space="preserve"> Theatre has been practiced to serve the resistance and deemed a political threat by ruling authorities. Th</w:t>
            </w:r>
            <w:r w:rsidRPr="007477E1">
              <w:rPr>
                <w:rFonts w:ascii="Times New Roman" w:hAnsi="Times New Roman"/>
              </w:rPr>
              <w:t xml:space="preserve">eatre artists </w:t>
            </w:r>
            <w:r w:rsidRPr="007D2967">
              <w:rPr>
                <w:rFonts w:ascii="Times New Roman" w:hAnsi="Times New Roman"/>
              </w:rPr>
              <w:t xml:space="preserve">have been arrested, performances shut down, and theatres raided by Israel, while theatre productions abroad have been censored and </w:t>
            </w:r>
            <w:r w:rsidR="00DF7F31" w:rsidRPr="007D2967">
              <w:rPr>
                <w:rFonts w:ascii="Times New Roman" w:hAnsi="Times New Roman"/>
              </w:rPr>
              <w:t>cancelled</w:t>
            </w:r>
            <w:r w:rsidRPr="007D2967">
              <w:rPr>
                <w:rFonts w:ascii="Times New Roman" w:hAnsi="Times New Roman"/>
              </w:rPr>
              <w:t>. Theatre continues to be practiced in villages, schools, refugee camps, and professional theatres as tradition, pedagogical practice</w:t>
            </w:r>
            <w:r w:rsidRPr="00E9089C">
              <w:rPr>
                <w:rFonts w:ascii="Times New Roman" w:hAnsi="Times New Roman"/>
              </w:rPr>
              <w:t xml:space="preserve">, resistance struggle, and </w:t>
            </w:r>
            <w:r>
              <w:rPr>
                <w:rFonts w:ascii="Times New Roman" w:hAnsi="Times New Roman"/>
              </w:rPr>
              <w:t>aesthetic</w:t>
            </w:r>
            <w:r w:rsidRPr="00E9089C">
              <w:rPr>
                <w:rFonts w:ascii="Times New Roman" w:hAnsi="Times New Roman"/>
              </w:rPr>
              <w:t xml:space="preserve"> </w:t>
            </w:r>
            <w:r>
              <w:rPr>
                <w:rFonts w:ascii="Times New Roman" w:hAnsi="Times New Roman"/>
              </w:rPr>
              <w:t>expression.</w:t>
            </w:r>
          </w:p>
        </w:tc>
      </w:tr>
      <w:tr w:rsidR="003235A7" w:rsidRPr="00536435" w:rsidTr="00536435">
        <w:tc>
          <w:tcPr>
            <w:tcW w:w="9016" w:type="dxa"/>
            <w:shd w:val="clear" w:color="auto" w:fill="auto"/>
          </w:tcPr>
          <w:p w:rsidR="003235A7" w:rsidRPr="00536435" w:rsidRDefault="003235A7" w:rsidP="00536435">
            <w:pPr>
              <w:spacing w:after="0" w:line="240" w:lineRule="auto"/>
            </w:pPr>
            <w:r w:rsidRPr="00536435">
              <w:rPr>
                <w:u w:val="single"/>
              </w:rPr>
              <w:lastRenderedPageBreak/>
              <w:t>Further reading</w:t>
            </w:r>
            <w:r w:rsidRPr="00536435">
              <w:t>:</w:t>
            </w:r>
          </w:p>
          <w:p w:rsidR="004B466E" w:rsidRDefault="00C42551" w:rsidP="00495D9E">
            <w:pPr>
              <w:spacing w:after="0"/>
              <w:rPr>
                <w:rFonts w:ascii="Times New Roman" w:hAnsi="Times New Roman"/>
                <w:lang w:val="es-ES"/>
              </w:rPr>
            </w:pPr>
            <w:sdt>
              <w:sdtPr>
                <w:rPr>
                  <w:rFonts w:ascii="Times New Roman" w:hAnsi="Times New Roman"/>
                  <w:lang w:val="es-ES"/>
                </w:rPr>
                <w:id w:val="1823388161"/>
                <w:citation/>
              </w:sdtPr>
              <w:sdtContent>
                <w:r>
                  <w:rPr>
                    <w:rFonts w:ascii="Times New Roman" w:hAnsi="Times New Roman"/>
                    <w:lang w:val="es-ES"/>
                  </w:rPr>
                  <w:fldChar w:fldCharType="begin"/>
                </w:r>
                <w:r>
                  <w:rPr>
                    <w:rFonts w:ascii="Times New Roman" w:hAnsi="Times New Roman"/>
                    <w:lang w:val="en-CA"/>
                  </w:rPr>
                  <w:instrText xml:space="preserve"> CITATION Ani79 \l 4105 </w:instrText>
                </w:r>
                <w:r>
                  <w:rPr>
                    <w:rFonts w:ascii="Times New Roman" w:hAnsi="Times New Roman"/>
                    <w:lang w:val="es-ES"/>
                  </w:rPr>
                  <w:fldChar w:fldCharType="separate"/>
                </w:r>
                <w:r w:rsidRPr="00C42551">
                  <w:rPr>
                    <w:rFonts w:ascii="Times New Roman" w:hAnsi="Times New Roman"/>
                    <w:noProof/>
                    <w:lang w:val="en-CA"/>
                  </w:rPr>
                  <w:t>(Anis)</w:t>
                </w:r>
                <w:r>
                  <w:rPr>
                    <w:rFonts w:ascii="Times New Roman" w:hAnsi="Times New Roman"/>
                    <w:lang w:val="es-ES"/>
                  </w:rPr>
                  <w:fldChar w:fldCharType="end"/>
                </w:r>
              </w:sdtContent>
            </w:sdt>
          </w:p>
          <w:p w:rsidR="004B466E" w:rsidRDefault="00DB0165" w:rsidP="00495D9E">
            <w:pPr>
              <w:spacing w:after="0"/>
              <w:rPr>
                <w:rFonts w:ascii="Times New Roman" w:hAnsi="Times New Roman"/>
              </w:rPr>
            </w:pPr>
            <w:sdt>
              <w:sdtPr>
                <w:rPr>
                  <w:rFonts w:ascii="Times New Roman" w:hAnsi="Times New Roman"/>
                </w:rPr>
                <w:id w:val="2027908684"/>
                <w:citation/>
              </w:sdtPr>
              <w:sdtContent>
                <w:r>
                  <w:rPr>
                    <w:rFonts w:ascii="Times New Roman" w:hAnsi="Times New Roman"/>
                  </w:rPr>
                  <w:fldChar w:fldCharType="begin"/>
                </w:r>
                <w:r>
                  <w:rPr>
                    <w:rFonts w:ascii="Times New Roman" w:hAnsi="Times New Roman"/>
                    <w:lang w:val="en-CA"/>
                  </w:rPr>
                  <w:instrText xml:space="preserve"> CITATION Dar05 \l 4105 </w:instrText>
                </w:r>
                <w:r>
                  <w:rPr>
                    <w:rFonts w:ascii="Times New Roman" w:hAnsi="Times New Roman"/>
                  </w:rPr>
                  <w:fldChar w:fldCharType="separate"/>
                </w:r>
                <w:r w:rsidRPr="00DB0165">
                  <w:rPr>
                    <w:rFonts w:ascii="Times New Roman" w:hAnsi="Times New Roman"/>
                    <w:noProof/>
                    <w:lang w:val="en-CA"/>
                  </w:rPr>
                  <w:t>(Darraj)</w:t>
                </w:r>
                <w:r>
                  <w:rPr>
                    <w:rFonts w:ascii="Times New Roman" w:hAnsi="Times New Roman"/>
                  </w:rPr>
                  <w:fldChar w:fldCharType="end"/>
                </w:r>
              </w:sdtContent>
            </w:sdt>
          </w:p>
          <w:p w:rsidR="004B466E" w:rsidRDefault="00547C01" w:rsidP="00495D9E">
            <w:pPr>
              <w:spacing w:after="0"/>
              <w:rPr>
                <w:rFonts w:ascii="Times New Roman" w:hAnsi="Times New Roman"/>
                <w:lang w:val="es-ES"/>
              </w:rPr>
            </w:pPr>
            <w:sdt>
              <w:sdtPr>
                <w:rPr>
                  <w:rFonts w:ascii="Times New Roman" w:hAnsi="Times New Roman"/>
                </w:rPr>
                <w:id w:val="430711402"/>
                <w:citation/>
              </w:sdtPr>
              <w:sdtContent>
                <w:r>
                  <w:rPr>
                    <w:rFonts w:ascii="Times New Roman" w:hAnsi="Times New Roman"/>
                  </w:rPr>
                  <w:fldChar w:fldCharType="begin"/>
                </w:r>
                <w:r w:rsidRPr="00547C01">
                  <w:rPr>
                    <w:rFonts w:ascii="Times New Roman" w:hAnsi="Times New Roman"/>
                    <w:lang w:val="es-ES"/>
                  </w:rPr>
                  <w:instrText xml:space="preserve"> CITATION AlJ90 \l 4105 </w:instrText>
                </w:r>
                <w:r>
                  <w:rPr>
                    <w:rFonts w:ascii="Times New Roman" w:hAnsi="Times New Roman"/>
                  </w:rPr>
                  <w:fldChar w:fldCharType="separate"/>
                </w:r>
                <w:r w:rsidRPr="00547C01">
                  <w:rPr>
                    <w:rFonts w:ascii="Times New Roman" w:hAnsi="Times New Roman"/>
                    <w:noProof/>
                    <w:lang w:val="es-ES"/>
                  </w:rPr>
                  <w:t>(Al-Jawzi)</w:t>
                </w:r>
                <w:r>
                  <w:rPr>
                    <w:rFonts w:ascii="Times New Roman" w:hAnsi="Times New Roman"/>
                  </w:rPr>
                  <w:fldChar w:fldCharType="end"/>
                </w:r>
              </w:sdtContent>
            </w:sdt>
          </w:p>
          <w:p w:rsidR="004B466E" w:rsidRDefault="00547C01" w:rsidP="00495D9E">
            <w:pPr>
              <w:spacing w:after="0"/>
              <w:rPr>
                <w:rFonts w:ascii="Times New Roman" w:hAnsi="Times New Roman"/>
              </w:rPr>
            </w:pPr>
            <w:sdt>
              <w:sdtPr>
                <w:rPr>
                  <w:rFonts w:ascii="Times New Roman" w:hAnsi="Times New Roman"/>
                </w:rPr>
                <w:id w:val="1029226106"/>
                <w:citation/>
              </w:sdtPr>
              <w:sdtContent>
                <w:r>
                  <w:rPr>
                    <w:rFonts w:ascii="Times New Roman" w:hAnsi="Times New Roman"/>
                  </w:rPr>
                  <w:fldChar w:fldCharType="begin"/>
                </w:r>
                <w:r>
                  <w:rPr>
                    <w:rFonts w:ascii="Times New Roman" w:hAnsi="Times New Roman"/>
                    <w:lang w:val="en-CA"/>
                  </w:rPr>
                  <w:instrText xml:space="preserve"> CITATION Mah89 \l 4105 </w:instrText>
                </w:r>
                <w:r>
                  <w:rPr>
                    <w:rFonts w:ascii="Times New Roman" w:hAnsi="Times New Roman"/>
                  </w:rPr>
                  <w:fldChar w:fldCharType="separate"/>
                </w:r>
                <w:r w:rsidRPr="00547C01">
                  <w:rPr>
                    <w:rFonts w:ascii="Times New Roman" w:hAnsi="Times New Roman"/>
                    <w:noProof/>
                    <w:lang w:val="en-CA"/>
                  </w:rPr>
                  <w:t>(Mahamid)</w:t>
                </w:r>
                <w:r>
                  <w:rPr>
                    <w:rFonts w:ascii="Times New Roman" w:hAnsi="Times New Roman"/>
                  </w:rPr>
                  <w:fldChar w:fldCharType="end"/>
                </w:r>
              </w:sdtContent>
            </w:sdt>
          </w:p>
          <w:p w:rsidR="00547C01" w:rsidRPr="004B466E" w:rsidRDefault="0060004C" w:rsidP="00495D9E">
            <w:pPr>
              <w:spacing w:after="0"/>
              <w:rPr>
                <w:rFonts w:ascii="Times New Roman" w:hAnsi="Times New Roman"/>
                <w:lang w:val="es-ES"/>
              </w:rPr>
            </w:pPr>
            <w:sdt>
              <w:sdtPr>
                <w:rPr>
                  <w:rFonts w:ascii="Times New Roman" w:hAnsi="Times New Roman"/>
                  <w:lang w:val="es-ES"/>
                </w:rPr>
                <w:id w:val="969101180"/>
                <w:citation/>
              </w:sdtPr>
              <w:sdtContent>
                <w:r>
                  <w:rPr>
                    <w:rFonts w:ascii="Times New Roman" w:hAnsi="Times New Roman"/>
                    <w:lang w:val="es-ES"/>
                  </w:rPr>
                  <w:fldChar w:fldCharType="begin"/>
                </w:r>
                <w:r>
                  <w:rPr>
                    <w:rFonts w:ascii="Times New Roman" w:hAnsi="Times New Roman"/>
                    <w:lang w:val="en-CA"/>
                  </w:rPr>
                  <w:instrText xml:space="preserve"> CITATION Sly91 \l 4105 </w:instrText>
                </w:r>
                <w:r>
                  <w:rPr>
                    <w:rFonts w:ascii="Times New Roman" w:hAnsi="Times New Roman"/>
                    <w:lang w:val="es-ES"/>
                  </w:rPr>
                  <w:fldChar w:fldCharType="separate"/>
                </w:r>
                <w:r w:rsidRPr="0060004C">
                  <w:rPr>
                    <w:rFonts w:ascii="Times New Roman" w:hAnsi="Times New Roman"/>
                    <w:noProof/>
                    <w:lang w:val="en-CA"/>
                  </w:rPr>
                  <w:t>(Slyomovics)</w:t>
                </w:r>
                <w:r>
                  <w:rPr>
                    <w:rFonts w:ascii="Times New Roman" w:hAnsi="Times New Roman"/>
                    <w:lang w:val="es-ES"/>
                  </w:rPr>
                  <w:fldChar w:fldCharType="end"/>
                </w:r>
              </w:sdtContent>
            </w:sdt>
          </w:p>
          <w:p w:rsidR="003235A7" w:rsidRPr="00536435" w:rsidRDefault="0060004C" w:rsidP="00495D9E">
            <w:pPr>
              <w:spacing w:after="0"/>
            </w:pPr>
            <w:sdt>
              <w:sdtPr>
                <w:rPr>
                  <w:rFonts w:ascii="Times New Roman" w:hAnsi="Times New Roman"/>
                  <w:bCs/>
                </w:rPr>
                <w:id w:val="1010336734"/>
                <w:citation/>
              </w:sdtPr>
              <w:sdtContent>
                <w:r>
                  <w:rPr>
                    <w:rFonts w:ascii="Times New Roman" w:hAnsi="Times New Roman"/>
                    <w:bCs/>
                  </w:rPr>
                  <w:fldChar w:fldCharType="begin"/>
                </w:r>
                <w:r>
                  <w:rPr>
                    <w:rFonts w:ascii="Times New Roman" w:hAnsi="Times New Roman"/>
                    <w:lang w:val="en-CA"/>
                  </w:rPr>
                  <w:instrText xml:space="preserve"> CITATION Sni99 \l 4105 </w:instrText>
                </w:r>
                <w:r>
                  <w:rPr>
                    <w:rFonts w:ascii="Times New Roman" w:hAnsi="Times New Roman"/>
                    <w:bCs/>
                  </w:rPr>
                  <w:fldChar w:fldCharType="separate"/>
                </w:r>
                <w:r w:rsidRPr="0060004C">
                  <w:rPr>
                    <w:rFonts w:ascii="Times New Roman" w:hAnsi="Times New Roman"/>
                    <w:noProof/>
                    <w:lang w:val="en-CA"/>
                  </w:rPr>
                  <w:t>(Snir)</w:t>
                </w:r>
                <w:r>
                  <w:rPr>
                    <w:rFonts w:ascii="Times New Roman" w:hAnsi="Times New Roman"/>
                    <w:bCs/>
                  </w:rP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650" w:rsidRDefault="008E6650" w:rsidP="007A0D55">
      <w:pPr>
        <w:spacing w:after="0" w:line="240" w:lineRule="auto"/>
      </w:pPr>
      <w:r>
        <w:separator/>
      </w:r>
    </w:p>
  </w:endnote>
  <w:endnote w:type="continuationSeparator" w:id="0">
    <w:p w:rsidR="008E6650" w:rsidRDefault="008E66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650" w:rsidRDefault="008E6650" w:rsidP="007A0D55">
      <w:pPr>
        <w:spacing w:after="0" w:line="240" w:lineRule="auto"/>
      </w:pPr>
      <w:r>
        <w:separator/>
      </w:r>
    </w:p>
  </w:footnote>
  <w:footnote w:type="continuationSeparator" w:id="0">
    <w:p w:rsidR="008E6650" w:rsidRDefault="008E665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536435">
      <w:rPr>
        <w:b/>
        <w:color w:val="7F7F7F"/>
      </w:rPr>
      <w:t>Taylor &amp; Francis</w:t>
    </w:r>
    <w:r w:rsidRPr="00536435">
      <w:rPr>
        <w:color w:val="7F7F7F"/>
      </w:rPr>
      <w:t xml:space="preserve"> – </w:t>
    </w:r>
    <w:proofErr w:type="spellStart"/>
    <w:r w:rsidRPr="00536435">
      <w:rPr>
        <w:i/>
        <w:color w:val="7F7F7F"/>
      </w:rPr>
      <w:t>Encyclopedia</w:t>
    </w:r>
    <w:proofErr w:type="spellEnd"/>
    <w:r w:rsidRPr="00536435">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329"/>
    <w:rsid w:val="002A0A0D"/>
    <w:rsid w:val="002A4637"/>
    <w:rsid w:val="002B0B37"/>
    <w:rsid w:val="0030662D"/>
    <w:rsid w:val="003235A7"/>
    <w:rsid w:val="0036407E"/>
    <w:rsid w:val="003677B6"/>
    <w:rsid w:val="003D3579"/>
    <w:rsid w:val="003E2795"/>
    <w:rsid w:val="003F0D73"/>
    <w:rsid w:val="0043022F"/>
    <w:rsid w:val="00446A96"/>
    <w:rsid w:val="00462DBE"/>
    <w:rsid w:val="00464699"/>
    <w:rsid w:val="00466A8A"/>
    <w:rsid w:val="00483379"/>
    <w:rsid w:val="00487BC5"/>
    <w:rsid w:val="00495D9E"/>
    <w:rsid w:val="00496888"/>
    <w:rsid w:val="004A7476"/>
    <w:rsid w:val="004B466E"/>
    <w:rsid w:val="004B4A31"/>
    <w:rsid w:val="004E3FB3"/>
    <w:rsid w:val="004E5896"/>
    <w:rsid w:val="00513EE6"/>
    <w:rsid w:val="00534F8F"/>
    <w:rsid w:val="00536435"/>
    <w:rsid w:val="00547B04"/>
    <w:rsid w:val="00547C01"/>
    <w:rsid w:val="00590035"/>
    <w:rsid w:val="005B177E"/>
    <w:rsid w:val="005B3921"/>
    <w:rsid w:val="005E2B71"/>
    <w:rsid w:val="005F26D7"/>
    <w:rsid w:val="005F2939"/>
    <w:rsid w:val="005F5450"/>
    <w:rsid w:val="0060004C"/>
    <w:rsid w:val="006339E5"/>
    <w:rsid w:val="00637B3B"/>
    <w:rsid w:val="006D0412"/>
    <w:rsid w:val="007357CD"/>
    <w:rsid w:val="007411B9"/>
    <w:rsid w:val="00780D95"/>
    <w:rsid w:val="00780DC7"/>
    <w:rsid w:val="007A0D55"/>
    <w:rsid w:val="007B3377"/>
    <w:rsid w:val="007E5F44"/>
    <w:rsid w:val="00821DE3"/>
    <w:rsid w:val="00846CE1"/>
    <w:rsid w:val="008A0870"/>
    <w:rsid w:val="008A5B87"/>
    <w:rsid w:val="008E6650"/>
    <w:rsid w:val="008F33EE"/>
    <w:rsid w:val="00922950"/>
    <w:rsid w:val="009A7264"/>
    <w:rsid w:val="009D1606"/>
    <w:rsid w:val="009E18A1"/>
    <w:rsid w:val="009E73D7"/>
    <w:rsid w:val="00A27D2C"/>
    <w:rsid w:val="00A423A7"/>
    <w:rsid w:val="00A50C15"/>
    <w:rsid w:val="00A63A98"/>
    <w:rsid w:val="00A76FD9"/>
    <w:rsid w:val="00A81315"/>
    <w:rsid w:val="00AB436D"/>
    <w:rsid w:val="00AD241F"/>
    <w:rsid w:val="00AD2F24"/>
    <w:rsid w:val="00AD4844"/>
    <w:rsid w:val="00B174FD"/>
    <w:rsid w:val="00B219AE"/>
    <w:rsid w:val="00B33145"/>
    <w:rsid w:val="00B574C9"/>
    <w:rsid w:val="00B625E8"/>
    <w:rsid w:val="00BC39C9"/>
    <w:rsid w:val="00BE5BF7"/>
    <w:rsid w:val="00BF40E1"/>
    <w:rsid w:val="00C27FAB"/>
    <w:rsid w:val="00C358D4"/>
    <w:rsid w:val="00C42551"/>
    <w:rsid w:val="00C6296B"/>
    <w:rsid w:val="00CC586D"/>
    <w:rsid w:val="00CF1542"/>
    <w:rsid w:val="00CF3EC5"/>
    <w:rsid w:val="00D656DA"/>
    <w:rsid w:val="00D66A12"/>
    <w:rsid w:val="00D83300"/>
    <w:rsid w:val="00DB0165"/>
    <w:rsid w:val="00DC6B48"/>
    <w:rsid w:val="00DF01B0"/>
    <w:rsid w:val="00DF7F31"/>
    <w:rsid w:val="00E00411"/>
    <w:rsid w:val="00E82585"/>
    <w:rsid w:val="00E85A05"/>
    <w:rsid w:val="00E95829"/>
    <w:rsid w:val="00EA606C"/>
    <w:rsid w:val="00EB0C8C"/>
    <w:rsid w:val="00EB51FD"/>
    <w:rsid w:val="00EB77DB"/>
    <w:rsid w:val="00ED139F"/>
    <w:rsid w:val="00EF74F7"/>
    <w:rsid w:val="00F24B1C"/>
    <w:rsid w:val="00F31295"/>
    <w:rsid w:val="00F36937"/>
    <w:rsid w:val="00F60F53"/>
    <w:rsid w:val="00F66895"/>
    <w:rsid w:val="00F717EE"/>
    <w:rsid w:val="00F928D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CE7F5-F95E-4640-B17D-5E000C2A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D241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24B1C"/>
    <w:rPr>
      <w:color w:val="0563C1" w:themeColor="hyperlink"/>
      <w:u w:val="single"/>
    </w:rPr>
  </w:style>
  <w:style w:type="character" w:styleId="FollowedHyperlink">
    <w:name w:val="FollowedHyperlink"/>
    <w:basedOn w:val="DefaultParagraphFont"/>
    <w:uiPriority w:val="99"/>
    <w:semiHidden/>
    <w:rsid w:val="00F24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464226">
      <w:bodyDiv w:val="1"/>
      <w:marLeft w:val="0"/>
      <w:marRight w:val="0"/>
      <w:marTop w:val="0"/>
      <w:marBottom w:val="0"/>
      <w:divBdr>
        <w:top w:val="none" w:sz="0" w:space="0" w:color="auto"/>
        <w:left w:val="none" w:sz="0" w:space="0" w:color="auto"/>
        <w:bottom w:val="none" w:sz="0" w:space="0" w:color="auto"/>
        <w:right w:val="none" w:sz="0" w:space="0" w:color="auto"/>
      </w:divBdr>
    </w:div>
    <w:div w:id="616373990">
      <w:bodyDiv w:val="1"/>
      <w:marLeft w:val="0"/>
      <w:marRight w:val="0"/>
      <w:marTop w:val="0"/>
      <w:marBottom w:val="0"/>
      <w:divBdr>
        <w:top w:val="none" w:sz="0" w:space="0" w:color="auto"/>
        <w:left w:val="none" w:sz="0" w:space="0" w:color="auto"/>
        <w:bottom w:val="none" w:sz="0" w:space="0" w:color="auto"/>
        <w:right w:val="none" w:sz="0" w:space="0" w:color="auto"/>
      </w:divBdr>
    </w:div>
    <w:div w:id="1105927357">
      <w:bodyDiv w:val="1"/>
      <w:marLeft w:val="0"/>
      <w:marRight w:val="0"/>
      <w:marTop w:val="0"/>
      <w:marBottom w:val="0"/>
      <w:divBdr>
        <w:top w:val="none" w:sz="0" w:space="0" w:color="auto"/>
        <w:left w:val="none" w:sz="0" w:space="0" w:color="auto"/>
        <w:bottom w:val="none" w:sz="0" w:space="0" w:color="auto"/>
        <w:right w:val="none" w:sz="0" w:space="0" w:color="auto"/>
      </w:divBdr>
    </w:div>
    <w:div w:id="1280600542">
      <w:bodyDiv w:val="1"/>
      <w:marLeft w:val="0"/>
      <w:marRight w:val="0"/>
      <w:marTop w:val="0"/>
      <w:marBottom w:val="0"/>
      <w:divBdr>
        <w:top w:val="none" w:sz="0" w:space="0" w:color="auto"/>
        <w:left w:val="none" w:sz="0" w:space="0" w:color="auto"/>
        <w:bottom w:val="none" w:sz="0" w:space="0" w:color="auto"/>
        <w:right w:val="none" w:sz="0" w:space="0" w:color="auto"/>
      </w:divBdr>
    </w:div>
    <w:div w:id="1426802558">
      <w:bodyDiv w:val="1"/>
      <w:marLeft w:val="0"/>
      <w:marRight w:val="0"/>
      <w:marTop w:val="0"/>
      <w:marBottom w:val="0"/>
      <w:divBdr>
        <w:top w:val="none" w:sz="0" w:space="0" w:color="auto"/>
        <w:left w:val="none" w:sz="0" w:space="0" w:color="auto"/>
        <w:bottom w:val="none" w:sz="0" w:space="0" w:color="auto"/>
        <w:right w:val="none" w:sz="0" w:space="0" w:color="auto"/>
      </w:divBdr>
    </w:div>
    <w:div w:id="15338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feature=player_embedded&amp;v=Netr9Nr3G9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2F"/>
    <w:rsid w:val="003C44B3"/>
    <w:rsid w:val="00463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2B754392A75C4BD082F94394EBE404CA">
    <w:name w:val="2B754392A75C4BD082F94394EBE404CA"/>
    <w:pPr>
      <w:spacing w:after="160" w:line="259" w:lineRule="auto"/>
    </w:pPr>
    <w:rPr>
      <w:sz w:val="22"/>
      <w:szCs w:val="22"/>
    </w:rPr>
  </w:style>
  <w:style w:type="paragraph" w:customStyle="1" w:styleId="70241E2FD1C5464FB5C701E361E3BD9E">
    <w:name w:val="70241E2FD1C5464FB5C701E361E3BD9E"/>
    <w:pPr>
      <w:spacing w:after="160" w:line="259" w:lineRule="auto"/>
    </w:pPr>
    <w:rPr>
      <w:sz w:val="22"/>
      <w:szCs w:val="22"/>
    </w:rPr>
  </w:style>
  <w:style w:type="paragraph" w:customStyle="1" w:styleId="A3557BD929B447CA828A6C450F9A0FAF">
    <w:name w:val="A3557BD929B447CA828A6C450F9A0FAF"/>
    <w:pPr>
      <w:spacing w:after="160" w:line="259" w:lineRule="auto"/>
    </w:pPr>
    <w:rPr>
      <w:sz w:val="22"/>
      <w:szCs w:val="22"/>
    </w:rPr>
  </w:style>
  <w:style w:type="paragraph" w:customStyle="1" w:styleId="474551224BF344D580FBA33E1BCDAF36">
    <w:name w:val="474551224BF344D580FBA33E1BCDAF36"/>
    <w:pPr>
      <w:spacing w:after="160" w:line="259" w:lineRule="auto"/>
    </w:pPr>
    <w:rPr>
      <w:sz w:val="22"/>
      <w:szCs w:val="22"/>
    </w:rPr>
  </w:style>
  <w:style w:type="paragraph" w:customStyle="1" w:styleId="FB014B3B33584EFA83DCD5FD3F86E1CC">
    <w:name w:val="FB014B3B33584EFA83DCD5FD3F86E1CC"/>
    <w:pPr>
      <w:spacing w:after="160" w:line="259" w:lineRule="auto"/>
    </w:pPr>
    <w:rPr>
      <w:sz w:val="22"/>
      <w:szCs w:val="22"/>
    </w:rPr>
  </w:style>
  <w:style w:type="paragraph" w:customStyle="1" w:styleId="AB98FA5C4DA44B32BC4FA66E451FE43F">
    <w:name w:val="AB98FA5C4DA44B32BC4FA66E451FE43F"/>
    <w:pPr>
      <w:spacing w:after="160" w:line="259" w:lineRule="auto"/>
    </w:pPr>
    <w:rPr>
      <w:sz w:val="22"/>
      <w:szCs w:val="22"/>
    </w:rPr>
  </w:style>
  <w:style w:type="paragraph" w:customStyle="1" w:styleId="C8F835D942B244F59737CC2A34A843B3">
    <w:name w:val="C8F835D942B244F59737CC2A34A843B3"/>
    <w:pPr>
      <w:spacing w:after="160" w:line="259" w:lineRule="auto"/>
    </w:pPr>
    <w:rPr>
      <w:sz w:val="22"/>
      <w:szCs w:val="22"/>
    </w:rPr>
  </w:style>
  <w:style w:type="paragraph" w:customStyle="1" w:styleId="A3C79E7990E146BEA972F85FC408B6E2">
    <w:name w:val="A3C79E7990E146BEA972F85FC408B6E2"/>
    <w:pPr>
      <w:spacing w:after="160" w:line="259" w:lineRule="auto"/>
    </w:pPr>
    <w:rPr>
      <w:sz w:val="22"/>
      <w:szCs w:val="22"/>
    </w:rPr>
  </w:style>
  <w:style w:type="paragraph" w:customStyle="1" w:styleId="AE9FFDC17B6848B2A327BDFD45EBF66B">
    <w:name w:val="AE9FFDC17B6848B2A327BDFD45EBF66B"/>
    <w:pPr>
      <w:spacing w:after="160" w:line="259" w:lineRule="auto"/>
    </w:pPr>
    <w:rPr>
      <w:sz w:val="22"/>
      <w:szCs w:val="22"/>
    </w:rPr>
  </w:style>
  <w:style w:type="paragraph" w:customStyle="1" w:styleId="14832D2C3C15417E90F5E370A0EE548A">
    <w:name w:val="14832D2C3C15417E90F5E370A0EE548A"/>
    <w:pPr>
      <w:spacing w:after="160" w:line="259" w:lineRule="auto"/>
    </w:pPr>
    <w:rPr>
      <w:sz w:val="22"/>
      <w:szCs w:val="22"/>
    </w:rPr>
  </w:style>
  <w:style w:type="paragraph" w:customStyle="1" w:styleId="3FCCA1D675AD41A2B67C70F98C642F9A">
    <w:name w:val="3FCCA1D675AD41A2B67C70F98C642F9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Ani79</b:Tag>
    <b:SourceType>Book</b:SourceType>
    <b:Guid>{2D4006A9-63E0-4E8A-8175-0D03EAB2BBA9}</b:Guid>
    <b:Author>
      <b:Author>
        <b:NameList>
          <b:Person>
            <b:Last>Anis</b:Last>
            <b:First>Muhammed</b:First>
          </b:Person>
        </b:NameList>
      </b:Author>
    </b:Author>
    <b:Title>Al-Haraka al-Masrahiyya fi al-Manatiq al-Muhtalla</b:Title>
    <b:Year>1979</b:Year>
    <b:City>Haifa</b:City>
    <b:Publisher>Dar Galileo</b:Publisher>
    <b:RefOrder>1</b:RefOrder>
  </b:Source>
  <b:Source>
    <b:Tag>Dar05</b:Tag>
    <b:SourceType>BookSection</b:SourceType>
    <b:Guid>{85887342-0806-4A86-A4A5-B7EC4AC0DEDE}</b:Guid>
    <b:Author>
      <b:Author>
        <b:NameList>
          <b:Person>
            <b:Last>Darraj</b:Last>
            <b:First>Faysal</b:First>
          </b:Person>
        </b:NameList>
      </b:Author>
      <b:BookAuthor>
        <b:NameList>
          <b:Person>
            <b:Last>Rubin</b:Last>
            <b:First>Don</b:First>
          </b:Person>
        </b:NameList>
      </b:BookAuthor>
    </b:Author>
    <b:Title>Palestine</b:Title>
    <b:Year>2005</b:Year>
    <b:Publisher>Taylor &amp; Francis e-Library</b:Publisher>
    <b:BookTitle>The World Encyclopedia of Contemporary Theatre</b:BookTitle>
    <b:Volume>4: The Arab World</b:Volume>
    <b:RefOrder>2</b:RefOrder>
  </b:Source>
  <b:Source>
    <b:Tag>AlJ90</b:Tag>
    <b:SourceType>Book</b:SourceType>
    <b:Guid>{47094C5C-8741-4E96-92BD-FAD2D7353AC9}</b:Guid>
    <b:Title>Tarikh al-Masrah al-Filastini: 1918-1948</b:Title>
    <b:Year>1990</b:Year>
    <b:City>Nicosia</b:City>
    <b:Publisher>Sharq Press</b:Publisher>
    <b:Author>
      <b:Author>
        <b:NameList>
          <b:Person>
            <b:Last>Al-Jawzi</b:Last>
            <b:First>Nasri</b:First>
          </b:Person>
        </b:NameList>
      </b:Author>
    </b:Author>
    <b:Comments>The English language translation of the title is The History of Palestinian Theatre.</b:Comments>
    <b:RefOrder>3</b:RefOrder>
  </b:Source>
  <b:Source>
    <b:Tag>Mah89</b:Tag>
    <b:SourceType>Book</b:SourceType>
    <b:Guid>{1336D08D-ED6D-45D7-B5A3-9C4FBCADEAFE}</b:Guid>
    <b:Author>
      <b:Author>
        <b:NameList>
          <b:Person>
            <b:Last>Mahamid</b:Last>
            <b:First>Muhammad</b:First>
            <b:Middle>'Abd al-Ra'uf</b:Middle>
          </b:Person>
        </b:NameList>
      </b:Author>
    </b:Author>
    <b:Title>Masirat al-Haraka al-Masrahiyya fi al-Diffa al-Gharbiyya 1967-1987</b:Title>
    <b:Year>1989</b:Year>
    <b:City>Al-Tayba</b:City>
    <b:Publisher>Markaz Ihya' al-Turath al-'Arabi</b:Publisher>
    <b:RefOrder>4</b:RefOrder>
  </b:Source>
  <b:Source>
    <b:Tag>Sly91</b:Tag>
    <b:SourceType>JournalArticle</b:SourceType>
    <b:Guid>{A5557ABF-2357-4379-8933-32FEE127B0A2}</b:Guid>
    <b:Author>
      <b:Author>
        <b:NameList>
          <b:Person>
            <b:Last>Slyomovics</b:Last>
            <b:First>Susan</b:First>
          </b:Person>
        </b:NameList>
      </b:Author>
    </b:Author>
    <b:Title>'To Put One's Fingers in the Bleeding Wound': Palestinian Theatre Under Israeli Censorship</b:Title>
    <b:Year>1991</b:Year>
    <b:JournalName>The Drama Review</b:JournalName>
    <b:Pages>18-38</b:Pages>
    <b:Volume>35</b:Volume>
    <b:Issue>2</b:Issue>
    <b:RefOrder>5</b:RefOrder>
  </b:Source>
  <b:Source>
    <b:Tag>Sni99</b:Tag>
    <b:SourceType>JournalArticle</b:SourceType>
    <b:Guid>{79F3D07D-F7D3-4F13-ACE8-8FAD542785A8}</b:Guid>
    <b:Author>
      <b:Author>
        <b:NameList>
          <b:Person>
            <b:Last>Snir</b:Last>
            <b:First>Reuven</b:First>
          </b:Person>
        </b:NameList>
      </b:Author>
    </b:Author>
    <b:Title>The Palestinian al-Hakawati Theatre: A Brief History</b:Title>
    <b:JournalName>Arab Studies Journal</b:JournalName>
    <b:Year>1998-1999</b:Year>
    <b:Pages>57-71</b:Pages>
    <b:Volume>6/7</b:Volume>
    <b:Issue>2/1</b:Issue>
    <b:RefOrder>6</b:RefOrder>
  </b:Source>
</b:Sources>
</file>

<file path=customXml/itemProps1.xml><?xml version="1.0" encoding="utf-8"?>
<ds:datastoreItem xmlns:ds="http://schemas.openxmlformats.org/officeDocument/2006/customXml" ds:itemID="{98C3D307-4194-4943-96DF-AD878F9D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49</TotalTime>
  <Pages>4</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33</cp:revision>
  <dcterms:created xsi:type="dcterms:W3CDTF">2016-03-22T21:55:00Z</dcterms:created>
  <dcterms:modified xsi:type="dcterms:W3CDTF">2016-03-22T22:52:00Z</dcterms:modified>
</cp:coreProperties>
</file>