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53732" w:rsidP="00837FE7">
            <w:pPr>
              <w:spacing w:after="0" w:line="240" w:lineRule="auto"/>
            </w:pPr>
            <w:r>
              <w:rPr>
                <w:rStyle w:val="PlaceholderText"/>
              </w:rPr>
              <w:t>Lene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53732" w:rsidP="00837FE7">
            <w:pPr>
              <w:spacing w:after="0" w:line="240" w:lineRule="auto"/>
            </w:pPr>
            <w:r>
              <w:rPr>
                <w:rStyle w:val="PlaceholderText"/>
              </w:rPr>
              <w:t>Rock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53732" w:rsidP="00837FE7">
            <w:pPr>
              <w:spacing w:after="0" w:line="240" w:lineRule="auto"/>
            </w:pPr>
            <w:r>
              <w:rPr>
                <w:rStyle w:val="PlaceholderText"/>
              </w:rPr>
              <w:t>University of Leuven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25CD2" w:rsidP="00837FE7">
            <w:pPr>
              <w:spacing w:after="0" w:line="240" w:lineRule="auto"/>
              <w:rPr>
                <w:b/>
                <w:color w:val="000000"/>
              </w:rPr>
            </w:pPr>
            <w:r w:rsidRPr="00725CD2">
              <w:rPr>
                <w:b/>
                <w:color w:val="000000"/>
                <w:lang w:val="en-US"/>
              </w:rPr>
              <w:t>Roth, Joseph (1894</w:t>
            </w:r>
            <w:r>
              <w:rPr>
                <w:b/>
                <w:color w:val="000000"/>
                <w:lang w:val="en-US"/>
              </w:rPr>
              <w:t>-</w:t>
            </w:r>
            <w:r w:rsidRPr="00725CD2">
              <w:rPr>
                <w:b/>
                <w:color w:val="000000"/>
                <w:lang w:val="en-US"/>
              </w:rPr>
              <w:t>1939)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2750E" w:rsidP="00837FE7">
            <w:pPr>
              <w:spacing w:after="0" w:line="240" w:lineRule="auto"/>
              <w:rPr>
                <w:color w:val="000000"/>
              </w:rPr>
            </w:pPr>
            <w:r w:rsidRPr="0022750E">
              <w:rPr>
                <w:color w:val="000000"/>
                <w:lang w:val="en-US"/>
              </w:rPr>
              <w:t xml:space="preserve">Joseph Roth was an Austrian-Jewish journalist and novelist. He was born in the shtetl of Brody, near Lemberg (Lviv, Lvov) in Galicia, in the easternmost part of the Austro-Hungarian Empire. Quitting his studies in philosophy and German literature in Lemberg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neue Berliner Zeitung, </w:t>
            </w:r>
            <w:r w:rsidRPr="0022750E">
              <w:rPr>
                <w:color w:val="000000"/>
                <w:lang w:val="en-US"/>
              </w:rPr>
              <w:t xml:space="preserve">the </w:t>
            </w:r>
            <w:r w:rsidRPr="0022750E">
              <w:rPr>
                <w:i/>
                <w:color w:val="000000"/>
                <w:lang w:val="en-US"/>
              </w:rPr>
              <w:t xml:space="preserve">Berliner Börsen-Courier, </w:t>
            </w:r>
            <w:r w:rsidRPr="0022750E">
              <w:rPr>
                <w:color w:val="000000"/>
                <w:lang w:val="en-US"/>
              </w:rPr>
              <w:t xml:space="preserve">the social democratic newspaper </w:t>
            </w:r>
            <w:r w:rsidRPr="0022750E">
              <w:rPr>
                <w:i/>
                <w:color w:val="000000"/>
                <w:lang w:val="en-US"/>
              </w:rPr>
              <w:t>Vorwärts</w:t>
            </w:r>
            <w:r w:rsidRPr="0022750E">
              <w:rPr>
                <w:color w:val="000000"/>
                <w:lang w:val="en-US"/>
              </w:rPr>
              <w:t xml:space="preserve"> and the renowned liberal </w:t>
            </w:r>
            <w:r w:rsidRPr="0022750E">
              <w:rPr>
                <w:i/>
                <w:color w:val="000000"/>
                <w:lang w:val="en-US"/>
              </w:rPr>
              <w:t>Frankfurter Zeitung</w:t>
            </w:r>
            <w:r w:rsidRPr="0022750E">
              <w:rPr>
                <w:color w:val="000000"/>
                <w:lang w:val="en-US"/>
              </w:rPr>
              <w:t>, for which he reported from all over Europe.</w:t>
            </w:r>
          </w:p>
        </w:tc>
      </w:tr>
      <w:tr w:rsidR="003F0D73" w:rsidRPr="00837FE7" w:rsidTr="00837FE7">
        <w:tc>
          <w:tcPr>
            <w:tcW w:w="9016" w:type="dxa"/>
            <w:shd w:val="clear" w:color="auto" w:fill="auto"/>
            <w:tcMar>
              <w:top w:w="113" w:type="dxa"/>
              <w:bottom w:w="113" w:type="dxa"/>
            </w:tcMar>
          </w:tcPr>
          <w:p w:rsidR="003F0D73" w:rsidRDefault="0022750E" w:rsidP="00837FE7">
            <w:pPr>
              <w:spacing w:after="0" w:line="240" w:lineRule="auto"/>
              <w:rPr>
                <w:color w:val="000000"/>
                <w:lang w:val="en-US"/>
              </w:rPr>
            </w:pPr>
            <w:r w:rsidRPr="0022750E">
              <w:rPr>
                <w:color w:val="000000"/>
                <w:lang w:val="en-US"/>
              </w:rPr>
              <w:t xml:space="preserve">Joseph Roth was an Austrian-Jewish journalist and novelist. He was born in the shtetl of Brody, near Lemberg (Lviv, Lvov) in Galicia, in the easternmost part of the Austro-Hungarian Empire. Quitting his studies in philosophy and German literature in Lemberg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neue Berliner Zeitung, </w:t>
            </w:r>
            <w:r w:rsidRPr="0022750E">
              <w:rPr>
                <w:color w:val="000000"/>
                <w:lang w:val="en-US"/>
              </w:rPr>
              <w:t xml:space="preserve">the </w:t>
            </w:r>
            <w:r w:rsidRPr="0022750E">
              <w:rPr>
                <w:i/>
                <w:color w:val="000000"/>
                <w:lang w:val="en-US"/>
              </w:rPr>
              <w:t xml:space="preserve">Berliner Börsen-Courier, </w:t>
            </w:r>
            <w:r w:rsidRPr="0022750E">
              <w:rPr>
                <w:color w:val="000000"/>
                <w:lang w:val="en-US"/>
              </w:rPr>
              <w:t xml:space="preserve">the social democratic newspaper </w:t>
            </w:r>
            <w:r w:rsidRPr="0022750E">
              <w:rPr>
                <w:i/>
                <w:color w:val="000000"/>
                <w:lang w:val="en-US"/>
              </w:rPr>
              <w:t>Vorwärts</w:t>
            </w:r>
            <w:r w:rsidRPr="0022750E">
              <w:rPr>
                <w:color w:val="000000"/>
                <w:lang w:val="en-US"/>
              </w:rPr>
              <w:t xml:space="preserve"> and the renowned liberal </w:t>
            </w:r>
            <w:r w:rsidRPr="0022750E">
              <w:rPr>
                <w:i/>
                <w:color w:val="000000"/>
                <w:lang w:val="en-US"/>
              </w:rPr>
              <w:t>Frankfurter Zeitung</w:t>
            </w:r>
            <w:r w:rsidRPr="0022750E">
              <w:rPr>
                <w:color w:val="000000"/>
                <w:lang w:val="en-US"/>
              </w:rPr>
              <w:t xml:space="preserve">, for which he reported from all over Europe. Roth participated in the </w:t>
            </w:r>
            <w:r w:rsidRPr="0022750E">
              <w:rPr>
                <w:i/>
                <w:color w:val="000000"/>
                <w:lang w:val="en-US"/>
              </w:rPr>
              <w:t>Gruppe 1925</w:t>
            </w:r>
            <w:r w:rsidRPr="0022750E">
              <w:rPr>
                <w:color w:val="000000"/>
                <w:lang w:val="en-US"/>
              </w:rPr>
              <w:t xml:space="preserve">, a Berlin-based association of mostly leftist artists and authors who resisted the increasingly repressive laws on culture of the Weimar Republic. Roth’s first novel </w:t>
            </w:r>
            <w:r w:rsidRPr="0022750E">
              <w:rPr>
                <w:i/>
                <w:color w:val="000000"/>
                <w:lang w:val="en-US"/>
              </w:rPr>
              <w:t>Das Spinnennetz</w:t>
            </w:r>
            <w:r w:rsidRPr="0022750E">
              <w:rPr>
                <w:color w:val="000000"/>
                <w:lang w:val="en-US"/>
              </w:rPr>
              <w:t xml:space="preserve"> (</w:t>
            </w:r>
            <w:r w:rsidRPr="0022750E">
              <w:rPr>
                <w:i/>
                <w:color w:val="000000"/>
                <w:lang w:val="en-US"/>
              </w:rPr>
              <w:t>The Spider’s Web</w:t>
            </w:r>
            <w:r w:rsidRPr="0022750E">
              <w:rPr>
                <w:color w:val="000000"/>
                <w:lang w:val="en-US"/>
              </w:rPr>
              <w:t xml:space="preserve">, 1923) was serialized in an Austrian newspaper. Much like his subsequent novels throughout the 1920s, it explores life in postwar Europe, especially the political and social instability of a generation falling victim to right-wing radicalism. Roth’s breakthrough novels </w:t>
            </w:r>
            <w:r w:rsidRPr="0022750E">
              <w:rPr>
                <w:i/>
                <w:color w:val="000000"/>
                <w:lang w:val="en-US"/>
              </w:rPr>
              <w:t>Hiob</w:t>
            </w:r>
            <w:r w:rsidRPr="0022750E">
              <w:rPr>
                <w:color w:val="000000"/>
                <w:lang w:val="en-US"/>
              </w:rPr>
              <w:t xml:space="preserve"> (</w:t>
            </w:r>
            <w:r w:rsidRPr="0022750E">
              <w:rPr>
                <w:i/>
                <w:color w:val="000000"/>
                <w:lang w:val="en-US"/>
              </w:rPr>
              <w:t>Job</w:t>
            </w:r>
            <w:r w:rsidRPr="0022750E">
              <w:rPr>
                <w:color w:val="000000"/>
                <w:lang w:val="en-US"/>
              </w:rPr>
              <w:t>,</w:t>
            </w:r>
            <w:r w:rsidRPr="0022750E">
              <w:rPr>
                <w:i/>
                <w:color w:val="000000"/>
                <w:lang w:val="en-US"/>
              </w:rPr>
              <w:t xml:space="preserve"> </w:t>
            </w:r>
            <w:r w:rsidRPr="0022750E">
              <w:rPr>
                <w:color w:val="000000"/>
                <w:lang w:val="en-US"/>
              </w:rPr>
              <w:t xml:space="preserve">1930) and </w:t>
            </w:r>
            <w:r w:rsidRPr="0022750E">
              <w:rPr>
                <w:i/>
                <w:color w:val="000000"/>
                <w:lang w:val="en-US"/>
              </w:rPr>
              <w:t>Radetzkymarsch</w:t>
            </w:r>
            <w:r w:rsidRPr="0022750E">
              <w:rPr>
                <w:color w:val="000000"/>
                <w:lang w:val="en-US"/>
              </w:rPr>
              <w:t xml:space="preserve"> (</w:t>
            </w:r>
            <w:r w:rsidRPr="0022750E">
              <w:rPr>
                <w:i/>
                <w:color w:val="000000"/>
                <w:lang w:val="en-US"/>
              </w:rPr>
              <w:t>Radetzky March</w:t>
            </w:r>
            <w:r w:rsidRPr="0022750E">
              <w:rPr>
                <w:color w:val="000000"/>
                <w:lang w:val="en-US"/>
              </w:rPr>
              <w:t>,</w:t>
            </w:r>
            <w:r w:rsidRPr="0022750E">
              <w:rPr>
                <w:i/>
                <w:color w:val="000000"/>
                <w:lang w:val="en-US"/>
              </w:rPr>
              <w:t xml:space="preserve"> </w:t>
            </w:r>
            <w:r w:rsidRPr="0022750E">
              <w:rPr>
                <w:color w:val="000000"/>
                <w:lang w:val="en-US"/>
              </w:rPr>
              <w:t xml:space="preserve">1932) address themes characteristic of his entire oeuvre: Judaism – Eastern Jews, more specifically – and nostalgia for the former Dual Monarchy, which he portrays as a safeguard of ethnic, religious and cultural tolerance. Both novels and journalistic work are characterized by vivid and factual depictions of great historical and sociological precision, reminiscent of the style of the </w:t>
            </w:r>
            <w:r w:rsidRPr="0022750E">
              <w:rPr>
                <w:i/>
                <w:color w:val="000000"/>
                <w:lang w:val="en-US"/>
              </w:rPr>
              <w:t>Neue Sachlichkeit</w:t>
            </w:r>
            <w:r w:rsidRPr="0022750E">
              <w:rPr>
                <w:color w:val="000000"/>
                <w:lang w:val="en-US"/>
              </w:rPr>
              <w:t xml:space="preserve">, to which Roth himself however could not entirely relate. In 1933, on the day Hitler was appointed </w:t>
            </w:r>
            <w:r w:rsidRPr="0022750E">
              <w:rPr>
                <w:i/>
                <w:color w:val="000000"/>
                <w:lang w:val="en-US"/>
              </w:rPr>
              <w:t>Reichskanzler</w:t>
            </w:r>
            <w:r w:rsidRPr="0022750E">
              <w:rPr>
                <w:color w:val="000000"/>
                <w:lang w:val="en-US"/>
              </w:rPr>
              <w:t>, Roth went into exile in Paris.</w:t>
            </w:r>
          </w:p>
          <w:p w:rsidR="001371D1" w:rsidRDefault="001371D1" w:rsidP="00837FE7">
            <w:pPr>
              <w:spacing w:after="0" w:line="240" w:lineRule="auto"/>
              <w:rPr>
                <w:color w:val="000000"/>
                <w:lang w:val="en-US"/>
              </w:rPr>
            </w:pPr>
          </w:p>
          <w:p w:rsidR="00806486" w:rsidRDefault="001371D1" w:rsidP="00806486">
            <w:pPr>
              <w:keepNext/>
              <w:spacing w:after="0" w:line="240" w:lineRule="auto"/>
            </w:pPr>
            <w:r>
              <w:rPr>
                <w:color w:val="000000"/>
                <w:lang w:val="en-US"/>
              </w:rPr>
              <w:t>File: Roth.jpg</w:t>
            </w:r>
          </w:p>
          <w:p w:rsidR="001371D1" w:rsidRDefault="00806486" w:rsidP="0080648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387ABD" w:rsidRDefault="001371D1" w:rsidP="00837FE7">
            <w:pPr>
              <w:spacing w:after="0" w:line="240" w:lineRule="auto"/>
              <w:rPr>
                <w:color w:val="000000"/>
                <w:lang w:val="en-US"/>
              </w:rPr>
            </w:pPr>
            <w:r>
              <w:rPr>
                <w:color w:val="000000"/>
                <w:lang w:val="en-US"/>
              </w:rPr>
              <w:t>Source: &lt;</w:t>
            </w:r>
            <w:r w:rsidRPr="001371D1">
              <w:rPr>
                <w:color w:val="000000"/>
                <w:lang w:val="en-US"/>
              </w:rPr>
              <w:t>http://upload.wikimedia.org/wikipedia/commons/b/bb/Joseph_Roth_%281926%29.</w:t>
            </w:r>
          </w:p>
          <w:p w:rsidR="001371D1" w:rsidRDefault="001371D1" w:rsidP="00837FE7">
            <w:pPr>
              <w:spacing w:after="0" w:line="240" w:lineRule="auto"/>
              <w:rPr>
                <w:color w:val="000000"/>
                <w:lang w:val="en-US"/>
              </w:rPr>
            </w:pPr>
            <w:r w:rsidRPr="001371D1">
              <w:rPr>
                <w:color w:val="000000"/>
                <w:lang w:val="en-US"/>
              </w:rPr>
              <w:t>jpg</w:t>
            </w:r>
            <w:r>
              <w:rPr>
                <w:color w:val="000000"/>
                <w:lang w:val="en-US"/>
              </w:rPr>
              <w:t>&gt;</w:t>
            </w:r>
          </w:p>
          <w:p w:rsidR="001371D1" w:rsidRDefault="001371D1" w:rsidP="00837FE7">
            <w:pPr>
              <w:spacing w:after="0" w:line="240" w:lineRule="auto"/>
              <w:rPr>
                <w:color w:val="000000"/>
                <w:lang w:val="en-US"/>
              </w:rPr>
            </w:pPr>
          </w:p>
          <w:p w:rsidR="001B5DBF" w:rsidRPr="001B5DBF" w:rsidRDefault="001B5DBF" w:rsidP="001B5DBF">
            <w:pPr>
              <w:spacing w:after="0" w:line="240" w:lineRule="auto"/>
              <w:rPr>
                <w:color w:val="000000"/>
                <w:lang w:val="en-US"/>
              </w:rPr>
            </w:pPr>
            <w:r w:rsidRPr="001B5DBF">
              <w:rPr>
                <w:color w:val="000000"/>
                <w:lang w:val="en-US"/>
              </w:rPr>
              <w:lastRenderedPageBreak/>
              <w:t xml:space="preserve">Roth’s wistful treatment of Eastern Jewry as an endangered people shares with his utopian portrayal of the Dual Monarchy an underlying sense of rootlessness carrying political value. Novels such as </w:t>
            </w:r>
            <w:r w:rsidRPr="001B5DBF">
              <w:rPr>
                <w:i/>
                <w:color w:val="000000"/>
                <w:lang w:val="en-US"/>
              </w:rPr>
              <w:t>Radetzkymarsch</w:t>
            </w:r>
            <w:r w:rsidRPr="001B5DBF">
              <w:rPr>
                <w:color w:val="000000"/>
                <w:lang w:val="en-US"/>
              </w:rPr>
              <w:t xml:space="preserve"> and </w:t>
            </w:r>
            <w:r w:rsidRPr="001B5DBF">
              <w:rPr>
                <w:i/>
                <w:color w:val="000000"/>
                <w:lang w:val="en-US"/>
              </w:rPr>
              <w:t>Die Kapuzinergruft</w:t>
            </w:r>
            <w:r w:rsidRPr="001B5DBF">
              <w:rPr>
                <w:color w:val="000000"/>
                <w:lang w:val="en-US"/>
              </w:rPr>
              <w:t xml:space="preserve"> (</w:t>
            </w:r>
            <w:r w:rsidRPr="001B5DBF">
              <w:rPr>
                <w:i/>
                <w:color w:val="000000"/>
                <w:lang w:val="en-US"/>
              </w:rPr>
              <w:t>The Emperor’s Tomb</w:t>
            </w:r>
            <w:r w:rsidRPr="001B5DBF">
              <w:rPr>
                <w:color w:val="000000"/>
                <w:lang w:val="en-US"/>
              </w:rPr>
              <w:t>, 1938)</w:t>
            </w:r>
            <w:r w:rsidRPr="001B5DBF">
              <w:rPr>
                <w:i/>
                <w:color w:val="000000"/>
                <w:lang w:val="en-US"/>
              </w:rPr>
              <w:t xml:space="preserve"> </w:t>
            </w:r>
            <w:r w:rsidRPr="001B5DBF">
              <w:rPr>
                <w:color w:val="000000"/>
                <w:lang w:val="en-US"/>
              </w:rPr>
              <w:t xml:space="preserve">symbolize the loss of a fatherland, resulting in an uprootedness which Roth also portrays as characteristic of Jewish existence, as reflected in his essay </w:t>
            </w:r>
            <w:r w:rsidRPr="001B5DBF">
              <w:rPr>
                <w:i/>
                <w:color w:val="000000"/>
                <w:lang w:val="en-US"/>
              </w:rPr>
              <w:t xml:space="preserve">Juden auf Wanderschaft </w:t>
            </w:r>
            <w:r w:rsidRPr="001B5DBF">
              <w:rPr>
                <w:color w:val="000000"/>
                <w:lang w:val="en-US"/>
              </w:rPr>
              <w:t>(</w:t>
            </w:r>
            <w:r w:rsidRPr="001B5DBF">
              <w:rPr>
                <w:i/>
                <w:color w:val="000000"/>
                <w:lang w:val="en-US"/>
              </w:rPr>
              <w:t>The Wandering Jews</w:t>
            </w:r>
            <w:r w:rsidRPr="001B5DBF">
              <w:rPr>
                <w:color w:val="000000"/>
                <w:lang w:val="en-US"/>
              </w:rPr>
              <w:t xml:space="preserve">, 1927), or in the rootless Jewish protagonists of </w:t>
            </w:r>
            <w:r w:rsidRPr="001B5DBF">
              <w:rPr>
                <w:i/>
                <w:color w:val="000000"/>
                <w:lang w:val="en-US"/>
              </w:rPr>
              <w:t xml:space="preserve">Hotel Savoy </w:t>
            </w:r>
            <w:r w:rsidRPr="001B5DBF">
              <w:rPr>
                <w:color w:val="000000"/>
                <w:lang w:val="en-US"/>
              </w:rPr>
              <w:t xml:space="preserve">and </w:t>
            </w:r>
            <w:r w:rsidRPr="001B5DBF">
              <w:rPr>
                <w:i/>
                <w:color w:val="000000"/>
                <w:lang w:val="en-US"/>
              </w:rPr>
              <w:t xml:space="preserve">Flucht ohne Ende </w:t>
            </w:r>
            <w:r w:rsidRPr="001B5DBF">
              <w:rPr>
                <w:color w:val="000000"/>
                <w:lang w:val="en-US"/>
              </w:rPr>
              <w:t>(</w:t>
            </w:r>
            <w:r w:rsidRPr="001B5DBF">
              <w:rPr>
                <w:i/>
                <w:color w:val="000000"/>
                <w:lang w:val="en-US"/>
              </w:rPr>
              <w:t>Flight without End</w:t>
            </w:r>
            <w:r w:rsidRPr="001B5DBF">
              <w:rPr>
                <w:color w:val="000000"/>
                <w:lang w:val="en-US"/>
              </w:rPr>
              <w:t xml:space="preserve">, 1927). Against both Zionism and Jewish assimilation as types of Jewish </w:t>
            </w:r>
            <w:r w:rsidRPr="001B5DBF">
              <w:rPr>
                <w:i/>
                <w:color w:val="000000"/>
                <w:lang w:val="en-US"/>
              </w:rPr>
              <w:t>Heimkehr</w:t>
            </w:r>
            <w:r w:rsidRPr="001B5DBF">
              <w:rPr>
                <w:color w:val="000000"/>
                <w:lang w:val="en-US"/>
              </w:rPr>
              <w:t>, Roth held the ideal of a transnational Jewry, in line with the ideal of cosmopolitanism which he recognized in the former Dual Monarchy.</w:t>
            </w:r>
          </w:p>
          <w:p w:rsidR="001B5DBF" w:rsidRPr="001B5DBF" w:rsidRDefault="001B5DBF" w:rsidP="001B5DBF">
            <w:pPr>
              <w:spacing w:after="0" w:line="240" w:lineRule="auto"/>
              <w:rPr>
                <w:color w:val="000000"/>
                <w:lang w:val="en-US"/>
              </w:rPr>
            </w:pPr>
          </w:p>
          <w:p w:rsidR="001B5DBF" w:rsidRPr="00B7521C" w:rsidRDefault="001B5DBF" w:rsidP="001B5DBF">
            <w:pPr>
              <w:pStyle w:val="Heading1"/>
              <w:spacing w:after="0"/>
              <w:rPr>
                <w:rFonts w:eastAsia="Calibri"/>
                <w:lang w:val="de-DE"/>
              </w:rPr>
            </w:pPr>
            <w:r>
              <w:rPr>
                <w:lang w:val="de-DE"/>
              </w:rPr>
              <w:t>List of W</w:t>
            </w:r>
            <w:r w:rsidRPr="00B7521C">
              <w:rPr>
                <w:rFonts w:eastAsia="Calibri"/>
                <w:lang w:val="de-DE"/>
              </w:rPr>
              <w:t>orks</w:t>
            </w:r>
          </w:p>
          <w:p w:rsidR="001B5DBF" w:rsidRPr="001B5DBF" w:rsidRDefault="001B5DBF" w:rsidP="001B5DBF">
            <w:pPr>
              <w:spacing w:after="0" w:line="240" w:lineRule="auto"/>
              <w:rPr>
                <w:color w:val="000000"/>
                <w:lang w:val="de-DE"/>
              </w:rPr>
            </w:pPr>
            <w:r w:rsidRPr="001B5DBF">
              <w:rPr>
                <w:i/>
                <w:color w:val="000000"/>
                <w:lang w:val="de-DE"/>
              </w:rPr>
              <w:t>Das Spinnennetz</w:t>
            </w:r>
            <w:r w:rsidRPr="001B5DBF">
              <w:rPr>
                <w:color w:val="000000"/>
                <w:lang w:val="de-DE"/>
              </w:rPr>
              <w:t xml:space="preserve"> (1923)</w:t>
            </w:r>
          </w:p>
          <w:p w:rsidR="001B5DBF" w:rsidRPr="001B5DBF" w:rsidRDefault="001B5DBF" w:rsidP="001B5DBF">
            <w:pPr>
              <w:spacing w:after="0" w:line="240" w:lineRule="auto"/>
              <w:rPr>
                <w:color w:val="000000"/>
                <w:lang w:val="de-DE"/>
              </w:rPr>
            </w:pPr>
            <w:r w:rsidRPr="001B5DBF">
              <w:rPr>
                <w:i/>
                <w:color w:val="000000"/>
                <w:lang w:val="de-DE"/>
              </w:rPr>
              <w:t xml:space="preserve">Hotel Savoy </w:t>
            </w:r>
            <w:r w:rsidRPr="001B5DBF">
              <w:rPr>
                <w:color w:val="000000"/>
                <w:lang w:val="de-DE"/>
              </w:rPr>
              <w:t>(1924)</w:t>
            </w:r>
          </w:p>
          <w:p w:rsidR="001B5DBF" w:rsidRPr="001B5DBF" w:rsidRDefault="001B5DBF" w:rsidP="001B5DBF">
            <w:pPr>
              <w:spacing w:after="0" w:line="240" w:lineRule="auto"/>
              <w:rPr>
                <w:color w:val="000000"/>
                <w:lang w:val="de-DE"/>
              </w:rPr>
            </w:pPr>
            <w:r w:rsidRPr="001B5DBF">
              <w:rPr>
                <w:i/>
                <w:color w:val="000000"/>
                <w:lang w:val="de-DE"/>
              </w:rPr>
              <w:t>Flucht ohne Ende. Ein Bericht.</w:t>
            </w:r>
            <w:r w:rsidRPr="001B5DBF">
              <w:rPr>
                <w:color w:val="000000"/>
                <w:lang w:val="de-DE"/>
              </w:rPr>
              <w:t xml:space="preserve"> (1927)</w:t>
            </w:r>
          </w:p>
          <w:p w:rsidR="001B5DBF" w:rsidRPr="001B5DBF" w:rsidRDefault="001B5DBF" w:rsidP="001B5DBF">
            <w:pPr>
              <w:spacing w:after="0" w:line="240" w:lineRule="auto"/>
              <w:rPr>
                <w:color w:val="000000"/>
                <w:lang w:val="de-DE"/>
              </w:rPr>
            </w:pPr>
            <w:r w:rsidRPr="001B5DBF">
              <w:rPr>
                <w:i/>
                <w:color w:val="000000"/>
                <w:lang w:val="de-DE"/>
              </w:rPr>
              <w:t>Juden auf Wanderschaft</w:t>
            </w:r>
            <w:r w:rsidRPr="001B5DBF">
              <w:rPr>
                <w:color w:val="000000"/>
                <w:lang w:val="de-DE"/>
              </w:rPr>
              <w:t xml:space="preserve"> (1927)</w:t>
            </w:r>
          </w:p>
          <w:p w:rsidR="001B5DBF" w:rsidRPr="001B5DBF" w:rsidRDefault="001B5DBF" w:rsidP="001B5DBF">
            <w:pPr>
              <w:spacing w:after="0" w:line="240" w:lineRule="auto"/>
              <w:rPr>
                <w:color w:val="000000"/>
                <w:lang w:val="de-DE"/>
              </w:rPr>
            </w:pPr>
            <w:r w:rsidRPr="001B5DBF">
              <w:rPr>
                <w:i/>
                <w:color w:val="000000"/>
                <w:lang w:val="de-DE"/>
              </w:rPr>
              <w:t>Zipper und sein Vater</w:t>
            </w:r>
            <w:r w:rsidRPr="001B5DBF">
              <w:rPr>
                <w:color w:val="000000"/>
                <w:lang w:val="de-DE"/>
              </w:rPr>
              <w:t xml:space="preserve"> (1928)</w:t>
            </w:r>
          </w:p>
          <w:p w:rsidR="001B5DBF" w:rsidRPr="001B5DBF" w:rsidRDefault="001B5DBF" w:rsidP="001B5DBF">
            <w:pPr>
              <w:spacing w:after="0" w:line="240" w:lineRule="auto"/>
              <w:rPr>
                <w:color w:val="000000"/>
                <w:lang w:val="de-DE"/>
              </w:rPr>
            </w:pPr>
            <w:r w:rsidRPr="001B5DBF">
              <w:rPr>
                <w:i/>
                <w:color w:val="000000"/>
                <w:lang w:val="de-DE"/>
              </w:rPr>
              <w:t>Rechts und Links</w:t>
            </w:r>
            <w:r w:rsidRPr="001B5DBF">
              <w:rPr>
                <w:color w:val="000000"/>
                <w:lang w:val="de-DE"/>
              </w:rPr>
              <w:t xml:space="preserve"> (1929)</w:t>
            </w:r>
          </w:p>
          <w:p w:rsidR="001B5DBF" w:rsidRPr="001B5DBF" w:rsidRDefault="001B5DBF" w:rsidP="001B5DBF">
            <w:pPr>
              <w:spacing w:after="0" w:line="240" w:lineRule="auto"/>
              <w:rPr>
                <w:color w:val="000000"/>
                <w:lang w:val="de-DE"/>
              </w:rPr>
            </w:pPr>
            <w:r w:rsidRPr="001B5DBF">
              <w:rPr>
                <w:i/>
                <w:color w:val="000000"/>
                <w:lang w:val="de-DE"/>
              </w:rPr>
              <w:t>Hiob. Roman eines einfaches Mannes.</w:t>
            </w:r>
            <w:r w:rsidRPr="001B5DBF">
              <w:rPr>
                <w:color w:val="000000"/>
                <w:lang w:val="de-DE"/>
              </w:rPr>
              <w:t xml:space="preserve"> (1930)</w:t>
            </w:r>
          </w:p>
          <w:p w:rsidR="001B5DBF" w:rsidRPr="001B5DBF" w:rsidRDefault="001B5DBF" w:rsidP="001B5DBF">
            <w:pPr>
              <w:spacing w:after="0" w:line="240" w:lineRule="auto"/>
              <w:rPr>
                <w:color w:val="000000"/>
                <w:lang w:val="de-DE"/>
              </w:rPr>
            </w:pPr>
            <w:r w:rsidRPr="001B5DBF">
              <w:rPr>
                <w:i/>
                <w:color w:val="000000"/>
                <w:lang w:val="de-DE"/>
              </w:rPr>
              <w:t>Radetzkymarsch</w:t>
            </w:r>
            <w:r w:rsidRPr="001B5DBF">
              <w:rPr>
                <w:color w:val="000000"/>
                <w:lang w:val="de-DE"/>
              </w:rPr>
              <w:t xml:space="preserve"> (1932)</w:t>
            </w:r>
          </w:p>
          <w:p w:rsidR="001B5DBF" w:rsidRPr="001B5DBF" w:rsidRDefault="001B5DBF" w:rsidP="001B5DBF">
            <w:pPr>
              <w:spacing w:after="0" w:line="240" w:lineRule="auto"/>
              <w:rPr>
                <w:color w:val="000000"/>
                <w:lang w:val="de-DE"/>
              </w:rPr>
            </w:pPr>
            <w:r w:rsidRPr="001B5DBF">
              <w:rPr>
                <w:i/>
                <w:iCs/>
                <w:color w:val="000000"/>
                <w:lang w:val="de-DE"/>
              </w:rPr>
              <w:t>Die hundert Tage</w:t>
            </w:r>
            <w:r w:rsidRPr="001B5DBF">
              <w:rPr>
                <w:color w:val="000000"/>
                <w:lang w:val="de-DE"/>
              </w:rPr>
              <w:t xml:space="preserve"> (1936)</w:t>
            </w:r>
          </w:p>
          <w:p w:rsidR="001B5DBF" w:rsidRPr="001B5DBF" w:rsidRDefault="001B5DBF" w:rsidP="001B5DBF">
            <w:pPr>
              <w:spacing w:after="0" w:line="240" w:lineRule="auto"/>
              <w:rPr>
                <w:color w:val="000000"/>
                <w:lang w:val="de-DE"/>
              </w:rPr>
            </w:pPr>
            <w:r w:rsidRPr="001B5DBF">
              <w:rPr>
                <w:i/>
                <w:iCs/>
                <w:color w:val="000000"/>
                <w:lang w:val="de-DE"/>
              </w:rPr>
              <w:t>Beichte eines Mörders, erzählt in einer Nacht</w:t>
            </w:r>
            <w:r w:rsidRPr="001B5DBF">
              <w:rPr>
                <w:color w:val="000000"/>
                <w:lang w:val="de-DE"/>
              </w:rPr>
              <w:t xml:space="preserve"> (1936)</w:t>
            </w:r>
          </w:p>
          <w:p w:rsidR="001B5DBF" w:rsidRPr="001B5DBF" w:rsidRDefault="001B5DBF" w:rsidP="001B5DBF">
            <w:pPr>
              <w:spacing w:after="0" w:line="240" w:lineRule="auto"/>
              <w:rPr>
                <w:color w:val="000000"/>
                <w:lang w:val="de-DE"/>
              </w:rPr>
            </w:pPr>
            <w:r w:rsidRPr="001B5DBF">
              <w:rPr>
                <w:i/>
                <w:iCs/>
                <w:color w:val="000000"/>
                <w:lang w:val="de-DE"/>
              </w:rPr>
              <w:t>Das falsche Gewicht. Die Geschichte eines Eichmeisters.</w:t>
            </w:r>
            <w:r w:rsidRPr="001B5DBF">
              <w:rPr>
                <w:color w:val="000000"/>
                <w:lang w:val="de-DE"/>
              </w:rPr>
              <w:t xml:space="preserve"> (1937)</w:t>
            </w:r>
          </w:p>
          <w:p w:rsidR="001B5DBF" w:rsidRPr="001B5DBF" w:rsidRDefault="001B5DBF" w:rsidP="001B5DBF">
            <w:pPr>
              <w:spacing w:after="0" w:line="240" w:lineRule="auto"/>
              <w:rPr>
                <w:color w:val="000000"/>
                <w:lang w:val="de-DE"/>
              </w:rPr>
            </w:pPr>
            <w:r w:rsidRPr="001B5DBF">
              <w:rPr>
                <w:i/>
                <w:iCs/>
                <w:color w:val="000000"/>
                <w:lang w:val="de-DE"/>
              </w:rPr>
              <w:t>Die Geschichte von der 1002. Nacht</w:t>
            </w:r>
            <w:r w:rsidRPr="001B5DBF">
              <w:rPr>
                <w:color w:val="000000"/>
                <w:lang w:val="de-DE"/>
              </w:rPr>
              <w:t xml:space="preserve"> (1937)</w:t>
            </w:r>
          </w:p>
          <w:p w:rsidR="001B5DBF" w:rsidRPr="001B5DBF" w:rsidRDefault="001B5DBF" w:rsidP="001B5DBF">
            <w:pPr>
              <w:spacing w:after="0" w:line="240" w:lineRule="auto"/>
              <w:rPr>
                <w:color w:val="000000"/>
                <w:lang w:val="de-DE"/>
              </w:rPr>
            </w:pPr>
            <w:r w:rsidRPr="001B5DBF">
              <w:rPr>
                <w:i/>
                <w:iCs/>
                <w:color w:val="000000"/>
                <w:lang w:val="de-DE"/>
              </w:rPr>
              <w:t>Die Kapuzinergruft</w:t>
            </w:r>
            <w:r w:rsidRPr="001B5DBF">
              <w:rPr>
                <w:color w:val="000000"/>
                <w:lang w:val="de-DE"/>
              </w:rPr>
              <w:t xml:space="preserve"> (1938)</w:t>
            </w:r>
          </w:p>
          <w:p w:rsidR="001B5DBF" w:rsidRPr="001B5DBF" w:rsidRDefault="001B5DBF" w:rsidP="001B5DBF">
            <w:pPr>
              <w:spacing w:after="0" w:line="240" w:lineRule="auto"/>
              <w:rPr>
                <w:iCs/>
                <w:color w:val="000000"/>
                <w:lang w:val="de-DE"/>
              </w:rPr>
            </w:pPr>
            <w:r w:rsidRPr="001B5DBF">
              <w:rPr>
                <w:i/>
                <w:iCs/>
                <w:color w:val="000000"/>
                <w:lang w:val="de-DE"/>
              </w:rPr>
              <w:t xml:space="preserve">Die Legende vom heiligen Trinker </w:t>
            </w:r>
            <w:r w:rsidRPr="001B5DBF">
              <w:rPr>
                <w:iCs/>
                <w:color w:val="000000"/>
                <w:lang w:val="de-DE"/>
              </w:rPr>
              <w:t>(1939)</w:t>
            </w:r>
          </w:p>
          <w:p w:rsidR="001371D1" w:rsidRPr="00E06B87" w:rsidRDefault="001B5DBF" w:rsidP="001B5DBF">
            <w:pPr>
              <w:spacing w:after="0" w:line="240" w:lineRule="auto"/>
              <w:rPr>
                <w:color w:val="000000"/>
              </w:rPr>
            </w:pPr>
            <w:r w:rsidRPr="001B5DBF">
              <w:rPr>
                <w:i/>
                <w:iCs/>
                <w:color w:val="000000"/>
                <w:lang w:val="en-US"/>
              </w:rPr>
              <w:t xml:space="preserve">Der Leviathan </w:t>
            </w:r>
            <w:r w:rsidRPr="001B5DBF">
              <w:rPr>
                <w:iCs/>
                <w:color w:val="000000"/>
                <w:lang w:val="en-US"/>
              </w:rPr>
              <w:t>(1940)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250C6" w:rsidRPr="00A250C6" w:rsidRDefault="002123DB" w:rsidP="00A250C6">
            <w:pPr>
              <w:spacing w:after="0" w:line="240" w:lineRule="auto"/>
              <w:rPr>
                <w:color w:val="000000"/>
                <w:lang w:val="de-DE"/>
              </w:rPr>
            </w:pPr>
            <w:sdt>
              <w:sdtPr>
                <w:rPr>
                  <w:color w:val="000000"/>
                  <w:lang w:val="de-DE"/>
                </w:rPr>
                <w:id w:val="1282842630"/>
                <w:citation/>
              </w:sdtPr>
              <w:sdtContent>
                <w:r>
                  <w:rPr>
                    <w:color w:val="000000"/>
                    <w:lang w:val="de-DE"/>
                  </w:rPr>
                  <w:fldChar w:fldCharType="begin"/>
                </w:r>
                <w:r>
                  <w:rPr>
                    <w:noProof/>
                    <w:color w:val="000000"/>
                    <w:lang w:val="en-CA"/>
                  </w:rPr>
                  <w:instrText xml:space="preserve"> CITATION Hei82 \l 4105 </w:instrText>
                </w:r>
                <w:r>
                  <w:rPr>
                    <w:color w:val="000000"/>
                    <w:lang w:val="de-DE"/>
                  </w:rPr>
                  <w:fldChar w:fldCharType="separate"/>
                </w:r>
                <w:r w:rsidRPr="002123DB">
                  <w:rPr>
                    <w:noProof/>
                    <w:color w:val="000000"/>
                    <w:lang w:val="en-CA"/>
                  </w:rPr>
                  <w:t>(Arnold)</w:t>
                </w:r>
                <w:r>
                  <w:rPr>
                    <w:color w:val="000000"/>
                    <w:lang w:val="de-DE"/>
                  </w:rPr>
                  <w:fldChar w:fldCharType="end"/>
                </w:r>
              </w:sdtContent>
            </w:sdt>
          </w:p>
          <w:p w:rsidR="00A250C6" w:rsidRPr="00A250C6" w:rsidRDefault="002123DB" w:rsidP="00A250C6">
            <w:pPr>
              <w:spacing w:after="0" w:line="240" w:lineRule="auto"/>
              <w:rPr>
                <w:color w:val="000000"/>
                <w:lang w:val="de-DE"/>
              </w:rPr>
            </w:pPr>
            <w:sdt>
              <w:sdtPr>
                <w:rPr>
                  <w:color w:val="000000"/>
                  <w:lang w:val="de-DE"/>
                </w:rPr>
                <w:id w:val="1320000204"/>
                <w:citation/>
              </w:sdtPr>
              <w:sdtContent>
                <w:r>
                  <w:rPr>
                    <w:color w:val="000000"/>
                    <w:lang w:val="de-DE"/>
                  </w:rPr>
                  <w:fldChar w:fldCharType="begin"/>
                </w:r>
                <w:r>
                  <w:rPr>
                    <w:noProof/>
                    <w:color w:val="000000"/>
                    <w:lang w:val="en-CA"/>
                  </w:rPr>
                  <w:instrText xml:space="preserve"> CITATION Bro81 \l 4105 </w:instrText>
                </w:r>
                <w:r>
                  <w:rPr>
                    <w:color w:val="000000"/>
                    <w:lang w:val="de-DE"/>
                  </w:rPr>
                  <w:fldChar w:fldCharType="separate"/>
                </w:r>
                <w:r w:rsidRPr="002123DB">
                  <w:rPr>
                    <w:noProof/>
                    <w:color w:val="000000"/>
                    <w:lang w:val="en-CA"/>
                  </w:rPr>
                  <w:t>(Bronsen)</w:t>
                </w:r>
                <w:r>
                  <w:rPr>
                    <w:color w:val="000000"/>
                    <w:lang w:val="de-DE"/>
                  </w:rPr>
                  <w:fldChar w:fldCharType="end"/>
                </w:r>
              </w:sdtContent>
            </w:sdt>
          </w:p>
          <w:p w:rsidR="00A250C6" w:rsidRPr="00A250C6" w:rsidRDefault="002123DB" w:rsidP="00A250C6">
            <w:pPr>
              <w:spacing w:after="0" w:line="240" w:lineRule="auto"/>
              <w:rPr>
                <w:color w:val="000000"/>
                <w:lang w:val="de-DE"/>
              </w:rPr>
            </w:pPr>
            <w:sdt>
              <w:sdtPr>
                <w:rPr>
                  <w:color w:val="000000"/>
                  <w:lang w:val="de-DE"/>
                </w:rPr>
                <w:id w:val="-1776546932"/>
                <w:citation/>
              </w:sdtPr>
              <w:sdtContent>
                <w:r>
                  <w:rPr>
                    <w:color w:val="000000"/>
                    <w:lang w:val="de-DE"/>
                  </w:rPr>
                  <w:fldChar w:fldCharType="begin"/>
                </w:r>
                <w:r>
                  <w:rPr>
                    <w:noProof/>
                    <w:color w:val="000000"/>
                    <w:lang w:val="en-CA"/>
                  </w:rPr>
                  <w:instrText xml:space="preserve"> CITATION Mag74 \l 4105 </w:instrText>
                </w:r>
                <w:r>
                  <w:rPr>
                    <w:color w:val="000000"/>
                    <w:lang w:val="de-DE"/>
                  </w:rPr>
                  <w:fldChar w:fldCharType="separate"/>
                </w:r>
                <w:r w:rsidRPr="002123DB">
                  <w:rPr>
                    <w:noProof/>
                    <w:color w:val="000000"/>
                    <w:lang w:val="en-CA"/>
                  </w:rPr>
                  <w:t>(Magris)</w:t>
                </w:r>
                <w:r>
                  <w:rPr>
                    <w:color w:val="000000"/>
                    <w:lang w:val="de-DE"/>
                  </w:rPr>
                  <w:fldChar w:fldCharType="end"/>
                </w:r>
              </w:sdtContent>
            </w:sdt>
          </w:p>
          <w:p w:rsidR="003235A7" w:rsidRPr="00E06B87" w:rsidRDefault="002123DB" w:rsidP="00A250C6">
            <w:pPr>
              <w:spacing w:after="0" w:line="240" w:lineRule="auto"/>
              <w:rPr>
                <w:color w:val="000000"/>
              </w:rPr>
            </w:pPr>
            <w:sdt>
              <w:sdtPr>
                <w:rPr>
                  <w:color w:val="000000"/>
                </w:rPr>
                <w:id w:val="-547450717"/>
                <w:citation/>
              </w:sdtPr>
              <w:sdtContent>
                <w:r>
                  <w:rPr>
                    <w:color w:val="000000"/>
                  </w:rPr>
                  <w:fldChar w:fldCharType="begin"/>
                </w:r>
                <w:r>
                  <w:rPr>
                    <w:noProof/>
                    <w:color w:val="000000"/>
                    <w:lang w:val="en-CA"/>
                  </w:rPr>
                  <w:instrText xml:space="preserve"> CITATION Meh00 \l 4105 </w:instrText>
                </w:r>
                <w:r>
                  <w:rPr>
                    <w:color w:val="000000"/>
                  </w:rPr>
                  <w:fldChar w:fldCharType="separate"/>
                </w:r>
                <w:r w:rsidRPr="002123DB">
                  <w:rPr>
                    <w:noProof/>
                    <w:color w:val="000000"/>
                    <w:lang w:val="en-CA"/>
                  </w:rPr>
                  <w:t>(Mehrens)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AED" w:rsidRDefault="005B6AED" w:rsidP="007A0D55">
      <w:pPr>
        <w:spacing w:after="0" w:line="240" w:lineRule="auto"/>
      </w:pPr>
      <w:r>
        <w:separator/>
      </w:r>
    </w:p>
  </w:endnote>
  <w:endnote w:type="continuationSeparator" w:id="0">
    <w:p w:rsidR="005B6AED" w:rsidRDefault="005B6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AED" w:rsidRDefault="005B6AED" w:rsidP="007A0D55">
      <w:pPr>
        <w:spacing w:after="0" w:line="240" w:lineRule="auto"/>
      </w:pPr>
      <w:r>
        <w:separator/>
      </w:r>
    </w:p>
  </w:footnote>
  <w:footnote w:type="continuationSeparator" w:id="0">
    <w:p w:rsidR="005B6AED" w:rsidRDefault="005B6AE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725619"/>
    <w:multiLevelType w:val="hybridMultilevel"/>
    <w:tmpl w:val="7464B9A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32"/>
    <w:rsid w:val="00032559"/>
    <w:rsid w:val="00052040"/>
    <w:rsid w:val="000B25AE"/>
    <w:rsid w:val="000B55AB"/>
    <w:rsid w:val="000D24DC"/>
    <w:rsid w:val="00101B2E"/>
    <w:rsid w:val="00116FA0"/>
    <w:rsid w:val="001371D1"/>
    <w:rsid w:val="0015114C"/>
    <w:rsid w:val="0018407A"/>
    <w:rsid w:val="001A21F3"/>
    <w:rsid w:val="001A2537"/>
    <w:rsid w:val="001A6A06"/>
    <w:rsid w:val="001B5DBF"/>
    <w:rsid w:val="00210C03"/>
    <w:rsid w:val="002123DB"/>
    <w:rsid w:val="002162E2"/>
    <w:rsid w:val="00216D48"/>
    <w:rsid w:val="00225C5A"/>
    <w:rsid w:val="0022750E"/>
    <w:rsid w:val="00230B10"/>
    <w:rsid w:val="00234353"/>
    <w:rsid w:val="00244BB0"/>
    <w:rsid w:val="002A0A0D"/>
    <w:rsid w:val="002B0B37"/>
    <w:rsid w:val="0030662D"/>
    <w:rsid w:val="003235A7"/>
    <w:rsid w:val="003677B6"/>
    <w:rsid w:val="00387AB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AED"/>
    <w:rsid w:val="005F26D7"/>
    <w:rsid w:val="005F5450"/>
    <w:rsid w:val="006D0412"/>
    <w:rsid w:val="00725CD2"/>
    <w:rsid w:val="007411B9"/>
    <w:rsid w:val="00780D95"/>
    <w:rsid w:val="00780DC7"/>
    <w:rsid w:val="007A0D55"/>
    <w:rsid w:val="007B3377"/>
    <w:rsid w:val="007E5F44"/>
    <w:rsid w:val="00806486"/>
    <w:rsid w:val="00821DE3"/>
    <w:rsid w:val="00837FE7"/>
    <w:rsid w:val="00846CE1"/>
    <w:rsid w:val="008A5B87"/>
    <w:rsid w:val="00922950"/>
    <w:rsid w:val="009A7264"/>
    <w:rsid w:val="009D1606"/>
    <w:rsid w:val="009E18A1"/>
    <w:rsid w:val="009E73D7"/>
    <w:rsid w:val="00A250C6"/>
    <w:rsid w:val="00A27D2C"/>
    <w:rsid w:val="00A76FD9"/>
    <w:rsid w:val="00AB436D"/>
    <w:rsid w:val="00AD2F24"/>
    <w:rsid w:val="00AD4844"/>
    <w:rsid w:val="00B219AE"/>
    <w:rsid w:val="00B33145"/>
    <w:rsid w:val="00B574C9"/>
    <w:rsid w:val="00B7521C"/>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373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93C42-D58B-4DDA-876A-4ECE13A8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unhideWhenUsed/>
    <w:rsid w:val="001B5DBF"/>
    <w:pPr>
      <w:spacing w:after="0" w:line="240" w:lineRule="auto"/>
    </w:pPr>
    <w:rPr>
      <w:sz w:val="20"/>
      <w:szCs w:val="20"/>
      <w:lang w:val="en-US"/>
    </w:rPr>
  </w:style>
  <w:style w:type="character" w:customStyle="1" w:styleId="CommentTextChar">
    <w:name w:val="Comment Text Char"/>
    <w:link w:val="CommentText"/>
    <w:uiPriority w:val="99"/>
    <w:semiHidden/>
    <w:rsid w:val="001B5DBF"/>
    <w:rPr>
      <w:lang w:val="en-US" w:eastAsia="en-US"/>
    </w:rPr>
  </w:style>
  <w:style w:type="character" w:styleId="Hyperlink">
    <w:name w:val="Hyperlink"/>
    <w:uiPriority w:val="99"/>
    <w:semiHidden/>
    <w:rsid w:val="001B5DBF"/>
    <w:rPr>
      <w:color w:val="0563C1"/>
      <w:u w:val="single"/>
    </w:rPr>
  </w:style>
  <w:style w:type="paragraph" w:styleId="BalloonText">
    <w:name w:val="Balloon Text"/>
    <w:basedOn w:val="Normal"/>
    <w:link w:val="BalloonTextChar"/>
    <w:uiPriority w:val="99"/>
    <w:semiHidden/>
    <w:unhideWhenUsed/>
    <w:rsid w:val="001B5DB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B5DBF"/>
    <w:rPr>
      <w:rFonts w:ascii="Segoe UI" w:hAnsi="Segoe UI" w:cs="Segoe UI"/>
      <w:sz w:val="18"/>
      <w:szCs w:val="18"/>
      <w:lang w:val="en-GB" w:eastAsia="en-US"/>
    </w:rPr>
  </w:style>
  <w:style w:type="paragraph" w:styleId="Caption">
    <w:name w:val="caption"/>
    <w:basedOn w:val="Normal"/>
    <w:next w:val="Normal"/>
    <w:uiPriority w:val="35"/>
    <w:semiHidden/>
    <w:qFormat/>
    <w:rsid w:val="00806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945">
      <w:bodyDiv w:val="1"/>
      <w:marLeft w:val="0"/>
      <w:marRight w:val="0"/>
      <w:marTop w:val="0"/>
      <w:marBottom w:val="0"/>
      <w:divBdr>
        <w:top w:val="none" w:sz="0" w:space="0" w:color="auto"/>
        <w:left w:val="none" w:sz="0" w:space="0" w:color="auto"/>
        <w:bottom w:val="none" w:sz="0" w:space="0" w:color="auto"/>
        <w:right w:val="none" w:sz="0" w:space="0" w:color="auto"/>
      </w:divBdr>
    </w:div>
    <w:div w:id="476383496">
      <w:bodyDiv w:val="1"/>
      <w:marLeft w:val="0"/>
      <w:marRight w:val="0"/>
      <w:marTop w:val="0"/>
      <w:marBottom w:val="0"/>
      <w:divBdr>
        <w:top w:val="none" w:sz="0" w:space="0" w:color="auto"/>
        <w:left w:val="none" w:sz="0" w:space="0" w:color="auto"/>
        <w:bottom w:val="none" w:sz="0" w:space="0" w:color="auto"/>
        <w:right w:val="none" w:sz="0" w:space="0" w:color="auto"/>
      </w:divBdr>
    </w:div>
    <w:div w:id="515315679">
      <w:bodyDiv w:val="1"/>
      <w:marLeft w:val="0"/>
      <w:marRight w:val="0"/>
      <w:marTop w:val="0"/>
      <w:marBottom w:val="0"/>
      <w:divBdr>
        <w:top w:val="none" w:sz="0" w:space="0" w:color="auto"/>
        <w:left w:val="none" w:sz="0" w:space="0" w:color="auto"/>
        <w:bottom w:val="none" w:sz="0" w:space="0" w:color="auto"/>
        <w:right w:val="none" w:sz="0" w:space="0" w:color="auto"/>
      </w:divBdr>
    </w:div>
    <w:div w:id="740568345">
      <w:bodyDiv w:val="1"/>
      <w:marLeft w:val="0"/>
      <w:marRight w:val="0"/>
      <w:marTop w:val="0"/>
      <w:marBottom w:val="0"/>
      <w:divBdr>
        <w:top w:val="none" w:sz="0" w:space="0" w:color="auto"/>
        <w:left w:val="none" w:sz="0" w:space="0" w:color="auto"/>
        <w:bottom w:val="none" w:sz="0" w:space="0" w:color="auto"/>
        <w:right w:val="none" w:sz="0" w:space="0" w:color="auto"/>
      </w:divBdr>
    </w:div>
    <w:div w:id="1390953155">
      <w:bodyDiv w:val="1"/>
      <w:marLeft w:val="0"/>
      <w:marRight w:val="0"/>
      <w:marTop w:val="0"/>
      <w:marBottom w:val="0"/>
      <w:divBdr>
        <w:top w:val="none" w:sz="0" w:space="0" w:color="auto"/>
        <w:left w:val="none" w:sz="0" w:space="0" w:color="auto"/>
        <w:bottom w:val="none" w:sz="0" w:space="0" w:color="auto"/>
        <w:right w:val="none" w:sz="0" w:space="0" w:color="auto"/>
      </w:divBdr>
    </w:div>
    <w:div w:id="1867863036">
      <w:bodyDiv w:val="1"/>
      <w:marLeft w:val="0"/>
      <w:marRight w:val="0"/>
      <w:marTop w:val="0"/>
      <w:marBottom w:val="0"/>
      <w:divBdr>
        <w:top w:val="none" w:sz="0" w:space="0" w:color="auto"/>
        <w:left w:val="none" w:sz="0" w:space="0" w:color="auto"/>
        <w:bottom w:val="none" w:sz="0" w:space="0" w:color="auto"/>
        <w:right w:val="none" w:sz="0" w:space="0" w:color="auto"/>
      </w:divBdr>
    </w:div>
    <w:div w:id="1880119197">
      <w:bodyDiv w:val="1"/>
      <w:marLeft w:val="0"/>
      <w:marRight w:val="0"/>
      <w:marTop w:val="0"/>
      <w:marBottom w:val="0"/>
      <w:divBdr>
        <w:top w:val="none" w:sz="0" w:space="0" w:color="auto"/>
        <w:left w:val="none" w:sz="0" w:space="0" w:color="auto"/>
        <w:bottom w:val="none" w:sz="0" w:space="0" w:color="auto"/>
        <w:right w:val="none" w:sz="0" w:space="0" w:color="auto"/>
      </w:divBdr>
    </w:div>
    <w:div w:id="18889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Meh00</b:Tag>
    <b:SourceType>Book</b:SourceType>
    <b:Guid>{B8BB1406-DA46-4D7E-91E2-FEA0732001AA}</b:Guid>
    <b:Title>Vom göttlichen Auftrag der Literatur: Die Romane Joseph Roths</b:Title>
    <b:Year>2000</b:Year>
    <b:City>Hamburg</b:City>
    <b:Author>
      <b:Author>
        <b:NameList>
          <b:Person>
            <b:Last>Mehrens</b:Last>
            <b:First>Dietmar</b:First>
          </b:Person>
        </b:NameList>
      </b:Author>
    </b:Author>
    <b:Publisher>Libri BoD</b:Publisher>
    <b:RefOrder>4</b:RefOrder>
  </b:Source>
  <b:Source>
    <b:Tag>Mag74</b:Tag>
    <b:SourceType>Book</b:SourceType>
    <b:Guid>{8B6C04D5-1634-488F-AB32-7C12D6AD10B0}</b:Guid>
    <b:Title>Weit von wo. Verlorene Welt des Ostjudentums.</b:Title>
    <b:Year>1974</b:Year>
    <b:City>Wien</b:City>
    <b:Publisher>Europaverlag</b:Publisher>
    <b:Author>
      <b:Author>
        <b:NameList>
          <b:Person>
            <b:Last>Magris</b:Last>
            <b:First>Claudio</b:First>
          </b:Person>
        </b:NameList>
      </b:Author>
    </b:Author>
    <b:RefOrder>3</b:RefOrder>
  </b:Source>
  <b:Source>
    <b:Tag>Bro81</b:Tag>
    <b:SourceType>Book</b:SourceType>
    <b:Guid>{0A5760E7-D644-453A-B5F1-2AAEB30A7CAC}</b:Guid>
    <b:Author>
      <b:Author>
        <b:NameList>
          <b:Person>
            <b:Last>Bronsen</b:Last>
            <b:First>David</b:First>
          </b:Person>
        </b:NameList>
      </b:Author>
    </b:Author>
    <b:Title>Joseph Roth: eine Biographie</b:Title>
    <b:Year>1981</b:Year>
    <b:City>München</b:City>
    <b:Publisher>Deutscher Taschenbuch Verlag</b:Publisher>
    <b:RefOrder>2</b:RefOrder>
  </b:Source>
  <b:Source>
    <b:Tag>Hei82</b:Tag>
    <b:SourceType>Book</b:SourceType>
    <b:Guid>{403F03B3-7860-455C-A301-6FF9FC48D5D0}</b:Guid>
    <b:Author>
      <b:Author>
        <b:NameList>
          <b:Person>
            <b:Last>Arnold</b:Last>
            <b:First>Heinz</b:First>
            <b:Middle>Ludwig</b:Middle>
          </b:Person>
        </b:NameList>
      </b:Author>
    </b:Author>
    <b:Title>Text + Kritik. Sonderband Joseph Roth</b:Title>
    <b:Year>1982</b:Year>
    <b:City>München</b:City>
    <b:Publisher>Edition Text + Kritik</b:Publisher>
    <b:RefOrder>1</b:RefOrder>
  </b:Source>
</b:Sources>
</file>

<file path=customXml/itemProps1.xml><?xml version="1.0" encoding="utf-8"?>
<ds:datastoreItem xmlns:ds="http://schemas.openxmlformats.org/officeDocument/2006/customXml" ds:itemID="{B2F7E39A-01A9-4EB5-B32D-01A147E7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2016-07-05T23:14:00Z</dcterms:created>
  <dcterms:modified xsi:type="dcterms:W3CDTF">2016-07-15T22:51:00Z</dcterms:modified>
</cp:coreProperties>
</file>