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F5375" w:rsidP="00837FE7">
            <w:pPr>
              <w:spacing w:after="0" w:line="240" w:lineRule="auto"/>
            </w:pPr>
            <w:r>
              <w:rPr>
                <w:rStyle w:val="PlaceholderText"/>
              </w:rPr>
              <w:t>Alys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F5375" w:rsidP="00837FE7">
            <w:pPr>
              <w:spacing w:after="0" w:line="240" w:lineRule="auto"/>
            </w:pPr>
            <w:r>
              <w:rPr>
                <w:rStyle w:val="PlaceholderText"/>
              </w:rPr>
              <w:t>George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4F5375" w:rsidP="00837FE7">
            <w:pPr>
              <w:spacing w:after="0" w:line="240" w:lineRule="auto"/>
            </w:pPr>
            <w:r>
              <w:rPr>
                <w:rStyle w:val="PlaceholderText"/>
              </w:rPr>
              <w:t>New 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C7F5C" w:rsidP="00837FE7">
            <w:pPr>
              <w:spacing w:after="0" w:line="240" w:lineRule="auto"/>
              <w:rPr>
                <w:b/>
                <w:color w:val="000000"/>
              </w:rPr>
            </w:pPr>
            <w:r w:rsidRPr="00CC7F5C">
              <w:rPr>
                <w:b/>
                <w:i/>
                <w:color w:val="000000"/>
              </w:rPr>
              <w:t>Sprachkrise</w:t>
            </w:r>
          </w:p>
        </w:tc>
      </w:tr>
      <w:tr w:rsidR="00464699" w:rsidRPr="00837FE7" w:rsidTr="00837FE7">
        <w:tc>
          <w:tcPr>
            <w:tcW w:w="9016" w:type="dxa"/>
            <w:shd w:val="clear" w:color="auto" w:fill="auto"/>
            <w:tcMar>
              <w:top w:w="113" w:type="dxa"/>
              <w:bottom w:w="113" w:type="dxa"/>
            </w:tcMar>
          </w:tcPr>
          <w:p w:rsidR="00464699" w:rsidRPr="00E06B87" w:rsidRDefault="00CC7F5C" w:rsidP="00837FE7">
            <w:pPr>
              <w:spacing w:after="0" w:line="240" w:lineRule="auto"/>
              <w:rPr>
                <w:color w:val="000000"/>
              </w:rPr>
            </w:pPr>
            <w:r w:rsidRPr="00CC7F5C">
              <w:rPr>
                <w:b/>
                <w:color w:val="000000"/>
              </w:rPr>
              <w:t>Crisis of L</w:t>
            </w:r>
            <w:r>
              <w:rPr>
                <w:b/>
                <w:color w:val="000000"/>
              </w:rPr>
              <w:t>anguage</w:t>
            </w:r>
          </w:p>
        </w:tc>
      </w:tr>
      <w:tr w:rsidR="00E85A05" w:rsidRPr="00837FE7" w:rsidTr="00837FE7">
        <w:tc>
          <w:tcPr>
            <w:tcW w:w="9016" w:type="dxa"/>
            <w:shd w:val="clear" w:color="auto" w:fill="auto"/>
            <w:tcMar>
              <w:top w:w="113" w:type="dxa"/>
              <w:bottom w:w="113" w:type="dxa"/>
            </w:tcMar>
          </w:tcPr>
          <w:p w:rsidR="00E85A05" w:rsidRPr="00E06B87" w:rsidRDefault="0027554E" w:rsidP="00837FE7">
            <w:pPr>
              <w:spacing w:after="0" w:line="240" w:lineRule="auto"/>
              <w:rPr>
                <w:color w:val="000000"/>
              </w:rPr>
            </w:pPr>
            <w:r w:rsidRPr="00174BB1">
              <w:rPr>
                <w:color w:val="000000"/>
              </w:rPr>
              <w:t xml:space="preserve">The </w:t>
            </w:r>
            <w:r w:rsidRPr="00174BB1">
              <w:rPr>
                <w:i/>
                <w:color w:val="000000"/>
              </w:rPr>
              <w:t>Sprachkrise</w:t>
            </w:r>
            <w:r w:rsidRPr="00174BB1">
              <w:rPr>
                <w:color w:val="000000"/>
              </w:rPr>
              <w:t xml:space="preserve"> stemmed from the perceived incongruity between linguistic expression, conceptual thought, and the immediacy of lived experience. It was largely a </w:t>
            </w:r>
            <w:r w:rsidRPr="00174BB1">
              <w:rPr>
                <w:i/>
                <w:color w:val="000000"/>
              </w:rPr>
              <w:t>fin-de-si</w:t>
            </w:r>
            <w:r w:rsidRPr="00174BB1">
              <w:rPr>
                <w:i/>
                <w:color w:val="000000"/>
                <w:lang w:val="de-DE"/>
              </w:rPr>
              <w:t>ècle</w:t>
            </w:r>
            <w:r w:rsidRPr="00174BB1">
              <w:rPr>
                <w:color w:val="000000"/>
              </w:rPr>
              <w:t xml:space="preserve"> phenomenon, to which Nietzsche’s pointed question in an essay from 1873 gave early voice: </w:t>
            </w:r>
            <w:r>
              <w:rPr>
                <w:color w:val="000000"/>
              </w:rPr>
              <w:t>‘</w:t>
            </w:r>
            <w:r w:rsidRPr="00174BB1">
              <w:rPr>
                <w:color w:val="000000"/>
              </w:rPr>
              <w:t>Is language the adequate expression of all realities?</w:t>
            </w:r>
            <w:r>
              <w:rPr>
                <w:color w:val="000000"/>
              </w:rPr>
              <w:t>’</w:t>
            </w:r>
            <w:r w:rsidRPr="00174BB1">
              <w:rPr>
                <w:color w:val="000000"/>
              </w:rPr>
              <w:t xml:space="preserve"> The notion of a crisis of language is a fundamental aspect of modernism and the avant-garde at large, in particular with relation to literary production and philosophical thought, though it is often discussed in the context of Viennese modernism. Here, the key thinkers, aside from Nietzsche, are the philosopher Fritz Mauthner, the writers Hugo von Hofmannsthal and Karl Kraus, and the philosopher Ludwig Wittgenstein and, later, the logical positivists of the Vienna Circle.</w:t>
            </w:r>
          </w:p>
        </w:tc>
      </w:tr>
      <w:tr w:rsidR="003F0D73" w:rsidRPr="00837FE7" w:rsidTr="00837FE7">
        <w:tc>
          <w:tcPr>
            <w:tcW w:w="9016" w:type="dxa"/>
            <w:shd w:val="clear" w:color="auto" w:fill="auto"/>
            <w:tcMar>
              <w:top w:w="113" w:type="dxa"/>
              <w:bottom w:w="113" w:type="dxa"/>
            </w:tcMar>
          </w:tcPr>
          <w:p w:rsidR="003F0D73" w:rsidRPr="00E06B87" w:rsidRDefault="00174BB1" w:rsidP="00837FE7">
            <w:pPr>
              <w:spacing w:after="0" w:line="240" w:lineRule="auto"/>
              <w:rPr>
                <w:color w:val="000000"/>
              </w:rPr>
            </w:pPr>
            <w:r w:rsidRPr="00174BB1">
              <w:rPr>
                <w:color w:val="000000"/>
              </w:rPr>
              <w:t xml:space="preserve">The </w:t>
            </w:r>
            <w:r w:rsidRPr="00174BB1">
              <w:rPr>
                <w:i/>
                <w:color w:val="000000"/>
              </w:rPr>
              <w:t>Sprachkrise</w:t>
            </w:r>
            <w:r w:rsidRPr="00174BB1">
              <w:rPr>
                <w:color w:val="000000"/>
              </w:rPr>
              <w:t xml:space="preserve"> stemmed from the perceived incongruity between linguistic expression, conceptual thought, and the immediacy of lived experience. It was largely a </w:t>
            </w:r>
            <w:r w:rsidRPr="00174BB1">
              <w:rPr>
                <w:i/>
                <w:color w:val="000000"/>
              </w:rPr>
              <w:t>fin-de-si</w:t>
            </w:r>
            <w:r w:rsidRPr="00174BB1">
              <w:rPr>
                <w:i/>
                <w:color w:val="000000"/>
                <w:lang w:val="de-DE"/>
              </w:rPr>
              <w:t>ècle</w:t>
            </w:r>
            <w:r w:rsidRPr="00174BB1">
              <w:rPr>
                <w:color w:val="000000"/>
              </w:rPr>
              <w:t xml:space="preserve"> phenomenon, to which Nietzsche’s pointed question in an essay from 1873 gave early voice: </w:t>
            </w:r>
            <w:r w:rsidR="0027554E">
              <w:rPr>
                <w:color w:val="000000"/>
              </w:rPr>
              <w:t>‘</w:t>
            </w:r>
            <w:r w:rsidRPr="00174BB1">
              <w:rPr>
                <w:color w:val="000000"/>
              </w:rPr>
              <w:t>Is language the adequate expression of all realities?</w:t>
            </w:r>
            <w:r w:rsidR="0027554E">
              <w:rPr>
                <w:color w:val="000000"/>
              </w:rPr>
              <w:t>’</w:t>
            </w:r>
            <w:r w:rsidRPr="00174BB1">
              <w:rPr>
                <w:color w:val="000000"/>
              </w:rPr>
              <w:t xml:space="preserve"> The notion of a crisis of language is a fundamental aspect of modernism and the avant-garde at large, in particular with relation to literary production and philosophical thought, though it is often discussed in the context of Viennese modernism. Here, the key thinkers, aside from Nietzsche, are the philosopher Fritz Mauthner, the writers Hugo von Hofmannsthal and Karl Kraus, and the philosopher Ludwig Wittgenstein and, later, the logical positivists of the Vienna Circle.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B81977" w:rsidRPr="00B81977" w:rsidRDefault="00321FFD" w:rsidP="00B81977">
            <w:pPr>
              <w:spacing w:after="0" w:line="240" w:lineRule="auto"/>
              <w:rPr>
                <w:color w:val="000000"/>
              </w:rPr>
            </w:pPr>
            <w:r w:rsidRPr="00321FFD">
              <w:rPr>
                <w:noProof/>
                <w:color w:val="000000"/>
                <w:lang w:val="en-CA"/>
              </w:rPr>
              <w:t>(Hofmannsthal)</w:t>
            </w:r>
          </w:p>
          <w:p w:rsidR="00B81977" w:rsidRPr="00321FFD" w:rsidRDefault="00321FFD" w:rsidP="00B81977">
            <w:pPr>
              <w:spacing w:after="0" w:line="240" w:lineRule="auto"/>
              <w:rPr>
                <w:color w:val="000000"/>
                <w:lang w:val="de-DE"/>
              </w:rPr>
            </w:pPr>
            <w:r w:rsidRPr="00321FFD">
              <w:rPr>
                <w:noProof/>
                <w:color w:val="000000"/>
                <w:lang w:val="en-CA"/>
              </w:rPr>
              <w:t>(Mauthner)</w:t>
            </w:r>
          </w:p>
          <w:p w:rsidR="00B81977" w:rsidRPr="00B81977" w:rsidRDefault="00321FFD" w:rsidP="00B81977">
            <w:pPr>
              <w:spacing w:after="0" w:line="240" w:lineRule="auto"/>
              <w:rPr>
                <w:color w:val="000000"/>
              </w:rPr>
            </w:pPr>
            <w:bookmarkStart w:id="0" w:name="_GoBack"/>
            <w:bookmarkEnd w:id="0"/>
            <w:r w:rsidRPr="00321FFD">
              <w:rPr>
                <w:noProof/>
                <w:color w:val="000000"/>
                <w:lang w:val="en-CA"/>
              </w:rPr>
              <w:t>(Nietzsche)</w:t>
            </w:r>
          </w:p>
          <w:p w:rsidR="003235A7" w:rsidRPr="00E06B87" w:rsidRDefault="000F0C70" w:rsidP="00837FE7">
            <w:pPr>
              <w:spacing w:after="0" w:line="240" w:lineRule="auto"/>
              <w:rPr>
                <w:color w:val="000000"/>
              </w:rPr>
            </w:pPr>
            <w:r w:rsidRPr="000F0C70">
              <w:rPr>
                <w:noProof/>
                <w:color w:val="000000"/>
                <w:lang w:val="en-CA"/>
              </w:rPr>
              <w:t>(Wittgenstein)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2F0" w:rsidRDefault="00A462F0" w:rsidP="007A0D55">
      <w:pPr>
        <w:spacing w:after="0" w:line="240" w:lineRule="auto"/>
      </w:pPr>
      <w:r>
        <w:separator/>
      </w:r>
    </w:p>
  </w:endnote>
  <w:endnote w:type="continuationSeparator" w:id="0">
    <w:p w:rsidR="00A462F0" w:rsidRDefault="00A462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2F0" w:rsidRDefault="00A462F0" w:rsidP="007A0D55">
      <w:pPr>
        <w:spacing w:after="0" w:line="240" w:lineRule="auto"/>
      </w:pPr>
      <w:r>
        <w:separator/>
      </w:r>
    </w:p>
  </w:footnote>
  <w:footnote w:type="continuationSeparator" w:id="0">
    <w:p w:rsidR="00A462F0" w:rsidRDefault="00A462F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5375"/>
    <w:rsid w:val="00032559"/>
    <w:rsid w:val="00052040"/>
    <w:rsid w:val="000B25AE"/>
    <w:rsid w:val="000B55AB"/>
    <w:rsid w:val="000D24DC"/>
    <w:rsid w:val="000F0C70"/>
    <w:rsid w:val="00101B2E"/>
    <w:rsid w:val="00116FA0"/>
    <w:rsid w:val="0015114C"/>
    <w:rsid w:val="00174BB1"/>
    <w:rsid w:val="001A21F3"/>
    <w:rsid w:val="001A2537"/>
    <w:rsid w:val="001A6A06"/>
    <w:rsid w:val="00210C03"/>
    <w:rsid w:val="002162E2"/>
    <w:rsid w:val="00225C5A"/>
    <w:rsid w:val="00230B10"/>
    <w:rsid w:val="00234353"/>
    <w:rsid w:val="00244BB0"/>
    <w:rsid w:val="0027554E"/>
    <w:rsid w:val="002A0A0D"/>
    <w:rsid w:val="002B0B37"/>
    <w:rsid w:val="0030662D"/>
    <w:rsid w:val="00321FFD"/>
    <w:rsid w:val="003235A7"/>
    <w:rsid w:val="003677B6"/>
    <w:rsid w:val="003D3579"/>
    <w:rsid w:val="003E2795"/>
    <w:rsid w:val="003F0D73"/>
    <w:rsid w:val="00462DBE"/>
    <w:rsid w:val="00464699"/>
    <w:rsid w:val="00483379"/>
    <w:rsid w:val="00487BC5"/>
    <w:rsid w:val="00496888"/>
    <w:rsid w:val="004A7476"/>
    <w:rsid w:val="004E5896"/>
    <w:rsid w:val="004F537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462F0"/>
    <w:rsid w:val="00A76FD9"/>
    <w:rsid w:val="00AB436D"/>
    <w:rsid w:val="00AD2F24"/>
    <w:rsid w:val="00AD4844"/>
    <w:rsid w:val="00B219AE"/>
    <w:rsid w:val="00B33145"/>
    <w:rsid w:val="00B574C9"/>
    <w:rsid w:val="00B81977"/>
    <w:rsid w:val="00BC39C9"/>
    <w:rsid w:val="00BE5BF7"/>
    <w:rsid w:val="00BF40E1"/>
    <w:rsid w:val="00C27FAB"/>
    <w:rsid w:val="00C358D4"/>
    <w:rsid w:val="00C6296B"/>
    <w:rsid w:val="00CC586D"/>
    <w:rsid w:val="00CC7F5C"/>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45A0"/>
  <w15:chartTrackingRefBased/>
  <w15:docId w15:val="{82694005-47B0-4F07-A327-F655D934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83648">
      <w:bodyDiv w:val="1"/>
      <w:marLeft w:val="0"/>
      <w:marRight w:val="0"/>
      <w:marTop w:val="0"/>
      <w:marBottom w:val="0"/>
      <w:divBdr>
        <w:top w:val="none" w:sz="0" w:space="0" w:color="auto"/>
        <w:left w:val="none" w:sz="0" w:space="0" w:color="auto"/>
        <w:bottom w:val="none" w:sz="0" w:space="0" w:color="auto"/>
        <w:right w:val="none" w:sz="0" w:space="0" w:color="auto"/>
      </w:divBdr>
    </w:div>
    <w:div w:id="163589351">
      <w:bodyDiv w:val="1"/>
      <w:marLeft w:val="0"/>
      <w:marRight w:val="0"/>
      <w:marTop w:val="0"/>
      <w:marBottom w:val="0"/>
      <w:divBdr>
        <w:top w:val="none" w:sz="0" w:space="0" w:color="auto"/>
        <w:left w:val="none" w:sz="0" w:space="0" w:color="auto"/>
        <w:bottom w:val="none" w:sz="0" w:space="0" w:color="auto"/>
        <w:right w:val="none" w:sz="0" w:space="0" w:color="auto"/>
      </w:divBdr>
    </w:div>
    <w:div w:id="1061909161">
      <w:bodyDiv w:val="1"/>
      <w:marLeft w:val="0"/>
      <w:marRight w:val="0"/>
      <w:marTop w:val="0"/>
      <w:marBottom w:val="0"/>
      <w:divBdr>
        <w:top w:val="none" w:sz="0" w:space="0" w:color="auto"/>
        <w:left w:val="none" w:sz="0" w:space="0" w:color="auto"/>
        <w:bottom w:val="none" w:sz="0" w:space="0" w:color="auto"/>
        <w:right w:val="none" w:sz="0" w:space="0" w:color="auto"/>
      </w:divBdr>
    </w:div>
    <w:div w:id="13878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Wit01</b:Tag>
    <b:SourceType>Book</b:SourceType>
    <b:Guid>{92DA72CF-A4D7-45AA-B189-2427B7D71957}</b:Guid>
    <b:Author>
      <b:Author>
        <b:NameList>
          <b:Person>
            <b:Last>Wittgenstein</b:Last>
            <b:First>Ludwig</b:First>
          </b:Person>
        </b:NameList>
      </b:Author>
    </b:Author>
    <b:Title>Tractatus Logico-Philosophicus</b:Title>
    <b:Year>2001</b:Year>
    <b:City>New York</b:City>
    <b:Publisher>Routledge</b:Publisher>
    <b:RefOrder>2</b:RefOrder>
  </b:Source>
  <b:Source>
    <b:Tag>Mau02</b:Tag>
    <b:SourceType>Book</b:SourceType>
    <b:Guid>{04556B28-5D43-4A3E-8D42-FDA20B673929}</b:Guid>
    <b:Author>
      <b:Author>
        <b:NameList>
          <b:Person>
            <b:Last>Mauthner</b:Last>
            <b:First>Fritz</b:First>
          </b:Person>
        </b:NameList>
      </b:Author>
    </b:Author>
    <b:Title>Beiträge zu einer Kritik der Sprache</b:Title>
    <b:Year>1901-1902</b:Year>
    <b:City>Stuttgart</b:City>
    <b:Publisher>Cotta</b:Publisher>
    <b:NumberVolumes>III</b:NumberVolumes>
    <b:RefOrder>3</b:RefOrder>
  </b:Source>
  <b:Source>
    <b:Tag>Hof05</b:Tag>
    <b:SourceType>BookSection</b:SourceType>
    <b:Guid>{6B72343D-85EB-488E-A6F5-4CEBF4014F7E}</b:Guid>
    <b:Title>A Letter</b:Title>
    <b:Year>2005</b:Year>
    <b:City>New York</b:City>
    <b:Publisher>New York Review Books</b:Publisher>
    <b:Author>
      <b:Author>
        <b:NameList>
          <b:Person>
            <b:Last>Hofmannsthal</b:Last>
            <b:First>Hugo</b:First>
            <b:Middle>von</b:Middle>
          </b:Person>
        </b:NameList>
      </b:Author>
      <b:Translator>
        <b:NameList>
          <b:Person>
            <b:Last>Rotenberg</b:Last>
            <b:First>Joel</b:First>
          </b:Person>
        </b:NameList>
      </b:Translator>
    </b:Author>
    <b:BookTitle>The Lord Chandos Letter and Other Writings</b:BookTitle>
    <b:RefOrder>4</b:RefOrder>
  </b:Source>
  <b:Source>
    <b:Tag>Nie10</b:Tag>
    <b:SourceType>BookSection</b:SourceType>
    <b:Guid>{B5193D0A-B291-430D-A3A5-1D08B1BEC50A}</b:Guid>
    <b:Author>
      <b:Author>
        <b:NameList>
          <b:Person>
            <b:Last>Nietzsche</b:Last>
            <b:First>Friedrich</b:First>
          </b:Person>
        </b:NameList>
      </b:Author>
      <b:Editor>
        <b:NameList>
          <b:Person>
            <b:Last>Carman</b:Last>
            <b:First>Taylor</b:First>
          </b:Person>
        </b:NameList>
      </b:Editor>
      <b:Translator>
        <b:NameList>
          <b:Person>
            <b:Last>Carman</b:Last>
            <b:First>Taylor</b:First>
          </b:Person>
        </b:NameList>
      </b:Translator>
    </b:Author>
    <b:Title>On Truth and Lie in a Nonmoral Sense</b:Title>
    <b:BookTitle>On Truth and Untruth. Selected Writings</b:BookTitle>
    <b:Year>2010</b:Year>
    <b:City>New York</b:City>
    <b:Publisher>Harper Perennial</b:Publisher>
    <b:RefOrder>1</b:RefOrder>
  </b:Source>
</b:Sources>
</file>

<file path=customXml/itemProps1.xml><?xml version="1.0" encoding="utf-8"?>
<ds:datastoreItem xmlns:ds="http://schemas.openxmlformats.org/officeDocument/2006/customXml" ds:itemID="{43665115-0411-4E57-A09C-D9E87DB1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2016-06-30T19:07:00Z</dcterms:created>
  <dcterms:modified xsi:type="dcterms:W3CDTF">2016-06-30T19:14:00Z</dcterms:modified>
</cp:coreProperties>
</file>