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D3BE7BC12851418BD27B65042F60F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C781547E12684EA35A0C66BEC88134"/>
            </w:placeholder>
            <w:text/>
          </w:sdtPr>
          <w:sdtEndPr/>
          <w:sdtContent>
            <w:tc>
              <w:tcPr>
                <w:tcW w:w="2073" w:type="dxa"/>
              </w:tcPr>
              <w:p w:rsidR="00B574C9" w:rsidRDefault="00F843AD" w:rsidP="00F843AD">
                <w:r>
                  <w:t>Maria</w:t>
                </w:r>
              </w:p>
            </w:tc>
          </w:sdtContent>
        </w:sdt>
        <w:sdt>
          <w:sdtPr>
            <w:alias w:val="Middle name"/>
            <w:tag w:val="authorMiddleName"/>
            <w:id w:val="-2076034781"/>
            <w:placeholder>
              <w:docPart w:val="953AB15586BAFD4084CC95ED86D93DC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5767F439F158A4BBEC5901E15539438"/>
            </w:placeholder>
            <w:text/>
          </w:sdtPr>
          <w:sdtEndPr/>
          <w:sdtContent>
            <w:tc>
              <w:tcPr>
                <w:tcW w:w="2642" w:type="dxa"/>
              </w:tcPr>
              <w:p w:rsidR="00B574C9" w:rsidRDefault="00F843AD" w:rsidP="00F843AD">
                <w:proofErr w:type="spellStart"/>
                <w:r>
                  <w:t>Ionita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6038487FAEC6A48BA0831E11BBC783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CACFFB95946CD499F3AFFA65221FAD0"/>
            </w:placeholder>
            <w:text/>
          </w:sdtPr>
          <w:sdtEndPr/>
          <w:sdtContent>
            <w:tc>
              <w:tcPr>
                <w:tcW w:w="8525" w:type="dxa"/>
                <w:gridSpan w:val="4"/>
              </w:tcPr>
              <w:p w:rsidR="00B574C9" w:rsidRDefault="00F843AD" w:rsidP="00F843AD">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b/>
            </w:rPr>
            <w:alias w:val="Article headword"/>
            <w:tag w:val="articleHeadword"/>
            <w:id w:val="-361440020"/>
            <w:placeholder>
              <w:docPart w:val="DB510BD24D4F014499B104FFF46C5280"/>
            </w:placeholder>
            <w:text/>
          </w:sdtPr>
          <w:sdtContent>
            <w:tc>
              <w:tcPr>
                <w:tcW w:w="9016" w:type="dxa"/>
                <w:tcMar>
                  <w:top w:w="113" w:type="dxa"/>
                  <w:bottom w:w="113" w:type="dxa"/>
                </w:tcMar>
              </w:tcPr>
              <w:p w:rsidR="003F0D73" w:rsidRPr="00FB589A" w:rsidRDefault="00F843AD" w:rsidP="003F0D73">
                <w:pPr>
                  <w:rPr>
                    <w:b/>
                  </w:rPr>
                </w:pPr>
                <w:proofErr w:type="spellStart"/>
                <w:r w:rsidRPr="00F843AD">
                  <w:rPr>
                    <w:rFonts w:ascii="Calibri" w:eastAsiaTheme="minorEastAsia" w:hAnsi="Calibri" w:cs="Times New Roman"/>
                    <w:lang w:val="en-CA" w:eastAsia="ja-JP"/>
                  </w:rPr>
                  <w:t>Wajda</w:t>
                </w:r>
                <w:proofErr w:type="spellEnd"/>
                <w:r w:rsidRPr="00F843AD">
                  <w:rPr>
                    <w:rFonts w:ascii="Calibri" w:eastAsiaTheme="minorEastAsia" w:hAnsi="Calibri" w:cs="Times New Roman"/>
                    <w:lang w:val="en-CA" w:eastAsia="ja-JP"/>
                  </w:rPr>
                  <w:t xml:space="preserve">, </w:t>
                </w:r>
                <w:proofErr w:type="spellStart"/>
                <w:r w:rsidRPr="00F843AD">
                  <w:rPr>
                    <w:rFonts w:ascii="Calibri" w:eastAsiaTheme="minorEastAsia" w:hAnsi="Calibri" w:cs="Times New Roman"/>
                    <w:lang w:val="en-CA" w:eastAsia="ja-JP"/>
                  </w:rPr>
                  <w:t>Andrzej</w:t>
                </w:r>
                <w:proofErr w:type="spellEnd"/>
                <w:r w:rsidRPr="00F843AD">
                  <w:rPr>
                    <w:rFonts w:ascii="Calibri" w:eastAsiaTheme="minorEastAsia" w:hAnsi="Calibri" w:cs="Times New Roman"/>
                    <w:lang w:val="en-CA" w:eastAsia="ja-JP"/>
                  </w:rPr>
                  <w:t xml:space="preserve"> (1926--)</w:t>
                </w:r>
              </w:p>
            </w:tc>
          </w:sdtContent>
        </w:sdt>
      </w:tr>
      <w:tr w:rsidR="00464699" w:rsidTr="007821B0">
        <w:sdt>
          <w:sdtPr>
            <w:alias w:val="Variant headwords"/>
            <w:tag w:val="variantHeadwords"/>
            <w:id w:val="173464402"/>
            <w:placeholder>
              <w:docPart w:val="CD424BC91649514E90CF623EA117EF7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B75482E79B8BB43975AAAFD75DB9310"/>
            </w:placeholder>
          </w:sdtPr>
          <w:sdtEndPr>
            <w:rPr>
              <w:rFonts w:asciiTheme="minorHAnsi" w:eastAsiaTheme="minorHAnsi" w:hAnsiTheme="minorHAnsi" w:cstheme="minorBidi"/>
              <w:color w:val="auto"/>
              <w:lang w:val="en-GB"/>
            </w:rPr>
          </w:sdtEndPr>
          <w:sdtContent>
            <w:tc>
              <w:tcPr>
                <w:tcW w:w="9016" w:type="dxa"/>
                <w:tcMar>
                  <w:top w:w="113" w:type="dxa"/>
                  <w:bottom w:w="113" w:type="dxa"/>
                </w:tcMar>
              </w:tcPr>
              <w:p w:rsidR="00F843AD" w:rsidRPr="00F843AD" w:rsidRDefault="00F843AD" w:rsidP="00F843AD">
                <w:pPr>
                  <w:pStyle w:val="Body"/>
                  <w:rPr>
                    <w:rFonts w:ascii="Calibri" w:hAnsi="Calibri" w:cs="Times New Roman"/>
                  </w:rPr>
                </w:pPr>
                <w:proofErr w:type="spellStart"/>
                <w:r w:rsidRPr="00F843AD">
                  <w:rPr>
                    <w:rFonts w:ascii="Calibri" w:hAnsi="Calibri" w:cs="Times New Roman"/>
                  </w:rPr>
                  <w:t>Andrezj</w:t>
                </w:r>
                <w:proofErr w:type="spellEnd"/>
                <w:r w:rsidRPr="00F843AD">
                  <w:rPr>
                    <w:rFonts w:ascii="Calibri" w:hAnsi="Calibri" w:cs="Times New Roman"/>
                  </w:rPr>
                  <w:t xml:space="preserve"> </w:t>
                </w:r>
                <w:proofErr w:type="spellStart"/>
                <w:r w:rsidRPr="00F843AD">
                  <w:rPr>
                    <w:rFonts w:ascii="Calibri" w:hAnsi="Calibri" w:cs="Times New Roman"/>
                  </w:rPr>
                  <w:t>Wajda</w:t>
                </w:r>
                <w:proofErr w:type="spellEnd"/>
                <w:r w:rsidRPr="00F843AD">
                  <w:rPr>
                    <w:rFonts w:ascii="Calibri" w:hAnsi="Calibri" w:cs="Times New Roman"/>
                  </w:rPr>
                  <w:t xml:space="preserve"> is a Polish film and theatre director, best known for his politically engaged films exploring Polish history, and his collaboration with the actor </w:t>
                </w:r>
                <w:proofErr w:type="spellStart"/>
                <w:r w:rsidRPr="00F843AD">
                  <w:rPr>
                    <w:rFonts w:ascii="Calibri" w:hAnsi="Calibri" w:cs="Times New Roman"/>
                  </w:rPr>
                  <w:t>Zbigniew</w:t>
                </w:r>
                <w:proofErr w:type="spellEnd"/>
                <w:r w:rsidRPr="00F843AD">
                  <w:rPr>
                    <w:rFonts w:ascii="Calibri" w:hAnsi="Calibri" w:cs="Times New Roman"/>
                  </w:rPr>
                  <w:t xml:space="preserve"> </w:t>
                </w:r>
                <w:proofErr w:type="spellStart"/>
                <w:r w:rsidRPr="00F843AD">
                  <w:rPr>
                    <w:rFonts w:ascii="Calibri" w:hAnsi="Calibri" w:cs="Times New Roman"/>
                  </w:rPr>
                  <w:t>Cybulski</w:t>
                </w:r>
                <w:proofErr w:type="spellEnd"/>
                <w:r w:rsidRPr="00F843AD">
                  <w:rPr>
                    <w:rFonts w:ascii="Calibri" w:hAnsi="Calibri" w:cs="Times New Roman"/>
                  </w:rPr>
                  <w:t>.</w:t>
                </w:r>
              </w:p>
              <w:p w:rsidR="00F843AD" w:rsidRPr="00F843AD" w:rsidRDefault="00F843AD" w:rsidP="00F843AD">
                <w:pPr>
                  <w:pStyle w:val="Body"/>
                  <w:rPr>
                    <w:rFonts w:ascii="Calibri" w:hAnsi="Calibri" w:cs="Times New Roman"/>
                  </w:rPr>
                </w:pPr>
              </w:p>
              <w:p w:rsidR="00F843AD" w:rsidRPr="00F843AD" w:rsidRDefault="00F843AD" w:rsidP="00F843AD">
                <w:pPr>
                  <w:pStyle w:val="Body"/>
                  <w:rPr>
                    <w:rFonts w:ascii="Calibri" w:hAnsi="Calibri" w:cs="Times New Roman"/>
                  </w:rPr>
                </w:pPr>
                <w:r w:rsidRPr="00F843AD">
                  <w:rPr>
                    <w:rFonts w:ascii="Calibri" w:hAnsi="Calibri" w:cs="Times New Roman"/>
                  </w:rPr>
                  <w:t xml:space="preserve">In 1940 </w:t>
                </w:r>
                <w:proofErr w:type="spellStart"/>
                <w:r w:rsidRPr="00F843AD">
                  <w:rPr>
                    <w:rFonts w:ascii="Calibri" w:hAnsi="Calibri" w:cs="Times New Roman"/>
                  </w:rPr>
                  <w:t>Wajda’s</w:t>
                </w:r>
                <w:proofErr w:type="spellEnd"/>
                <w:r w:rsidRPr="00F843AD">
                  <w:rPr>
                    <w:rFonts w:ascii="Calibri" w:hAnsi="Calibri" w:cs="Times New Roman"/>
                  </w:rPr>
                  <w:t xml:space="preserve"> father was killed by the Soviets in the </w:t>
                </w:r>
                <w:proofErr w:type="spellStart"/>
                <w:r w:rsidRPr="00F843AD">
                  <w:rPr>
                    <w:rFonts w:ascii="Calibri" w:hAnsi="Calibri" w:cs="Times New Roman"/>
                  </w:rPr>
                  <w:t>Katyn</w:t>
                </w:r>
                <w:proofErr w:type="spellEnd"/>
                <w:r w:rsidRPr="00F843AD">
                  <w:rPr>
                    <w:rFonts w:ascii="Calibri" w:hAnsi="Calibri" w:cs="Times New Roman"/>
                  </w:rPr>
                  <w:t xml:space="preserve"> Forest massacre. In 1942, he joined the Polish Resistance, fighting in the Army of the Interior, which had ties to the Polish government in exile in London, rather than to the Soviet Union. He would later translate some of his wartime experiences in his highly acclaimed film trilogy, </w:t>
                </w:r>
                <w:r w:rsidRPr="00F843AD">
                  <w:rPr>
                    <w:rFonts w:ascii="Calibri" w:hAnsi="Calibri" w:cs="Times New Roman"/>
                    <w:i/>
                    <w:iCs/>
                  </w:rPr>
                  <w:t xml:space="preserve">A Generation </w:t>
                </w:r>
                <w:r w:rsidRPr="00F843AD">
                  <w:rPr>
                    <w:rFonts w:ascii="Calibri" w:hAnsi="Calibri" w:cs="Times New Roman"/>
                  </w:rPr>
                  <w:t xml:space="preserve">(1955), </w:t>
                </w:r>
                <w:proofErr w:type="spellStart"/>
                <w:r w:rsidRPr="00F843AD">
                  <w:rPr>
                    <w:rFonts w:ascii="Calibri" w:hAnsi="Calibri" w:cs="Times New Roman"/>
                    <w:i/>
                    <w:iCs/>
                  </w:rPr>
                  <w:t>Kanał</w:t>
                </w:r>
                <w:proofErr w:type="spellEnd"/>
                <w:r w:rsidRPr="00F843AD">
                  <w:rPr>
                    <w:rFonts w:ascii="Calibri" w:hAnsi="Calibri" w:cs="Times New Roman"/>
                  </w:rPr>
                  <w:t xml:space="preserve"> (1957) and </w:t>
                </w:r>
                <w:r w:rsidRPr="00F843AD">
                  <w:rPr>
                    <w:rFonts w:ascii="Calibri" w:hAnsi="Calibri" w:cs="Times New Roman"/>
                    <w:i/>
                    <w:iCs/>
                  </w:rPr>
                  <w:t xml:space="preserve">Ashes and Diamonds </w:t>
                </w:r>
                <w:r w:rsidRPr="00F843AD">
                  <w:rPr>
                    <w:rFonts w:ascii="Calibri" w:hAnsi="Calibri" w:cs="Times New Roman"/>
                  </w:rPr>
                  <w:t>(1958).</w:t>
                </w:r>
              </w:p>
              <w:p w:rsidR="00F843AD" w:rsidRPr="00F843AD" w:rsidRDefault="00F843AD" w:rsidP="00F843AD">
                <w:pPr>
                  <w:pStyle w:val="Body"/>
                  <w:rPr>
                    <w:rFonts w:ascii="Calibri" w:eastAsia="Georgia" w:hAnsi="Calibri" w:cs="Times New Roman"/>
                  </w:rPr>
                </w:pPr>
              </w:p>
              <w:p w:rsidR="00E85A05" w:rsidRDefault="00F843AD" w:rsidP="00F843AD">
                <w:r w:rsidRPr="00F843AD">
                  <w:rPr>
                    <w:rFonts w:ascii="Calibri" w:hAnsi="Calibri" w:cs="Times New Roman"/>
                  </w:rPr>
                  <w:t xml:space="preserve">The heroes of these movies are young and desperate: in </w:t>
                </w:r>
                <w:r w:rsidRPr="00F843AD">
                  <w:rPr>
                    <w:rFonts w:ascii="Calibri" w:hAnsi="Calibri" w:cs="Times New Roman"/>
                    <w:i/>
                    <w:iCs/>
                  </w:rPr>
                  <w:t>A Generation</w:t>
                </w:r>
                <w:r w:rsidRPr="00F843AD">
                  <w:rPr>
                    <w:rFonts w:ascii="Calibri" w:hAnsi="Calibri" w:cs="Times New Roman"/>
                  </w:rPr>
                  <w:t xml:space="preserve"> they are Communist partisans. In </w:t>
                </w:r>
                <w:proofErr w:type="spellStart"/>
                <w:r w:rsidRPr="00F843AD">
                  <w:rPr>
                    <w:rFonts w:ascii="Calibri" w:hAnsi="Calibri" w:cs="Times New Roman"/>
                    <w:i/>
                    <w:iCs/>
                  </w:rPr>
                  <w:t>Kanał</w:t>
                </w:r>
                <w:proofErr w:type="spellEnd"/>
                <w:r w:rsidRPr="00F843AD">
                  <w:rPr>
                    <w:rFonts w:ascii="Calibri" w:hAnsi="Calibri" w:cs="Times New Roman"/>
                  </w:rPr>
                  <w:t xml:space="preserve"> they are Jewish fighters during the bloody Warsaw Ghetto uprising. The intensity and passion of their struggle stands in stark contrast to the historical hell they are traversing (</w:t>
                </w:r>
                <w:proofErr w:type="spellStart"/>
                <w:r w:rsidRPr="00F843AD">
                  <w:rPr>
                    <w:rFonts w:ascii="Calibri" w:hAnsi="Calibri" w:cs="Times New Roman"/>
                    <w:i/>
                    <w:iCs/>
                  </w:rPr>
                  <w:t>Kanał</w:t>
                </w:r>
                <w:r w:rsidRPr="00F843AD">
                  <w:rPr>
                    <w:rFonts w:ascii="Calibri" w:hAnsi="Calibri" w:cs="Times New Roman"/>
                  </w:rPr>
                  <w:t>’s</w:t>
                </w:r>
                <w:proofErr w:type="spellEnd"/>
                <w:r w:rsidRPr="00F843AD">
                  <w:rPr>
                    <w:rFonts w:ascii="Calibri" w:hAnsi="Calibri" w:cs="Times New Roman"/>
                  </w:rPr>
                  <w:t xml:space="preserve"> descent into the Warsaw sewers is shot to resemble a </w:t>
                </w:r>
                <w:proofErr w:type="spellStart"/>
                <w:r w:rsidRPr="00F843AD">
                  <w:rPr>
                    <w:rFonts w:ascii="Calibri" w:hAnsi="Calibri" w:cs="Times New Roman"/>
                  </w:rPr>
                  <w:t>Dantean</w:t>
                </w:r>
                <w:proofErr w:type="spellEnd"/>
                <w:r w:rsidRPr="00F843AD">
                  <w:rPr>
                    <w:rFonts w:ascii="Calibri" w:hAnsi="Calibri" w:cs="Times New Roman"/>
                  </w:rPr>
                  <w:t xml:space="preserve"> Inferno). Nowhere is this more evident than in the masterful </w:t>
                </w:r>
                <w:r w:rsidRPr="00F843AD">
                  <w:rPr>
                    <w:rFonts w:ascii="Calibri" w:hAnsi="Calibri" w:cs="Times New Roman"/>
                    <w:i/>
                    <w:iCs/>
                  </w:rPr>
                  <w:t>Ashes and Diamonds</w:t>
                </w:r>
                <w:r w:rsidRPr="00F843AD">
                  <w:rPr>
                    <w:rFonts w:ascii="Calibri" w:hAnsi="Calibri" w:cs="Times New Roman"/>
                  </w:rPr>
                  <w:t>, which takes place in the immediate aftermath of the war and details a minor episode in the murky struggle for power between the Communist partisans and the Army of the Interior.</w:t>
                </w:r>
              </w:p>
            </w:tc>
          </w:sdtContent>
        </w:sdt>
      </w:tr>
      <w:tr w:rsidR="003F0D73" w:rsidTr="003F0D73">
        <w:sdt>
          <w:sdtPr>
            <w:alias w:val="Article text"/>
            <w:tag w:val="articleText"/>
            <w:id w:val="634067588"/>
            <w:placeholder>
              <w:docPart w:val="6BC54C0D4E0AC5429334D8EF14D1FCCA"/>
            </w:placeholder>
          </w:sdtPr>
          <w:sdtEndPr/>
          <w:sdtContent>
            <w:tc>
              <w:tcPr>
                <w:tcW w:w="9016" w:type="dxa"/>
                <w:tcMar>
                  <w:top w:w="113" w:type="dxa"/>
                  <w:bottom w:w="113" w:type="dxa"/>
                </w:tcMar>
              </w:tcPr>
              <w:p w:rsidR="00F843AD" w:rsidRPr="00F843AD" w:rsidRDefault="00F843AD" w:rsidP="00F843AD">
                <w:pPr>
                  <w:pStyle w:val="Body"/>
                  <w:rPr>
                    <w:rFonts w:ascii="Calibri" w:hAnsi="Calibri" w:cs="Times New Roman"/>
                  </w:rPr>
                </w:pPr>
                <w:proofErr w:type="spellStart"/>
                <w:r w:rsidRPr="00F843AD">
                  <w:rPr>
                    <w:rFonts w:ascii="Calibri" w:hAnsi="Calibri" w:cs="Times New Roman"/>
                  </w:rPr>
                  <w:t>Andrezj</w:t>
                </w:r>
                <w:proofErr w:type="spellEnd"/>
                <w:r w:rsidRPr="00F843AD">
                  <w:rPr>
                    <w:rFonts w:ascii="Calibri" w:hAnsi="Calibri" w:cs="Times New Roman"/>
                  </w:rPr>
                  <w:t xml:space="preserve"> </w:t>
                </w:r>
                <w:proofErr w:type="spellStart"/>
                <w:r w:rsidRPr="00F843AD">
                  <w:rPr>
                    <w:rFonts w:ascii="Calibri" w:hAnsi="Calibri" w:cs="Times New Roman"/>
                  </w:rPr>
                  <w:t>Wajda</w:t>
                </w:r>
                <w:proofErr w:type="spellEnd"/>
                <w:r w:rsidRPr="00F843AD">
                  <w:rPr>
                    <w:rFonts w:ascii="Calibri" w:hAnsi="Calibri" w:cs="Times New Roman"/>
                  </w:rPr>
                  <w:t xml:space="preserve"> is a Polish film and theatre director, best known for his politically engaged films exploring Polish history, and his collaboration with the actor </w:t>
                </w:r>
                <w:proofErr w:type="spellStart"/>
                <w:r w:rsidRPr="00F843AD">
                  <w:rPr>
                    <w:rFonts w:ascii="Calibri" w:hAnsi="Calibri" w:cs="Times New Roman"/>
                  </w:rPr>
                  <w:t>Zbigniew</w:t>
                </w:r>
                <w:proofErr w:type="spellEnd"/>
                <w:r w:rsidRPr="00F843AD">
                  <w:rPr>
                    <w:rFonts w:ascii="Calibri" w:hAnsi="Calibri" w:cs="Times New Roman"/>
                  </w:rPr>
                  <w:t xml:space="preserve"> </w:t>
                </w:r>
                <w:proofErr w:type="spellStart"/>
                <w:r w:rsidRPr="00F843AD">
                  <w:rPr>
                    <w:rFonts w:ascii="Calibri" w:hAnsi="Calibri" w:cs="Times New Roman"/>
                  </w:rPr>
                  <w:t>Cybulski</w:t>
                </w:r>
                <w:proofErr w:type="spellEnd"/>
                <w:r w:rsidRPr="00F843AD">
                  <w:rPr>
                    <w:rFonts w:ascii="Calibri" w:hAnsi="Calibri" w:cs="Times New Roman"/>
                  </w:rPr>
                  <w:t>.</w:t>
                </w:r>
              </w:p>
              <w:p w:rsidR="00F843AD" w:rsidRPr="00F843AD" w:rsidRDefault="00F843AD" w:rsidP="00F843AD">
                <w:pPr>
                  <w:pStyle w:val="Body"/>
                  <w:rPr>
                    <w:rFonts w:ascii="Calibri" w:hAnsi="Calibri" w:cs="Times New Roman"/>
                  </w:rPr>
                </w:pPr>
              </w:p>
              <w:p w:rsidR="00F843AD" w:rsidRPr="00F843AD" w:rsidRDefault="00F843AD" w:rsidP="00F843AD">
                <w:pPr>
                  <w:pStyle w:val="Body"/>
                  <w:rPr>
                    <w:rFonts w:ascii="Calibri" w:hAnsi="Calibri" w:cs="Times New Roman"/>
                  </w:rPr>
                </w:pPr>
                <w:r w:rsidRPr="00F843AD">
                  <w:rPr>
                    <w:rFonts w:ascii="Calibri" w:hAnsi="Calibri" w:cs="Times New Roman"/>
                  </w:rPr>
                  <w:t xml:space="preserve">In 1940 </w:t>
                </w:r>
                <w:proofErr w:type="spellStart"/>
                <w:r w:rsidRPr="00F843AD">
                  <w:rPr>
                    <w:rFonts w:ascii="Calibri" w:hAnsi="Calibri" w:cs="Times New Roman"/>
                  </w:rPr>
                  <w:t>Wajda’s</w:t>
                </w:r>
                <w:proofErr w:type="spellEnd"/>
                <w:r w:rsidRPr="00F843AD">
                  <w:rPr>
                    <w:rFonts w:ascii="Calibri" w:hAnsi="Calibri" w:cs="Times New Roman"/>
                  </w:rPr>
                  <w:t xml:space="preserve"> father was killed by the Soviets in the </w:t>
                </w:r>
                <w:proofErr w:type="spellStart"/>
                <w:r w:rsidRPr="00F843AD">
                  <w:rPr>
                    <w:rFonts w:ascii="Calibri" w:hAnsi="Calibri" w:cs="Times New Roman"/>
                  </w:rPr>
                  <w:t>Katyn</w:t>
                </w:r>
                <w:proofErr w:type="spellEnd"/>
                <w:r w:rsidRPr="00F843AD">
                  <w:rPr>
                    <w:rFonts w:ascii="Calibri" w:hAnsi="Calibri" w:cs="Times New Roman"/>
                  </w:rPr>
                  <w:t xml:space="preserve"> Forest massacre. In 1942, he joined the Polish Resistance, fighting in the Army of the Interior, which had ties to the Polish government in exile in London, rather than to the Soviet Union. He would later translate some of his wartime experiences in his highly acclaimed film trilogy, </w:t>
                </w:r>
                <w:r w:rsidRPr="00F843AD">
                  <w:rPr>
                    <w:rFonts w:ascii="Calibri" w:hAnsi="Calibri" w:cs="Times New Roman"/>
                    <w:i/>
                    <w:iCs/>
                  </w:rPr>
                  <w:t xml:space="preserve">A Generation </w:t>
                </w:r>
                <w:r w:rsidRPr="00F843AD">
                  <w:rPr>
                    <w:rFonts w:ascii="Calibri" w:hAnsi="Calibri" w:cs="Times New Roman"/>
                  </w:rPr>
                  <w:t xml:space="preserve">(1955), </w:t>
                </w:r>
                <w:proofErr w:type="spellStart"/>
                <w:r w:rsidRPr="00F843AD">
                  <w:rPr>
                    <w:rFonts w:ascii="Calibri" w:hAnsi="Calibri" w:cs="Times New Roman"/>
                    <w:i/>
                    <w:iCs/>
                  </w:rPr>
                  <w:t>Kanał</w:t>
                </w:r>
                <w:proofErr w:type="spellEnd"/>
                <w:r w:rsidRPr="00F843AD">
                  <w:rPr>
                    <w:rFonts w:ascii="Calibri" w:hAnsi="Calibri" w:cs="Times New Roman"/>
                  </w:rPr>
                  <w:t xml:space="preserve"> (1957) and </w:t>
                </w:r>
                <w:r w:rsidRPr="00F843AD">
                  <w:rPr>
                    <w:rFonts w:ascii="Calibri" w:hAnsi="Calibri" w:cs="Times New Roman"/>
                    <w:i/>
                    <w:iCs/>
                  </w:rPr>
                  <w:t xml:space="preserve">Ashes and Diamonds </w:t>
                </w:r>
                <w:r w:rsidRPr="00F843AD">
                  <w:rPr>
                    <w:rFonts w:ascii="Calibri" w:hAnsi="Calibri" w:cs="Times New Roman"/>
                  </w:rPr>
                  <w:t>(1958).</w:t>
                </w:r>
              </w:p>
              <w:p w:rsidR="00F843AD" w:rsidRPr="00F843AD" w:rsidRDefault="00F843AD" w:rsidP="00F843AD">
                <w:pPr>
                  <w:pStyle w:val="Body"/>
                  <w:rPr>
                    <w:rFonts w:ascii="Calibri" w:eastAsia="Georgia" w:hAnsi="Calibri" w:cs="Times New Roman"/>
                  </w:rPr>
                </w:pPr>
              </w:p>
              <w:p w:rsidR="00F843AD" w:rsidRDefault="00F843AD" w:rsidP="00F843AD">
                <w:pPr>
                  <w:pStyle w:val="Body"/>
                  <w:rPr>
                    <w:rFonts w:ascii="Calibri" w:hAnsi="Calibri" w:cs="Times New Roman"/>
                  </w:rPr>
                </w:pPr>
                <w:r w:rsidRPr="00F843AD">
                  <w:rPr>
                    <w:rFonts w:ascii="Calibri" w:hAnsi="Calibri" w:cs="Times New Roman"/>
                  </w:rPr>
                  <w:t xml:space="preserve">The heroes of these movies are young and desperate: in </w:t>
                </w:r>
                <w:r w:rsidRPr="00F843AD">
                  <w:rPr>
                    <w:rFonts w:ascii="Calibri" w:hAnsi="Calibri" w:cs="Times New Roman"/>
                    <w:i/>
                    <w:iCs/>
                  </w:rPr>
                  <w:t>A Generation</w:t>
                </w:r>
                <w:r w:rsidRPr="00F843AD">
                  <w:rPr>
                    <w:rFonts w:ascii="Calibri" w:hAnsi="Calibri" w:cs="Times New Roman"/>
                  </w:rPr>
                  <w:t xml:space="preserve"> they are Communist partisans. In </w:t>
                </w:r>
                <w:proofErr w:type="spellStart"/>
                <w:r w:rsidRPr="00F843AD">
                  <w:rPr>
                    <w:rFonts w:ascii="Calibri" w:hAnsi="Calibri" w:cs="Times New Roman"/>
                    <w:i/>
                    <w:iCs/>
                  </w:rPr>
                  <w:t>Kanał</w:t>
                </w:r>
                <w:proofErr w:type="spellEnd"/>
                <w:r w:rsidRPr="00F843AD">
                  <w:rPr>
                    <w:rFonts w:ascii="Calibri" w:hAnsi="Calibri" w:cs="Times New Roman"/>
                  </w:rPr>
                  <w:t xml:space="preserve"> they are Jewish fighters during the bloody Warsaw Ghetto uprising. The intensity and passion of their struggle stands in stark contrast to the historical hell they are traversing (</w:t>
                </w:r>
                <w:proofErr w:type="spellStart"/>
                <w:r w:rsidRPr="00F843AD">
                  <w:rPr>
                    <w:rFonts w:ascii="Calibri" w:hAnsi="Calibri" w:cs="Times New Roman"/>
                    <w:i/>
                    <w:iCs/>
                  </w:rPr>
                  <w:t>Kanał</w:t>
                </w:r>
                <w:r w:rsidRPr="00F843AD">
                  <w:rPr>
                    <w:rFonts w:ascii="Calibri" w:hAnsi="Calibri" w:cs="Times New Roman"/>
                  </w:rPr>
                  <w:t>’s</w:t>
                </w:r>
                <w:proofErr w:type="spellEnd"/>
                <w:r w:rsidRPr="00F843AD">
                  <w:rPr>
                    <w:rFonts w:ascii="Calibri" w:hAnsi="Calibri" w:cs="Times New Roman"/>
                  </w:rPr>
                  <w:t xml:space="preserve"> descent into the Warsaw sewers is shot to resemble a </w:t>
                </w:r>
                <w:proofErr w:type="spellStart"/>
                <w:r w:rsidRPr="00F843AD">
                  <w:rPr>
                    <w:rFonts w:ascii="Calibri" w:hAnsi="Calibri" w:cs="Times New Roman"/>
                  </w:rPr>
                  <w:t>Dantean</w:t>
                </w:r>
                <w:proofErr w:type="spellEnd"/>
                <w:r w:rsidRPr="00F843AD">
                  <w:rPr>
                    <w:rFonts w:ascii="Calibri" w:hAnsi="Calibri" w:cs="Times New Roman"/>
                  </w:rPr>
                  <w:t xml:space="preserve"> Inferno). Nowhere is this more evident than in the masterful </w:t>
                </w:r>
                <w:r w:rsidRPr="00F843AD">
                  <w:rPr>
                    <w:rFonts w:ascii="Calibri" w:hAnsi="Calibri" w:cs="Times New Roman"/>
                    <w:i/>
                    <w:iCs/>
                  </w:rPr>
                  <w:t>Ashes and Diamonds</w:t>
                </w:r>
                <w:r w:rsidRPr="00F843AD">
                  <w:rPr>
                    <w:rFonts w:ascii="Calibri" w:hAnsi="Calibri" w:cs="Times New Roman"/>
                  </w:rPr>
                  <w:t xml:space="preserve">, which takes place in the immediate aftermath of the war and details a minor episode in the murky struggle for power between the Communist partisans and the Army of the Interior. The protagonist, </w:t>
                </w:r>
                <w:proofErr w:type="spellStart"/>
                <w:r w:rsidRPr="00F843AD">
                  <w:rPr>
                    <w:rFonts w:ascii="Calibri" w:hAnsi="Calibri" w:cs="Times New Roman"/>
                  </w:rPr>
                  <w:t>Maciek</w:t>
                </w:r>
                <w:proofErr w:type="spellEnd"/>
                <w:r w:rsidRPr="00F843AD">
                  <w:rPr>
                    <w:rFonts w:ascii="Calibri" w:hAnsi="Calibri" w:cs="Times New Roman"/>
                  </w:rPr>
                  <w:t xml:space="preserve"> (played by the magnetic </w:t>
                </w:r>
                <w:proofErr w:type="spellStart"/>
                <w:r w:rsidRPr="00F843AD">
                  <w:rPr>
                    <w:rFonts w:ascii="Calibri" w:hAnsi="Calibri" w:cs="Times New Roman"/>
                  </w:rPr>
                  <w:t>Zbigniew</w:t>
                </w:r>
                <w:proofErr w:type="spellEnd"/>
                <w:r w:rsidRPr="00F843AD">
                  <w:rPr>
                    <w:rFonts w:ascii="Calibri" w:hAnsi="Calibri" w:cs="Times New Roman"/>
                  </w:rPr>
                  <w:t xml:space="preserve"> </w:t>
                </w:r>
                <w:proofErr w:type="spellStart"/>
                <w:r w:rsidRPr="00F843AD">
                  <w:rPr>
                    <w:rFonts w:ascii="Calibri" w:hAnsi="Calibri" w:cs="Times New Roman"/>
                  </w:rPr>
                  <w:t>Cybulski</w:t>
                </w:r>
                <w:proofErr w:type="spellEnd"/>
                <w:r w:rsidRPr="00F843AD">
                  <w:rPr>
                    <w:rFonts w:ascii="Calibri" w:hAnsi="Calibri" w:cs="Times New Roman"/>
                  </w:rPr>
                  <w:t xml:space="preserve">, who, until his tragic death in 1967, was one of </w:t>
                </w:r>
                <w:proofErr w:type="spellStart"/>
                <w:r w:rsidRPr="00F843AD">
                  <w:rPr>
                    <w:rFonts w:ascii="Calibri" w:hAnsi="Calibri" w:cs="Times New Roman"/>
                  </w:rPr>
                  <w:t>Wajda’s</w:t>
                </w:r>
                <w:proofErr w:type="spellEnd"/>
                <w:r w:rsidRPr="00F843AD">
                  <w:rPr>
                    <w:rFonts w:ascii="Calibri" w:hAnsi="Calibri" w:cs="Times New Roman"/>
                  </w:rPr>
                  <w:t xml:space="preserve"> </w:t>
                </w:r>
                <w:proofErr w:type="spellStart"/>
                <w:r w:rsidRPr="00F843AD">
                  <w:rPr>
                    <w:rFonts w:ascii="Calibri" w:hAnsi="Calibri" w:cs="Times New Roman"/>
                  </w:rPr>
                  <w:t>favourite</w:t>
                </w:r>
                <w:proofErr w:type="spellEnd"/>
                <w:r w:rsidRPr="00F843AD">
                  <w:rPr>
                    <w:rFonts w:ascii="Calibri" w:hAnsi="Calibri" w:cs="Times New Roman"/>
                  </w:rPr>
                  <w:t xml:space="preserve"> collaborators) is ordered to murder a Communist official, accidentally kills two </w:t>
                </w:r>
                <w:r w:rsidRPr="00F843AD">
                  <w:rPr>
                    <w:rFonts w:ascii="Calibri" w:hAnsi="Calibri" w:cs="Times New Roman"/>
                  </w:rPr>
                  <w:lastRenderedPageBreak/>
                  <w:t xml:space="preserve">innocents, and then succeeds in his mission, but only to be senselessly gunned down while around him everyone celebrates the end of the war. As with the rest of the trilogy, </w:t>
                </w:r>
                <w:proofErr w:type="spellStart"/>
                <w:r w:rsidRPr="00F843AD">
                  <w:rPr>
                    <w:rFonts w:ascii="Calibri" w:hAnsi="Calibri" w:cs="Times New Roman"/>
                  </w:rPr>
                  <w:t>Wajda</w:t>
                </w:r>
                <w:proofErr w:type="spellEnd"/>
                <w:r w:rsidRPr="00F843AD">
                  <w:rPr>
                    <w:rFonts w:ascii="Calibri" w:hAnsi="Calibri" w:cs="Times New Roman"/>
                  </w:rPr>
                  <w:t xml:space="preserve"> shoots everything with a detached realism that observes, seemingly without judging, the absurd cruelty of history.</w:t>
                </w:r>
              </w:p>
              <w:p w:rsidR="00F843AD" w:rsidRPr="00F843AD" w:rsidRDefault="00F843AD" w:rsidP="00F843AD">
                <w:pPr>
                  <w:pStyle w:val="Body"/>
                  <w:rPr>
                    <w:rFonts w:ascii="Calibri" w:eastAsia="Georgia" w:hAnsi="Calibri" w:cs="Times New Roman"/>
                  </w:rPr>
                </w:pPr>
              </w:p>
              <w:p w:rsidR="00F843AD" w:rsidRPr="00F843AD" w:rsidRDefault="00F843AD" w:rsidP="00F843AD">
                <w:pPr>
                  <w:pStyle w:val="Body"/>
                  <w:rPr>
                    <w:rFonts w:ascii="Calibri" w:hAnsi="Calibri" w:cs="Times New Roman"/>
                  </w:rPr>
                </w:pPr>
                <w:r w:rsidRPr="00F843AD">
                  <w:rPr>
                    <w:rFonts w:ascii="Calibri" w:hAnsi="Calibri" w:cs="Times New Roman"/>
                  </w:rPr>
                  <w:t xml:space="preserve">Nonetheless, there is an unmistakable element of political subversion embedded in this realism. Both </w:t>
                </w:r>
                <w:proofErr w:type="spellStart"/>
                <w:r w:rsidRPr="00F843AD">
                  <w:rPr>
                    <w:rFonts w:ascii="Calibri" w:hAnsi="Calibri" w:cs="Times New Roman"/>
                    <w:i/>
                    <w:iCs/>
                  </w:rPr>
                  <w:t>Kanał</w:t>
                </w:r>
                <w:proofErr w:type="spellEnd"/>
                <w:r w:rsidRPr="00F843AD">
                  <w:rPr>
                    <w:rFonts w:ascii="Calibri" w:hAnsi="Calibri" w:cs="Times New Roman"/>
                  </w:rPr>
                  <w:t xml:space="preserve"> and </w:t>
                </w:r>
                <w:r w:rsidRPr="00F843AD">
                  <w:rPr>
                    <w:rFonts w:ascii="Calibri" w:hAnsi="Calibri" w:cs="Times New Roman"/>
                    <w:i/>
                    <w:iCs/>
                  </w:rPr>
                  <w:t>Ashes and Diamonds</w:t>
                </w:r>
                <w:r w:rsidRPr="00F843AD">
                  <w:rPr>
                    <w:rFonts w:ascii="Calibri" w:hAnsi="Calibri" w:cs="Times New Roman"/>
                  </w:rPr>
                  <w:t xml:space="preserve"> were made shortly after the death of Stalin, during a tentative thawing of the political and cultural climate behind the Iron Curtain. </w:t>
                </w:r>
                <w:proofErr w:type="spellStart"/>
                <w:r w:rsidRPr="00F843AD">
                  <w:rPr>
                    <w:rFonts w:ascii="Calibri" w:hAnsi="Calibri" w:cs="Times New Roman"/>
                    <w:i/>
                    <w:iCs/>
                  </w:rPr>
                  <w:t>Kanał</w:t>
                </w:r>
                <w:r w:rsidRPr="00F843AD">
                  <w:rPr>
                    <w:rFonts w:ascii="Calibri" w:hAnsi="Calibri" w:cs="Times New Roman"/>
                  </w:rPr>
                  <w:t>’s</w:t>
                </w:r>
                <w:proofErr w:type="spellEnd"/>
                <w:r w:rsidRPr="00F843AD">
                  <w:rPr>
                    <w:rFonts w:ascii="Calibri" w:hAnsi="Calibri" w:cs="Times New Roman"/>
                  </w:rPr>
                  <w:t xml:space="preserve"> implicit suggestion is that the protagonists’ tragic deaths are the result of the Red Army’s refusal to help their struggle. </w:t>
                </w:r>
                <w:r w:rsidRPr="00F843AD">
                  <w:rPr>
                    <w:rFonts w:ascii="Calibri" w:hAnsi="Calibri" w:cs="Times New Roman"/>
                    <w:i/>
                    <w:iCs/>
                  </w:rPr>
                  <w:t>Ashes and Diamonds</w:t>
                </w:r>
                <w:r w:rsidRPr="00F843AD">
                  <w:rPr>
                    <w:rFonts w:ascii="Calibri" w:hAnsi="Calibri" w:cs="Times New Roman"/>
                  </w:rPr>
                  <w:t xml:space="preserve">’ official critique pointed out its refusal to lionize its Communist protagonists or paint </w:t>
                </w:r>
                <w:proofErr w:type="spellStart"/>
                <w:r w:rsidRPr="00F843AD">
                  <w:rPr>
                    <w:rFonts w:ascii="Calibri" w:hAnsi="Calibri" w:cs="Times New Roman"/>
                  </w:rPr>
                  <w:t>Maciek</w:t>
                </w:r>
                <w:proofErr w:type="spellEnd"/>
                <w:r w:rsidRPr="00F843AD">
                  <w:rPr>
                    <w:rFonts w:ascii="Calibri" w:hAnsi="Calibri" w:cs="Times New Roman"/>
                  </w:rPr>
                  <w:t xml:space="preserve"> and his friends as reactionaries: everybody is, instead, a victim of the turbulent, oppressive forces that would rip Poland apart so frequently during the 20</w:t>
                </w:r>
                <w:r w:rsidRPr="00F843AD">
                  <w:rPr>
                    <w:rFonts w:ascii="Calibri" w:hAnsi="Calibri" w:cs="Times New Roman"/>
                    <w:vertAlign w:val="superscript"/>
                  </w:rPr>
                  <w:t>th</w:t>
                </w:r>
                <w:r w:rsidRPr="00F843AD">
                  <w:rPr>
                    <w:rFonts w:ascii="Calibri" w:hAnsi="Calibri" w:cs="Times New Roman"/>
                  </w:rPr>
                  <w:t xml:space="preserve"> century.</w:t>
                </w:r>
              </w:p>
              <w:p w:rsidR="00F843AD" w:rsidRPr="00F843AD" w:rsidRDefault="00F843AD" w:rsidP="00F843AD">
                <w:pPr>
                  <w:pStyle w:val="Body"/>
                  <w:rPr>
                    <w:rFonts w:ascii="Calibri" w:eastAsia="Georgia" w:hAnsi="Calibri" w:cs="Times New Roman"/>
                  </w:rPr>
                </w:pPr>
              </w:p>
              <w:p w:rsidR="00F843AD" w:rsidRPr="00F843AD" w:rsidRDefault="00F843AD" w:rsidP="00F843AD">
                <w:pPr>
                  <w:pStyle w:val="Body"/>
                  <w:rPr>
                    <w:rFonts w:ascii="Calibri" w:hAnsi="Calibri" w:cs="Times New Roman"/>
                  </w:rPr>
                </w:pPr>
                <w:proofErr w:type="spellStart"/>
                <w:r w:rsidRPr="00F843AD">
                  <w:rPr>
                    <w:rFonts w:ascii="Calibri" w:hAnsi="Calibri" w:cs="Times New Roman"/>
                  </w:rPr>
                  <w:t>Wajda’s</w:t>
                </w:r>
                <w:proofErr w:type="spellEnd"/>
                <w:r w:rsidRPr="00F843AD">
                  <w:rPr>
                    <w:rFonts w:ascii="Calibri" w:hAnsi="Calibri" w:cs="Times New Roman"/>
                  </w:rPr>
                  <w:t xml:space="preserve"> filmography is vast and eclectic, comprising over 40 feature films, as well as shorts, documentaries and television works, but always marked by a deft mix of realism (even neo-realism, especially in his early works) and symbolism. The latter is most evident in his lush, painterly adaptations of Polish literary works, like </w:t>
                </w:r>
                <w:r w:rsidRPr="00F843AD">
                  <w:rPr>
                    <w:rFonts w:ascii="Calibri" w:hAnsi="Calibri" w:cs="Times New Roman"/>
                    <w:i/>
                    <w:iCs/>
                  </w:rPr>
                  <w:t>The Birch Wood</w:t>
                </w:r>
                <w:r w:rsidRPr="00F843AD">
                  <w:rPr>
                    <w:rFonts w:ascii="Calibri" w:hAnsi="Calibri" w:cs="Times New Roman"/>
                  </w:rPr>
                  <w:t xml:space="preserve"> (1970), </w:t>
                </w:r>
                <w:r w:rsidRPr="00F843AD">
                  <w:rPr>
                    <w:rFonts w:ascii="Calibri" w:hAnsi="Calibri" w:cs="Times New Roman"/>
                    <w:i/>
                    <w:iCs/>
                  </w:rPr>
                  <w:t xml:space="preserve">The Maids of </w:t>
                </w:r>
                <w:proofErr w:type="spellStart"/>
                <w:r w:rsidRPr="00F843AD">
                  <w:rPr>
                    <w:rFonts w:ascii="Calibri" w:hAnsi="Calibri" w:cs="Times New Roman"/>
                    <w:i/>
                    <w:iCs/>
                  </w:rPr>
                  <w:t>Wilko</w:t>
                </w:r>
                <w:proofErr w:type="spellEnd"/>
                <w:r w:rsidRPr="00F843AD">
                  <w:rPr>
                    <w:rFonts w:ascii="Calibri" w:hAnsi="Calibri" w:cs="Times New Roman"/>
                  </w:rPr>
                  <w:t xml:space="preserve"> (1979) and the deeply strange, experimental </w:t>
                </w:r>
                <w:r w:rsidRPr="00F843AD">
                  <w:rPr>
                    <w:rFonts w:ascii="Calibri" w:hAnsi="Calibri" w:cs="Times New Roman"/>
                    <w:i/>
                    <w:iCs/>
                  </w:rPr>
                  <w:t>The Wedding</w:t>
                </w:r>
                <w:r w:rsidRPr="00F843AD">
                  <w:rPr>
                    <w:rFonts w:ascii="Calibri" w:hAnsi="Calibri" w:cs="Times New Roman"/>
                  </w:rPr>
                  <w:t xml:space="preserve"> (1972) - all of which double as oblique reflections on contemporary Poland and its intellectual and political climate. At least in part, this drive towards obliqueness is typical of Eastern European cinema during the Communist period and is due to the vagaries of a perpetually suspicious censorship that frequently drove a symbol-laden cinematic language to express what could not be articulated directly.</w:t>
                </w:r>
              </w:p>
              <w:p w:rsidR="00F843AD" w:rsidRPr="00F843AD" w:rsidRDefault="00F843AD" w:rsidP="00F843AD">
                <w:pPr>
                  <w:pStyle w:val="Body"/>
                  <w:rPr>
                    <w:rFonts w:ascii="Calibri" w:eastAsia="Georgia" w:hAnsi="Calibri" w:cs="Times New Roman"/>
                  </w:rPr>
                </w:pPr>
              </w:p>
              <w:p w:rsidR="003F0D73" w:rsidRPr="00F843AD" w:rsidRDefault="00F843AD" w:rsidP="00F843AD">
                <w:pPr>
                  <w:pStyle w:val="Body"/>
                  <w:rPr>
                    <w:rFonts w:ascii="Calibri" w:eastAsia="Georgia" w:hAnsi="Calibri" w:cs="Times New Roman"/>
                  </w:rPr>
                </w:pPr>
                <w:proofErr w:type="spellStart"/>
                <w:r w:rsidRPr="00F843AD">
                  <w:rPr>
                    <w:rFonts w:ascii="Calibri" w:hAnsi="Calibri" w:cs="Times New Roman"/>
                  </w:rPr>
                  <w:t>Wajda’s</w:t>
                </w:r>
                <w:proofErr w:type="spellEnd"/>
                <w:r w:rsidRPr="00F843AD">
                  <w:rPr>
                    <w:rFonts w:ascii="Calibri" w:hAnsi="Calibri" w:cs="Times New Roman"/>
                  </w:rPr>
                  <w:t xml:space="preserve"> other major work is the diptych </w:t>
                </w:r>
                <w:r w:rsidRPr="00F843AD">
                  <w:rPr>
                    <w:rFonts w:ascii="Calibri" w:hAnsi="Calibri" w:cs="Times New Roman"/>
                    <w:i/>
                    <w:iCs/>
                  </w:rPr>
                  <w:t xml:space="preserve">Man of Marble </w:t>
                </w:r>
                <w:r w:rsidRPr="00F843AD">
                  <w:rPr>
                    <w:rFonts w:ascii="Calibri" w:hAnsi="Calibri" w:cs="Times New Roman"/>
                  </w:rPr>
                  <w:t xml:space="preserve">(1977)/ </w:t>
                </w:r>
                <w:r w:rsidRPr="00F843AD">
                  <w:rPr>
                    <w:rFonts w:ascii="Calibri" w:hAnsi="Calibri" w:cs="Times New Roman"/>
                    <w:i/>
                    <w:iCs/>
                  </w:rPr>
                  <w:t xml:space="preserve">Man of Iron </w:t>
                </w:r>
                <w:r w:rsidRPr="00F843AD">
                  <w:rPr>
                    <w:rFonts w:ascii="Calibri" w:hAnsi="Calibri" w:cs="Times New Roman"/>
                  </w:rPr>
                  <w:t>(1981)</w:t>
                </w:r>
                <w:r w:rsidRPr="00F843AD">
                  <w:rPr>
                    <w:rFonts w:ascii="Calibri" w:hAnsi="Calibri" w:cs="Times New Roman"/>
                    <w:i/>
                    <w:iCs/>
                  </w:rPr>
                  <w:t>.</w:t>
                </w:r>
                <w:r w:rsidRPr="00F843AD">
                  <w:rPr>
                    <w:rFonts w:ascii="Calibri" w:hAnsi="Calibri" w:cs="Times New Roman"/>
                  </w:rPr>
                  <w:t xml:space="preserve"> The first film follows </w:t>
                </w:r>
                <w:proofErr w:type="spellStart"/>
                <w:r w:rsidRPr="00F843AD">
                  <w:rPr>
                    <w:rFonts w:ascii="Calibri" w:hAnsi="Calibri" w:cs="Times New Roman"/>
                  </w:rPr>
                  <w:t>Agnieszka</w:t>
                </w:r>
                <w:proofErr w:type="spellEnd"/>
                <w:r w:rsidRPr="00F843AD">
                  <w:rPr>
                    <w:rFonts w:ascii="Calibri" w:hAnsi="Calibri" w:cs="Times New Roman"/>
                  </w:rPr>
                  <w:t xml:space="preserve">, a young documentarian researching in the mid-70s the life of Mateusz </w:t>
                </w:r>
                <w:proofErr w:type="spellStart"/>
                <w:r w:rsidRPr="00F843AD">
                  <w:rPr>
                    <w:rFonts w:ascii="Calibri" w:hAnsi="Calibri" w:cs="Times New Roman"/>
                  </w:rPr>
                  <w:t>Birkut</w:t>
                </w:r>
                <w:proofErr w:type="spellEnd"/>
                <w:r w:rsidRPr="00F843AD">
                  <w:rPr>
                    <w:rFonts w:ascii="Calibri" w:hAnsi="Calibri" w:cs="Times New Roman"/>
                  </w:rPr>
                  <w:t xml:space="preserve">, a </w:t>
                </w:r>
                <w:proofErr w:type="spellStart"/>
                <w:r w:rsidRPr="00F843AD">
                  <w:rPr>
                    <w:rFonts w:ascii="Calibri" w:hAnsi="Calibri" w:cs="Times New Roman"/>
                  </w:rPr>
                  <w:t>Stakhanovist</w:t>
                </w:r>
                <w:proofErr w:type="spellEnd"/>
                <w:r w:rsidRPr="00F843AD">
                  <w:rPr>
                    <w:rFonts w:ascii="Calibri" w:hAnsi="Calibri" w:cs="Times New Roman"/>
                  </w:rPr>
                  <w:t xml:space="preserve"> worker who, in the 1950s had a brief moment of fame (the title of the film alludes to his now forgotten marble statue). </w:t>
                </w:r>
                <w:r w:rsidRPr="00F843AD">
                  <w:rPr>
                    <w:rFonts w:ascii="Calibri" w:hAnsi="Calibri" w:cs="Times New Roman"/>
                    <w:i/>
                    <w:iCs/>
                  </w:rPr>
                  <w:t xml:space="preserve">Man of </w:t>
                </w:r>
                <w:proofErr w:type="gramStart"/>
                <w:r w:rsidRPr="00F843AD">
                  <w:rPr>
                    <w:rFonts w:ascii="Calibri" w:hAnsi="Calibri" w:cs="Times New Roman"/>
                    <w:i/>
                    <w:iCs/>
                  </w:rPr>
                  <w:t>Iron</w:t>
                </w:r>
                <w:r w:rsidRPr="00F843AD">
                  <w:rPr>
                    <w:rFonts w:ascii="Calibri" w:hAnsi="Calibri" w:cs="Times New Roman"/>
                  </w:rPr>
                  <w:t>,</w:t>
                </w:r>
                <w:proofErr w:type="gramEnd"/>
                <w:r w:rsidRPr="00F843AD">
                  <w:rPr>
                    <w:rFonts w:ascii="Calibri" w:hAnsi="Calibri" w:cs="Times New Roman"/>
                  </w:rPr>
                  <w:t xml:space="preserve"> shot during the Gdansk shipyard strike of 1980 and the emergence of </w:t>
                </w:r>
                <w:proofErr w:type="spellStart"/>
                <w:r w:rsidRPr="00F843AD">
                  <w:rPr>
                    <w:rFonts w:ascii="Calibri" w:hAnsi="Calibri" w:cs="Times New Roman"/>
                  </w:rPr>
                  <w:t>Solidarność</w:t>
                </w:r>
                <w:proofErr w:type="spellEnd"/>
                <w:r w:rsidRPr="00F843AD">
                  <w:rPr>
                    <w:rFonts w:ascii="Calibri" w:hAnsi="Calibri" w:cs="Times New Roman"/>
                  </w:rPr>
                  <w:t xml:space="preserve"> labor union (Lech </w:t>
                </w:r>
                <w:proofErr w:type="spellStart"/>
                <w:r w:rsidRPr="00F843AD">
                  <w:rPr>
                    <w:rFonts w:ascii="Calibri" w:hAnsi="Calibri" w:cs="Times New Roman"/>
                  </w:rPr>
                  <w:t>Wałęsa</w:t>
                </w:r>
                <w:proofErr w:type="spellEnd"/>
                <w:r w:rsidRPr="00F843AD">
                  <w:rPr>
                    <w:rFonts w:ascii="Calibri" w:hAnsi="Calibri" w:cs="Times New Roman"/>
                  </w:rPr>
                  <w:t xml:space="preserve"> has a cameo) expands </w:t>
                </w:r>
                <w:proofErr w:type="spellStart"/>
                <w:r w:rsidRPr="00F843AD">
                  <w:rPr>
                    <w:rFonts w:ascii="Calibri" w:hAnsi="Calibri" w:cs="Times New Roman"/>
                  </w:rPr>
                  <w:t>Birkut’s</w:t>
                </w:r>
                <w:proofErr w:type="spellEnd"/>
                <w:r w:rsidRPr="00F843AD">
                  <w:rPr>
                    <w:rFonts w:ascii="Calibri" w:hAnsi="Calibri" w:cs="Times New Roman"/>
                  </w:rPr>
                  <w:t xml:space="preserve"> story (he is revealed to have died during the riots of 1970) and continues it through the life of his son, </w:t>
                </w:r>
                <w:proofErr w:type="spellStart"/>
                <w:r w:rsidRPr="00F843AD">
                  <w:rPr>
                    <w:rFonts w:ascii="Calibri" w:hAnsi="Calibri" w:cs="Times New Roman"/>
                  </w:rPr>
                  <w:t>Tomczyk</w:t>
                </w:r>
                <w:proofErr w:type="spellEnd"/>
                <w:r w:rsidRPr="00F843AD">
                  <w:rPr>
                    <w:rFonts w:ascii="Calibri" w:hAnsi="Calibri" w:cs="Times New Roman"/>
                  </w:rPr>
                  <w:t xml:space="preserve"> who, having married </w:t>
                </w:r>
                <w:proofErr w:type="spellStart"/>
                <w:r w:rsidRPr="00F843AD">
                  <w:rPr>
                    <w:rFonts w:ascii="Calibri" w:hAnsi="Calibri" w:cs="Times New Roman"/>
                  </w:rPr>
                  <w:t>Agnieszka</w:t>
                </w:r>
                <w:proofErr w:type="spellEnd"/>
                <w:r w:rsidRPr="00F843AD">
                  <w:rPr>
                    <w:rFonts w:ascii="Calibri" w:hAnsi="Calibri" w:cs="Times New Roman"/>
                  </w:rPr>
                  <w:t xml:space="preserve">, becomes a participant in the Gdansk revolt. </w:t>
                </w:r>
                <w:r w:rsidRPr="00F843AD">
                  <w:rPr>
                    <w:rFonts w:ascii="Calibri" w:hAnsi="Calibri" w:cs="Times New Roman"/>
                    <w:i/>
                    <w:iCs/>
                  </w:rPr>
                  <w:t xml:space="preserve">Man of Iron </w:t>
                </w:r>
                <w:r w:rsidRPr="00F843AD">
                  <w:rPr>
                    <w:rFonts w:ascii="Calibri" w:hAnsi="Calibri" w:cs="Times New Roman"/>
                  </w:rPr>
                  <w:t xml:space="preserve">received the Palme D’Or in 1981 and both films were immensely popular, dangerously so, even, from the point of view of the Communist establishment. They represent the culmination of </w:t>
                </w:r>
                <w:proofErr w:type="spellStart"/>
                <w:r w:rsidRPr="00F843AD">
                  <w:rPr>
                    <w:rFonts w:ascii="Calibri" w:hAnsi="Calibri" w:cs="Times New Roman"/>
                  </w:rPr>
                  <w:t>Wajda’s</w:t>
                </w:r>
                <w:proofErr w:type="spellEnd"/>
                <w:r w:rsidRPr="00F843AD">
                  <w:rPr>
                    <w:rFonts w:ascii="Calibri" w:hAnsi="Calibri" w:cs="Times New Roman"/>
                  </w:rPr>
                  <w:t xml:space="preserve"> long-standing interest in the struggle of individuals against brutal historical forces. The sprawling, stately </w:t>
                </w:r>
                <w:r w:rsidRPr="00F843AD">
                  <w:rPr>
                    <w:rFonts w:ascii="Calibri" w:hAnsi="Calibri" w:cs="Times New Roman"/>
                    <w:i/>
                    <w:iCs/>
                  </w:rPr>
                  <w:t>Man of Marble</w:t>
                </w:r>
                <w:r w:rsidRPr="00F843AD">
                  <w:rPr>
                    <w:rFonts w:ascii="Calibri" w:hAnsi="Calibri" w:cs="Times New Roman"/>
                  </w:rPr>
                  <w:t xml:space="preserve"> explores the lingering traumas of Stalinism, but its historical proximity to the 1970 protests and their brutal aftermath, suggests the oppression has been merely occulted, not eliminated. </w:t>
                </w:r>
                <w:r w:rsidRPr="00F843AD">
                  <w:rPr>
                    <w:rFonts w:ascii="Calibri" w:hAnsi="Calibri" w:cs="Times New Roman"/>
                    <w:i/>
                    <w:iCs/>
                  </w:rPr>
                  <w:t>Man of Iron</w:t>
                </w:r>
                <w:r w:rsidRPr="00F843AD">
                  <w:rPr>
                    <w:rFonts w:ascii="Calibri" w:hAnsi="Calibri" w:cs="Times New Roman"/>
                  </w:rPr>
                  <w:t xml:space="preserve">, while less artistically polished, is nonetheless a film of remarkable historical immediacy, recasting </w:t>
                </w:r>
                <w:proofErr w:type="spellStart"/>
                <w:r w:rsidRPr="00F843AD">
                  <w:rPr>
                    <w:rFonts w:ascii="Calibri" w:hAnsi="Calibri" w:cs="Times New Roman"/>
                  </w:rPr>
                  <w:t>Birkut’s</w:t>
                </w:r>
                <w:proofErr w:type="spellEnd"/>
                <w:r w:rsidRPr="00F843AD">
                  <w:rPr>
                    <w:rFonts w:ascii="Calibri" w:hAnsi="Calibri" w:cs="Times New Roman"/>
                  </w:rPr>
                  <w:t xml:space="preserve"> struggle into his son’s (both characters are played by the same actor, Jerzy </w:t>
                </w:r>
                <w:proofErr w:type="spellStart"/>
                <w:r w:rsidRPr="00F843AD">
                  <w:rPr>
                    <w:rFonts w:ascii="Calibri" w:hAnsi="Calibri" w:cs="Times New Roman"/>
                  </w:rPr>
                  <w:t>Radziwiłowicz</w:t>
                </w:r>
                <w:proofErr w:type="spellEnd"/>
                <w:r w:rsidRPr="00F843AD">
                  <w:rPr>
                    <w:rFonts w:ascii="Calibri" w:hAnsi="Calibri" w:cs="Times New Roman"/>
                  </w:rPr>
                  <w:t xml:space="preserve">), and culminating in an optimistic, </w:t>
                </w:r>
                <w:proofErr w:type="gramStart"/>
                <w:r w:rsidRPr="00F843AD">
                  <w:rPr>
                    <w:rFonts w:ascii="Calibri" w:hAnsi="Calibri" w:cs="Times New Roman"/>
                  </w:rPr>
                  <w:t>quasi romantic</w:t>
                </w:r>
                <w:proofErr w:type="gramEnd"/>
                <w:r w:rsidRPr="00F843AD">
                  <w:rPr>
                    <w:rFonts w:ascii="Calibri" w:hAnsi="Calibri" w:cs="Times New Roman"/>
                  </w:rPr>
                  <w:t xml:space="preserve"> vision of individual triumph over historical repression.</w:t>
                </w:r>
              </w:p>
            </w:tc>
            <w:bookmarkStart w:id="0" w:name="_GoBack" w:displacedByCustomXml="next"/>
            <w:bookmarkEnd w:id="0" w:displacedByCustomXml="next"/>
          </w:sdtContent>
        </w:sdt>
      </w:tr>
      <w:tr w:rsidR="003235A7" w:rsidTr="003235A7">
        <w:tc>
          <w:tcPr>
            <w:tcW w:w="9016" w:type="dxa"/>
          </w:tcPr>
          <w:p w:rsidR="003235A7" w:rsidRDefault="003235A7" w:rsidP="00F843AD">
            <w:r w:rsidRPr="0015114C">
              <w:rPr>
                <w:u w:val="single"/>
              </w:rPr>
              <w:lastRenderedPageBreak/>
              <w:t>Further reading</w:t>
            </w:r>
            <w:r>
              <w:t>:</w:t>
            </w:r>
          </w:p>
          <w:sdt>
            <w:sdtPr>
              <w:alias w:val="Further reading"/>
              <w:tag w:val="furtherReading"/>
              <w:id w:val="-1516217107"/>
              <w:placeholder>
                <w:docPart w:val="107ED6233A756A4C9AC899BF7177F6C6"/>
              </w:placeholder>
            </w:sdtPr>
            <w:sdtEndPr/>
            <w:sdtContent>
              <w:p w:rsidR="00F843AD" w:rsidRDefault="00F843AD" w:rsidP="00F843AD">
                <w:pPr>
                  <w:pStyle w:val="Body"/>
                </w:pPr>
                <w:sdt>
                  <w:sdtPr>
                    <w:id w:val="151347805"/>
                    <w:citation/>
                  </w:sdtPr>
                  <w:sdtContent>
                    <w:r>
                      <w:fldChar w:fldCharType="begin"/>
                    </w:r>
                    <w:r>
                      <w:rPr>
                        <w:rFonts w:ascii="Calibri" w:hAnsi="Calibri" w:cs="Times New Roman"/>
                      </w:rPr>
                      <w:instrText xml:space="preserve"> CITATION For05 \l 1033 </w:instrText>
                    </w:r>
                    <w:r>
                      <w:fldChar w:fldCharType="separate"/>
                    </w:r>
                    <w:r>
                      <w:rPr>
                        <w:rFonts w:ascii="Calibri" w:hAnsi="Calibri" w:cs="Times New Roman"/>
                        <w:noProof/>
                      </w:rPr>
                      <w:t xml:space="preserve"> </w:t>
                    </w:r>
                    <w:r w:rsidRPr="00F843AD">
                      <w:rPr>
                        <w:rFonts w:ascii="Calibri" w:hAnsi="Calibri" w:cs="Times New Roman"/>
                        <w:noProof/>
                      </w:rPr>
                      <w:t>(Ford and Hammond)</w:t>
                    </w:r>
                    <w:r>
                      <w:fldChar w:fldCharType="end"/>
                    </w:r>
                  </w:sdtContent>
                </w:sdt>
              </w:p>
              <w:p w:rsidR="00F843AD" w:rsidRDefault="00F843AD" w:rsidP="00F843AD">
                <w:pPr>
                  <w:pStyle w:val="Body"/>
                </w:pPr>
              </w:p>
              <w:p w:rsidR="00F843AD" w:rsidRDefault="00F843AD" w:rsidP="00F843AD">
                <w:pPr>
                  <w:pStyle w:val="Body"/>
                  <w:rPr>
                    <w:rFonts w:ascii="Calibri" w:eastAsia="Georgia" w:hAnsi="Calibri" w:cs="Times New Roman"/>
                  </w:rPr>
                </w:pPr>
                <w:sdt>
                  <w:sdtPr>
                    <w:rPr>
                      <w:rFonts w:ascii="Calibri" w:eastAsia="Georgia" w:hAnsi="Calibri" w:cs="Times New Roman"/>
                    </w:rPr>
                    <w:id w:val="-566259855"/>
                    <w:citation/>
                  </w:sdtPr>
                  <w:sdtContent>
                    <w:r>
                      <w:rPr>
                        <w:rFonts w:ascii="Calibri" w:eastAsia="Georgia" w:hAnsi="Calibri" w:cs="Times New Roman"/>
                      </w:rPr>
                      <w:fldChar w:fldCharType="begin"/>
                    </w:r>
                    <w:r>
                      <w:rPr>
                        <w:rFonts w:ascii="Calibri" w:hAnsi="Calibri" w:cs="Times New Roman"/>
                      </w:rPr>
                      <w:instrText xml:space="preserve"> CITATION Mic73 \l 1033 </w:instrText>
                    </w:r>
                    <w:r>
                      <w:rPr>
                        <w:rFonts w:ascii="Calibri" w:eastAsia="Georgia" w:hAnsi="Calibri" w:cs="Times New Roman"/>
                      </w:rPr>
                      <w:fldChar w:fldCharType="separate"/>
                    </w:r>
                    <w:r w:rsidRPr="00F843AD">
                      <w:rPr>
                        <w:rFonts w:ascii="Calibri" w:hAnsi="Calibri" w:cs="Times New Roman"/>
                        <w:noProof/>
                      </w:rPr>
                      <w:t>(Michałek)</w:t>
                    </w:r>
                    <w:r>
                      <w:rPr>
                        <w:rFonts w:ascii="Calibri" w:eastAsia="Georgia" w:hAnsi="Calibri" w:cs="Times New Roman"/>
                      </w:rPr>
                      <w:fldChar w:fldCharType="end"/>
                    </w:r>
                  </w:sdtContent>
                </w:sdt>
              </w:p>
              <w:p w:rsidR="00F843AD" w:rsidRPr="00F843AD" w:rsidRDefault="00F843AD" w:rsidP="00F843AD">
                <w:pPr>
                  <w:pStyle w:val="Body"/>
                  <w:rPr>
                    <w:rFonts w:ascii="Calibri" w:eastAsia="Georgia" w:hAnsi="Calibri" w:cs="Times New Roman"/>
                  </w:rPr>
                </w:pPr>
              </w:p>
              <w:p w:rsidR="003235A7" w:rsidRPr="00F843AD" w:rsidRDefault="00F843AD" w:rsidP="00F843AD">
                <w:pPr>
                  <w:pStyle w:val="Body"/>
                  <w:rPr>
                    <w:rFonts w:ascii="Times New Roman" w:eastAsia="Georgia" w:hAnsi="Times New Roman" w:cs="Times New Roman"/>
                    <w:sz w:val="24"/>
                    <w:szCs w:val="24"/>
                  </w:rPr>
                </w:pPr>
                <w:sdt>
                  <w:sdtPr>
                    <w:rPr>
                      <w:rFonts w:ascii="Times New Roman" w:eastAsia="Georgia" w:hAnsi="Times New Roman" w:cs="Times New Roman"/>
                      <w:sz w:val="24"/>
                      <w:szCs w:val="24"/>
                    </w:rPr>
                    <w:id w:val="121901240"/>
                    <w:citation/>
                  </w:sdtPr>
                  <w:sdtContent>
                    <w:r>
                      <w:rPr>
                        <w:rFonts w:ascii="Times New Roman" w:eastAsia="Georgia" w:hAnsi="Times New Roman" w:cs="Times New Roman"/>
                        <w:sz w:val="24"/>
                        <w:szCs w:val="24"/>
                      </w:rPr>
                      <w:fldChar w:fldCharType="begin"/>
                    </w:r>
                    <w:r>
                      <w:rPr>
                        <w:rFonts w:ascii="Calibri" w:hAnsi="Calibri" w:cs="Times New Roman"/>
                      </w:rPr>
                      <w:instrText xml:space="preserve"> CITATION Mic881 \l 1033 </w:instrText>
                    </w:r>
                    <w:r>
                      <w:rPr>
                        <w:rFonts w:ascii="Times New Roman" w:eastAsia="Georgia" w:hAnsi="Times New Roman" w:cs="Times New Roman"/>
                        <w:sz w:val="24"/>
                        <w:szCs w:val="24"/>
                      </w:rPr>
                      <w:fldChar w:fldCharType="separate"/>
                    </w:r>
                    <w:r w:rsidRPr="00F843AD">
                      <w:rPr>
                        <w:rFonts w:ascii="Calibri" w:hAnsi="Calibri" w:cs="Times New Roman"/>
                        <w:noProof/>
                      </w:rPr>
                      <w:t>(Michałek and Turaj, The Modern Cinema of Poland)</w:t>
                    </w:r>
                    <w:r>
                      <w:rPr>
                        <w:rFonts w:ascii="Times New Roman" w:eastAsia="Georgia" w:hAnsi="Times New Roman" w:cs="Times New Roman"/>
                        <w:sz w:val="24"/>
                        <w:szCs w:val="24"/>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3AD" w:rsidRDefault="00F843AD" w:rsidP="007A0D55">
      <w:pPr>
        <w:spacing w:after="0" w:line="240" w:lineRule="auto"/>
      </w:pPr>
      <w:r>
        <w:separator/>
      </w:r>
    </w:p>
  </w:endnote>
  <w:endnote w:type="continuationSeparator" w:id="0">
    <w:p w:rsidR="00F843AD" w:rsidRDefault="00F843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3AD" w:rsidRDefault="00F843AD" w:rsidP="007A0D55">
      <w:pPr>
        <w:spacing w:after="0" w:line="240" w:lineRule="auto"/>
      </w:pPr>
      <w:r>
        <w:separator/>
      </w:r>
    </w:p>
  </w:footnote>
  <w:footnote w:type="continuationSeparator" w:id="0">
    <w:p w:rsidR="00F843AD" w:rsidRDefault="00F843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3A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43A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43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43AD"/>
    <w:rPr>
      <w:rFonts w:ascii="Lucida Grande" w:hAnsi="Lucida Grande"/>
      <w:sz w:val="18"/>
      <w:szCs w:val="18"/>
    </w:rPr>
  </w:style>
  <w:style w:type="paragraph" w:customStyle="1" w:styleId="Body">
    <w:name w:val="Body"/>
    <w:rsid w:val="00F843AD"/>
    <w:pPr>
      <w:spacing w:after="0" w:line="240" w:lineRule="auto"/>
    </w:pPr>
    <w:rPr>
      <w:rFonts w:ascii="Helvetica" w:eastAsia="Arial Unicode MS" w:hAnsi="Arial Unicode MS" w:cs="Arial Unicode MS"/>
      <w:color w:val="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43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43AD"/>
    <w:rPr>
      <w:rFonts w:ascii="Lucida Grande" w:hAnsi="Lucida Grande"/>
      <w:sz w:val="18"/>
      <w:szCs w:val="18"/>
    </w:rPr>
  </w:style>
  <w:style w:type="paragraph" w:customStyle="1" w:styleId="Body">
    <w:name w:val="Body"/>
    <w:rsid w:val="00F843AD"/>
    <w:pPr>
      <w:spacing w:after="0" w:line="240" w:lineRule="auto"/>
    </w:pPr>
    <w:rPr>
      <w:rFonts w:ascii="Helvetica" w:eastAsia="Arial Unicode MS" w:hAnsi="Arial Unicode MS" w:cs="Arial Unicode MS"/>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D3BE7BC12851418BD27B65042F60F2"/>
        <w:category>
          <w:name w:val="General"/>
          <w:gallery w:val="placeholder"/>
        </w:category>
        <w:types>
          <w:type w:val="bbPlcHdr"/>
        </w:types>
        <w:behaviors>
          <w:behavior w:val="content"/>
        </w:behaviors>
        <w:guid w:val="{308331C9-F923-3E4B-AFFE-43F8340B863C}"/>
      </w:docPartPr>
      <w:docPartBody>
        <w:p w:rsidR="00000000" w:rsidRDefault="004E117A">
          <w:pPr>
            <w:pStyle w:val="DCD3BE7BC12851418BD27B65042F60F2"/>
          </w:pPr>
          <w:r w:rsidRPr="00CC586D">
            <w:rPr>
              <w:rStyle w:val="PlaceholderText"/>
              <w:b/>
              <w:color w:val="FFFFFF" w:themeColor="background1"/>
            </w:rPr>
            <w:t>[Salutation]</w:t>
          </w:r>
        </w:p>
      </w:docPartBody>
    </w:docPart>
    <w:docPart>
      <w:docPartPr>
        <w:name w:val="6EC781547E12684EA35A0C66BEC88134"/>
        <w:category>
          <w:name w:val="General"/>
          <w:gallery w:val="placeholder"/>
        </w:category>
        <w:types>
          <w:type w:val="bbPlcHdr"/>
        </w:types>
        <w:behaviors>
          <w:behavior w:val="content"/>
        </w:behaviors>
        <w:guid w:val="{1A1659A6-8B20-FA41-8727-A009689C379B}"/>
      </w:docPartPr>
      <w:docPartBody>
        <w:p w:rsidR="00000000" w:rsidRDefault="004E117A">
          <w:pPr>
            <w:pStyle w:val="6EC781547E12684EA35A0C66BEC88134"/>
          </w:pPr>
          <w:r>
            <w:rPr>
              <w:rStyle w:val="PlaceholderText"/>
            </w:rPr>
            <w:t>[First name]</w:t>
          </w:r>
        </w:p>
      </w:docPartBody>
    </w:docPart>
    <w:docPart>
      <w:docPartPr>
        <w:name w:val="953AB15586BAFD4084CC95ED86D93DC2"/>
        <w:category>
          <w:name w:val="General"/>
          <w:gallery w:val="placeholder"/>
        </w:category>
        <w:types>
          <w:type w:val="bbPlcHdr"/>
        </w:types>
        <w:behaviors>
          <w:behavior w:val="content"/>
        </w:behaviors>
        <w:guid w:val="{0E2C6226-04B9-234F-8C11-5B6173274C28}"/>
      </w:docPartPr>
      <w:docPartBody>
        <w:p w:rsidR="00000000" w:rsidRDefault="004E117A">
          <w:pPr>
            <w:pStyle w:val="953AB15586BAFD4084CC95ED86D93DC2"/>
          </w:pPr>
          <w:r>
            <w:rPr>
              <w:rStyle w:val="PlaceholderText"/>
            </w:rPr>
            <w:t>[Middle name]</w:t>
          </w:r>
        </w:p>
      </w:docPartBody>
    </w:docPart>
    <w:docPart>
      <w:docPartPr>
        <w:name w:val="F5767F439F158A4BBEC5901E15539438"/>
        <w:category>
          <w:name w:val="General"/>
          <w:gallery w:val="placeholder"/>
        </w:category>
        <w:types>
          <w:type w:val="bbPlcHdr"/>
        </w:types>
        <w:behaviors>
          <w:behavior w:val="content"/>
        </w:behaviors>
        <w:guid w:val="{4C982A2A-DFDC-F547-8107-B547A238847C}"/>
      </w:docPartPr>
      <w:docPartBody>
        <w:p w:rsidR="00000000" w:rsidRDefault="004E117A">
          <w:pPr>
            <w:pStyle w:val="F5767F439F158A4BBEC5901E15539438"/>
          </w:pPr>
          <w:r>
            <w:rPr>
              <w:rStyle w:val="PlaceholderText"/>
            </w:rPr>
            <w:t>[Last name]</w:t>
          </w:r>
        </w:p>
      </w:docPartBody>
    </w:docPart>
    <w:docPart>
      <w:docPartPr>
        <w:name w:val="26038487FAEC6A48BA0831E11BBC783B"/>
        <w:category>
          <w:name w:val="General"/>
          <w:gallery w:val="placeholder"/>
        </w:category>
        <w:types>
          <w:type w:val="bbPlcHdr"/>
        </w:types>
        <w:behaviors>
          <w:behavior w:val="content"/>
        </w:behaviors>
        <w:guid w:val="{8AD4D41A-3CDC-D240-8B8B-546EF8B2AA5F}"/>
      </w:docPartPr>
      <w:docPartBody>
        <w:p w:rsidR="00000000" w:rsidRDefault="004E117A">
          <w:pPr>
            <w:pStyle w:val="26038487FAEC6A48BA0831E11BBC783B"/>
          </w:pPr>
          <w:r>
            <w:rPr>
              <w:rStyle w:val="PlaceholderText"/>
            </w:rPr>
            <w:t>[Enter your biography]</w:t>
          </w:r>
        </w:p>
      </w:docPartBody>
    </w:docPart>
    <w:docPart>
      <w:docPartPr>
        <w:name w:val="7CACFFB95946CD499F3AFFA65221FAD0"/>
        <w:category>
          <w:name w:val="General"/>
          <w:gallery w:val="placeholder"/>
        </w:category>
        <w:types>
          <w:type w:val="bbPlcHdr"/>
        </w:types>
        <w:behaviors>
          <w:behavior w:val="content"/>
        </w:behaviors>
        <w:guid w:val="{8D297745-0FDD-B645-9E48-076A79FA2A7F}"/>
      </w:docPartPr>
      <w:docPartBody>
        <w:p w:rsidR="00000000" w:rsidRDefault="004E117A">
          <w:pPr>
            <w:pStyle w:val="7CACFFB95946CD499F3AFFA65221FAD0"/>
          </w:pPr>
          <w:r>
            <w:rPr>
              <w:rStyle w:val="PlaceholderText"/>
            </w:rPr>
            <w:t>[Enter the institution with which you are affiliated]</w:t>
          </w:r>
        </w:p>
      </w:docPartBody>
    </w:docPart>
    <w:docPart>
      <w:docPartPr>
        <w:name w:val="DB510BD24D4F014499B104FFF46C5280"/>
        <w:category>
          <w:name w:val="General"/>
          <w:gallery w:val="placeholder"/>
        </w:category>
        <w:types>
          <w:type w:val="bbPlcHdr"/>
        </w:types>
        <w:behaviors>
          <w:behavior w:val="content"/>
        </w:behaviors>
        <w:guid w:val="{A4CD3B9D-64D1-B341-9D54-D5C68F9E8043}"/>
      </w:docPartPr>
      <w:docPartBody>
        <w:p w:rsidR="00000000" w:rsidRDefault="004E117A">
          <w:pPr>
            <w:pStyle w:val="DB510BD24D4F014499B104FFF46C5280"/>
          </w:pPr>
          <w:r w:rsidRPr="00EF74F7">
            <w:rPr>
              <w:b/>
              <w:color w:val="808080" w:themeColor="background1" w:themeShade="80"/>
            </w:rPr>
            <w:t>[Enter the headword for your article]</w:t>
          </w:r>
        </w:p>
      </w:docPartBody>
    </w:docPart>
    <w:docPart>
      <w:docPartPr>
        <w:name w:val="CD424BC91649514E90CF623EA117EF73"/>
        <w:category>
          <w:name w:val="General"/>
          <w:gallery w:val="placeholder"/>
        </w:category>
        <w:types>
          <w:type w:val="bbPlcHdr"/>
        </w:types>
        <w:behaviors>
          <w:behavior w:val="content"/>
        </w:behaviors>
        <w:guid w:val="{100D297C-19C9-C94E-9676-43F52C7809E9}"/>
      </w:docPartPr>
      <w:docPartBody>
        <w:p w:rsidR="00000000" w:rsidRDefault="004E117A">
          <w:pPr>
            <w:pStyle w:val="CD424BC91649514E90CF623EA117EF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75482E79B8BB43975AAAFD75DB9310"/>
        <w:category>
          <w:name w:val="General"/>
          <w:gallery w:val="placeholder"/>
        </w:category>
        <w:types>
          <w:type w:val="bbPlcHdr"/>
        </w:types>
        <w:behaviors>
          <w:behavior w:val="content"/>
        </w:behaviors>
        <w:guid w:val="{977D5A71-4231-0F4E-AFCF-6FCCC723B018}"/>
      </w:docPartPr>
      <w:docPartBody>
        <w:p w:rsidR="00000000" w:rsidRDefault="004E117A">
          <w:pPr>
            <w:pStyle w:val="8B75482E79B8BB43975AAAFD75DB93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BC54C0D4E0AC5429334D8EF14D1FCCA"/>
        <w:category>
          <w:name w:val="General"/>
          <w:gallery w:val="placeholder"/>
        </w:category>
        <w:types>
          <w:type w:val="bbPlcHdr"/>
        </w:types>
        <w:behaviors>
          <w:behavior w:val="content"/>
        </w:behaviors>
        <w:guid w:val="{F7F66BA0-EC08-6048-A585-9083B8764694}"/>
      </w:docPartPr>
      <w:docPartBody>
        <w:p w:rsidR="00000000" w:rsidRDefault="004E117A">
          <w:pPr>
            <w:pStyle w:val="6BC54C0D4E0AC5429334D8EF14D1FC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7ED6233A756A4C9AC899BF7177F6C6"/>
        <w:category>
          <w:name w:val="General"/>
          <w:gallery w:val="placeholder"/>
        </w:category>
        <w:types>
          <w:type w:val="bbPlcHdr"/>
        </w:types>
        <w:behaviors>
          <w:behavior w:val="content"/>
        </w:behaviors>
        <w:guid w:val="{44DA226A-E1CF-DB41-8E78-1DB5B5C72EDE}"/>
      </w:docPartPr>
      <w:docPartBody>
        <w:p w:rsidR="00000000" w:rsidRDefault="004E117A">
          <w:pPr>
            <w:pStyle w:val="107ED6233A756A4C9AC899BF7177F6C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D3BE7BC12851418BD27B65042F60F2">
    <w:name w:val="DCD3BE7BC12851418BD27B65042F60F2"/>
  </w:style>
  <w:style w:type="paragraph" w:customStyle="1" w:styleId="6EC781547E12684EA35A0C66BEC88134">
    <w:name w:val="6EC781547E12684EA35A0C66BEC88134"/>
  </w:style>
  <w:style w:type="paragraph" w:customStyle="1" w:styleId="953AB15586BAFD4084CC95ED86D93DC2">
    <w:name w:val="953AB15586BAFD4084CC95ED86D93DC2"/>
  </w:style>
  <w:style w:type="paragraph" w:customStyle="1" w:styleId="F5767F439F158A4BBEC5901E15539438">
    <w:name w:val="F5767F439F158A4BBEC5901E15539438"/>
  </w:style>
  <w:style w:type="paragraph" w:customStyle="1" w:styleId="26038487FAEC6A48BA0831E11BBC783B">
    <w:name w:val="26038487FAEC6A48BA0831E11BBC783B"/>
  </w:style>
  <w:style w:type="paragraph" w:customStyle="1" w:styleId="7CACFFB95946CD499F3AFFA65221FAD0">
    <w:name w:val="7CACFFB95946CD499F3AFFA65221FAD0"/>
  </w:style>
  <w:style w:type="paragraph" w:customStyle="1" w:styleId="DB510BD24D4F014499B104FFF46C5280">
    <w:name w:val="DB510BD24D4F014499B104FFF46C5280"/>
  </w:style>
  <w:style w:type="paragraph" w:customStyle="1" w:styleId="CD424BC91649514E90CF623EA117EF73">
    <w:name w:val="CD424BC91649514E90CF623EA117EF73"/>
  </w:style>
  <w:style w:type="paragraph" w:customStyle="1" w:styleId="8B75482E79B8BB43975AAAFD75DB9310">
    <w:name w:val="8B75482E79B8BB43975AAAFD75DB9310"/>
  </w:style>
  <w:style w:type="paragraph" w:customStyle="1" w:styleId="6BC54C0D4E0AC5429334D8EF14D1FCCA">
    <w:name w:val="6BC54C0D4E0AC5429334D8EF14D1FCCA"/>
  </w:style>
  <w:style w:type="paragraph" w:customStyle="1" w:styleId="107ED6233A756A4C9AC899BF7177F6C6">
    <w:name w:val="107ED6233A756A4C9AC899BF7177F6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D3BE7BC12851418BD27B65042F60F2">
    <w:name w:val="DCD3BE7BC12851418BD27B65042F60F2"/>
  </w:style>
  <w:style w:type="paragraph" w:customStyle="1" w:styleId="6EC781547E12684EA35A0C66BEC88134">
    <w:name w:val="6EC781547E12684EA35A0C66BEC88134"/>
  </w:style>
  <w:style w:type="paragraph" w:customStyle="1" w:styleId="953AB15586BAFD4084CC95ED86D93DC2">
    <w:name w:val="953AB15586BAFD4084CC95ED86D93DC2"/>
  </w:style>
  <w:style w:type="paragraph" w:customStyle="1" w:styleId="F5767F439F158A4BBEC5901E15539438">
    <w:name w:val="F5767F439F158A4BBEC5901E15539438"/>
  </w:style>
  <w:style w:type="paragraph" w:customStyle="1" w:styleId="26038487FAEC6A48BA0831E11BBC783B">
    <w:name w:val="26038487FAEC6A48BA0831E11BBC783B"/>
  </w:style>
  <w:style w:type="paragraph" w:customStyle="1" w:styleId="7CACFFB95946CD499F3AFFA65221FAD0">
    <w:name w:val="7CACFFB95946CD499F3AFFA65221FAD0"/>
  </w:style>
  <w:style w:type="paragraph" w:customStyle="1" w:styleId="DB510BD24D4F014499B104FFF46C5280">
    <w:name w:val="DB510BD24D4F014499B104FFF46C5280"/>
  </w:style>
  <w:style w:type="paragraph" w:customStyle="1" w:styleId="CD424BC91649514E90CF623EA117EF73">
    <w:name w:val="CD424BC91649514E90CF623EA117EF73"/>
  </w:style>
  <w:style w:type="paragraph" w:customStyle="1" w:styleId="8B75482E79B8BB43975AAAFD75DB9310">
    <w:name w:val="8B75482E79B8BB43975AAAFD75DB9310"/>
  </w:style>
  <w:style w:type="paragraph" w:customStyle="1" w:styleId="6BC54C0D4E0AC5429334D8EF14D1FCCA">
    <w:name w:val="6BC54C0D4E0AC5429334D8EF14D1FCCA"/>
  </w:style>
  <w:style w:type="paragraph" w:customStyle="1" w:styleId="107ED6233A756A4C9AC899BF7177F6C6">
    <w:name w:val="107ED6233A756A4C9AC899BF7177F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For05</b:Tag>
    <b:SourceType>Book</b:SourceType>
    <b:Guid>{E58837E6-8D57-D843-86E9-D657055251D4}</b:Guid>
    <b:Author>
      <b:Author>
        <b:NameList>
          <b:Person>
            <b:Last>Ford</b:Last>
            <b:First>Charles</b:First>
          </b:Person>
          <b:Person>
            <b:Last>Hammond</b:Last>
            <b:First>Robert</b:First>
          </b:Person>
        </b:NameList>
      </b:Author>
    </b:Author>
    <b:Title>Polish Film. A Twentieth Century History</b:Title>
    <b:City>Jefferson</b:City>
    <b:StateProvince>NC</b:StateProvince>
    <b:Publisher>McFarland &amp; Co.</b:Publisher>
    <b:Year>2005</b:Year>
    <b:RefOrder>1</b:RefOrder>
  </b:Source>
  <b:Source>
    <b:Tag>Mic73</b:Tag>
    <b:SourceType>Book</b:SourceType>
    <b:Guid>{95E9598C-8796-644F-9F4B-77DB7AB140C1}</b:Guid>
    <b:Author>
      <b:Author>
        <b:NameList>
          <b:Person>
            <b:Last>Michałek</b:Last>
            <b:First>Bołeslaw</b:First>
          </b:Person>
        </b:NameList>
      </b:Author>
      <b:Editor>
        <b:NameList>
          <b:Person>
            <b:Last>Rothert</b:Last>
            <b:First>Edward</b:First>
          </b:Person>
        </b:NameList>
      </b:Editor>
    </b:Author>
    <b:Title>The Cinema of Andrzej Wajda</b:Title>
    <b:City>London</b:City>
    <b:Publisher>The Tantivy Press</b:Publisher>
    <b:Year>1973</b:Year>
    <b:RefOrder>2</b:RefOrder>
  </b:Source>
  <b:Source>
    <b:Tag>Mic881</b:Tag>
    <b:SourceType>Book</b:SourceType>
    <b:Guid>{FE11D842-9EDD-4346-B888-724C54F4C3AF}</b:Guid>
    <b:Author>
      <b:Author>
        <b:NameList>
          <b:Person>
            <b:Last>Michałek</b:Last>
            <b:First>Bołeslaw</b:First>
          </b:Person>
          <b:Person>
            <b:Last>Turaj</b:Last>
            <b:First>Frank</b:First>
          </b:Person>
        </b:NameList>
      </b:Author>
    </b:Author>
    <b:Title>The Modern Cinema of Poland</b:Title>
    <b:City>Bloomington</b:City>
    <b:Publisher>Indiana University Press</b:Publisher>
    <b:Year>1988</b:Year>
    <b:RefOrder>3</b:RefOrder>
  </b:Source>
</b:Sources>
</file>

<file path=customXml/itemProps1.xml><?xml version="1.0" encoding="utf-8"?>
<ds:datastoreItem xmlns:ds="http://schemas.openxmlformats.org/officeDocument/2006/customXml" ds:itemID="{E115B1B0-7FB3-0C45-B741-674301B48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949</Words>
  <Characters>5412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2015-07-26T16:33:00Z</dcterms:created>
  <dcterms:modified xsi:type="dcterms:W3CDTF">2015-07-26T16:47:00Z</dcterms:modified>
</cp:coreProperties>
</file>