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E553355DB57F1429744806529AACC4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067959870B8546B74A8AD053B33178"/>
            </w:placeholder>
            <w:text/>
          </w:sdtPr>
          <w:sdtEndPr/>
          <w:sdtContent>
            <w:tc>
              <w:tcPr>
                <w:tcW w:w="2073" w:type="dxa"/>
              </w:tcPr>
              <w:p w:rsidR="00B574C9" w:rsidRDefault="009765BB" w:rsidP="009765BB">
                <w:r>
                  <w:t>Carl</w:t>
                </w:r>
              </w:p>
            </w:tc>
          </w:sdtContent>
        </w:sdt>
        <w:sdt>
          <w:sdtPr>
            <w:alias w:val="Middle name"/>
            <w:tag w:val="authorMiddleName"/>
            <w:id w:val="-2076034781"/>
            <w:placeholder>
              <w:docPart w:val="36369852152EC14F9A8B2A8CB736776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432FFA579CC2146A12FC37B8FD49938"/>
            </w:placeholder>
            <w:text/>
          </w:sdtPr>
          <w:sdtEndPr/>
          <w:sdtContent>
            <w:tc>
              <w:tcPr>
                <w:tcW w:w="2642" w:type="dxa"/>
              </w:tcPr>
              <w:p w:rsidR="00B574C9" w:rsidRDefault="009765BB" w:rsidP="009765BB">
                <w:r>
                  <w:t>Paris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EFB585E571CCA4EBAC5712C79BCD75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75D065FCC52F347A4322ADCD57A2FF2"/>
            </w:placeholder>
            <w:text/>
          </w:sdtPr>
          <w:sdtEndPr/>
          <w:sdtContent>
            <w:tc>
              <w:tcPr>
                <w:tcW w:w="8525" w:type="dxa"/>
                <w:gridSpan w:val="4"/>
              </w:tcPr>
              <w:p w:rsidR="00B574C9" w:rsidRDefault="009765BB" w:rsidP="009765BB">
                <w:r>
                  <w:t>Temple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EF1E5B4A08309146AD95C28B4F9E5B06"/>
            </w:placeholder>
            <w:text/>
          </w:sdtPr>
          <w:sdtContent>
            <w:tc>
              <w:tcPr>
                <w:tcW w:w="9016" w:type="dxa"/>
                <w:tcMar>
                  <w:top w:w="113" w:type="dxa"/>
                  <w:bottom w:w="113" w:type="dxa"/>
                </w:tcMar>
              </w:tcPr>
              <w:p w:rsidR="003F0D73" w:rsidRPr="00FB589A" w:rsidRDefault="009765BB" w:rsidP="009765BB">
                <w:pPr>
                  <w:rPr>
                    <w:b/>
                  </w:rPr>
                </w:pPr>
                <w:r w:rsidRPr="009765BB">
                  <w:rPr>
                    <w:rFonts w:eastAsia="Times New Roman" w:cs="Times New Roman"/>
                    <w:lang w:val="en-US"/>
                  </w:rPr>
                  <w:t xml:space="preserve">Williams, </w:t>
                </w:r>
                <w:r w:rsidRPr="009765BB">
                  <w:rPr>
                    <w:rFonts w:eastAsia="Times New Roman" w:cs="Times New Roman"/>
                    <w:lang w:val="en-US" w:eastAsia="ja-JP"/>
                  </w:rPr>
                  <w:t>Charles H.</w:t>
                </w:r>
                <w:r w:rsidRPr="009765BB">
                  <w:rPr>
                    <w:rFonts w:eastAsia="Times New Roman" w:cs="Times New Roman"/>
                    <w:lang w:val="en-US"/>
                  </w:rPr>
                  <w:t xml:space="preserve"> (b. January 25, 1896 Lexington, Kentucky; d. 1 January 1978, Hampton, Virginia)</w:t>
                </w:r>
              </w:p>
            </w:tc>
          </w:sdtContent>
        </w:sdt>
      </w:tr>
      <w:tr w:rsidR="00464699" w:rsidTr="007821B0">
        <w:sdt>
          <w:sdtPr>
            <w:alias w:val="Variant headwords"/>
            <w:tag w:val="variantHeadwords"/>
            <w:id w:val="173464402"/>
            <w:placeholder>
              <w:docPart w:val="CA3AAC336949D74CBEF3474B393E5CC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8DFC01624C8E6468D3A0F43825D4A8E"/>
            </w:placeholder>
          </w:sdtPr>
          <w:sdtEndPr/>
          <w:sdtContent>
            <w:tc>
              <w:tcPr>
                <w:tcW w:w="9016" w:type="dxa"/>
                <w:tcMar>
                  <w:top w:w="113" w:type="dxa"/>
                  <w:bottom w:w="113" w:type="dxa"/>
                </w:tcMar>
              </w:tcPr>
              <w:p w:rsidR="00E85A05" w:rsidRPr="009765BB" w:rsidRDefault="009765BB" w:rsidP="009765BB">
                <w:pPr>
                  <w:autoSpaceDE w:val="0"/>
                  <w:autoSpaceDN w:val="0"/>
                  <w:adjustRightInd w:val="0"/>
                  <w:rPr>
                    <w:rFonts w:ascii="Times New Roman" w:hAnsi="Times New Roman" w:cs="Times New Roman"/>
                    <w:sz w:val="24"/>
                    <w:szCs w:val="24"/>
                  </w:rPr>
                </w:pPr>
                <w:r w:rsidRPr="009765BB">
                  <w:rPr>
                    <w:rFonts w:cs="Times New Roman"/>
                  </w:rPr>
                  <w:t xml:space="preserve">In a career spanning 1910-1951, Charles H. Williams was a pioneering educator, author, choreographer, and athletic director at the Hampton Institute in Virginia, an all-black school that focused on the vocational education of young people. His interest in dance came from his work developing new ways to connect physical education, creative movement, and recreation with self-improvement and moral development. Echoing the New Negro philosophy of the Harlem Renaissance and paralleling the efforts of Edna Guy, </w:t>
                </w:r>
                <w:proofErr w:type="spellStart"/>
                <w:r w:rsidRPr="009765BB">
                  <w:rPr>
                    <w:rFonts w:cs="Times New Roman"/>
                  </w:rPr>
                  <w:t>Hemsley</w:t>
                </w:r>
                <w:proofErr w:type="spellEnd"/>
                <w:r w:rsidRPr="009765BB">
                  <w:rPr>
                    <w:rFonts w:cs="Times New Roman"/>
                  </w:rPr>
                  <w:t xml:space="preserve"> Winfield, and </w:t>
                </w:r>
                <w:proofErr w:type="spellStart"/>
                <w:r w:rsidRPr="009765BB">
                  <w:rPr>
                    <w:rFonts w:cs="Times New Roman"/>
                  </w:rPr>
                  <w:t>Asadata</w:t>
                </w:r>
                <w:proofErr w:type="spellEnd"/>
                <w:r w:rsidRPr="009765BB">
                  <w:rPr>
                    <w:rFonts w:cs="Times New Roman"/>
                  </w:rPr>
                  <w:t xml:space="preserve"> </w:t>
                </w:r>
                <w:proofErr w:type="spellStart"/>
                <w:r w:rsidRPr="009765BB">
                  <w:rPr>
                    <w:rFonts w:cs="Times New Roman"/>
                  </w:rPr>
                  <w:t>Dafora</w:t>
                </w:r>
                <w:proofErr w:type="spellEnd"/>
                <w:r w:rsidRPr="009765BB">
                  <w:rPr>
                    <w:rFonts w:cs="Times New Roman"/>
                  </w:rPr>
                  <w:t xml:space="preserve">, he believed that dance served the important purpose of connecting African Americans to their heritage. Inspired in part by his association with modern dance pioneer Ted Shawn, he founded the Hampton Institute Creative Dance Group in 1934. At a time when higher education was largely segregated, this non-professional African-American concert dance group toured nationally and, in so doing, created a place for modern dance within historically Black colleges and an audience for modern dance among the Black middle-class. </w:t>
                </w:r>
              </w:p>
            </w:tc>
          </w:sdtContent>
        </w:sdt>
      </w:tr>
      <w:tr w:rsidR="003F0D73" w:rsidTr="003F0D73">
        <w:sdt>
          <w:sdtPr>
            <w:alias w:val="Article text"/>
            <w:tag w:val="articleText"/>
            <w:id w:val="634067588"/>
            <w:placeholder>
              <w:docPart w:val="F19515CBBD5D7741B90FC11AF27366C5"/>
            </w:placeholder>
          </w:sdtPr>
          <w:sdtEndPr/>
          <w:sdtContent>
            <w:tc>
              <w:tcPr>
                <w:tcW w:w="9016" w:type="dxa"/>
                <w:tcMar>
                  <w:top w:w="113" w:type="dxa"/>
                  <w:bottom w:w="113" w:type="dxa"/>
                </w:tcMar>
              </w:tcPr>
              <w:p w:rsidR="009765BB" w:rsidRPr="009765BB" w:rsidRDefault="009765BB" w:rsidP="009765BB">
                <w:pPr>
                  <w:autoSpaceDE w:val="0"/>
                  <w:autoSpaceDN w:val="0"/>
                  <w:adjustRightInd w:val="0"/>
                  <w:rPr>
                    <w:rStyle w:val="Heading1Char"/>
                  </w:rPr>
                </w:pPr>
                <w:r w:rsidRPr="009765BB">
                  <w:rPr>
                    <w:rStyle w:val="Heading1Char"/>
                  </w:rPr>
                  <w:t xml:space="preserve">Summary </w:t>
                </w:r>
              </w:p>
              <w:p w:rsidR="009765BB" w:rsidRDefault="009765BB" w:rsidP="009765BB">
                <w:pPr>
                  <w:autoSpaceDE w:val="0"/>
                  <w:autoSpaceDN w:val="0"/>
                  <w:adjustRightInd w:val="0"/>
                  <w:rPr>
                    <w:rFonts w:cs="Times New Roman"/>
                  </w:rPr>
                </w:pPr>
              </w:p>
              <w:p w:rsidR="009765BB" w:rsidRPr="009765BB" w:rsidRDefault="009765BB" w:rsidP="009765BB">
                <w:pPr>
                  <w:autoSpaceDE w:val="0"/>
                  <w:autoSpaceDN w:val="0"/>
                  <w:adjustRightInd w:val="0"/>
                  <w:rPr>
                    <w:rFonts w:cs="Times New Roman"/>
                  </w:rPr>
                </w:pPr>
                <w:r w:rsidRPr="009765BB">
                  <w:rPr>
                    <w:rFonts w:cs="Times New Roman"/>
                  </w:rPr>
                  <w:t xml:space="preserve">In a career spanning 1910-1951, Charles H. Williams was a pioneering educator, author, choreographer, and athletic director at the Hampton Institute in Virginia, an all-black school that focused on the vocational education of young people. His interest in dance came from his work developing new ways to connect physical education, creative movement, and recreation with self-improvement and moral development. Echoing the New Negro philosophy of the Harlem Renaissance and paralleling the efforts of Edna Guy, </w:t>
                </w:r>
                <w:proofErr w:type="spellStart"/>
                <w:r w:rsidRPr="009765BB">
                  <w:rPr>
                    <w:rFonts w:cs="Times New Roman"/>
                  </w:rPr>
                  <w:t>Hemsley</w:t>
                </w:r>
                <w:proofErr w:type="spellEnd"/>
                <w:r w:rsidRPr="009765BB">
                  <w:rPr>
                    <w:rFonts w:cs="Times New Roman"/>
                  </w:rPr>
                  <w:t xml:space="preserve"> Winfield, and </w:t>
                </w:r>
                <w:proofErr w:type="spellStart"/>
                <w:r w:rsidRPr="009765BB">
                  <w:rPr>
                    <w:rFonts w:cs="Times New Roman"/>
                  </w:rPr>
                  <w:t>Asadata</w:t>
                </w:r>
                <w:proofErr w:type="spellEnd"/>
                <w:r w:rsidRPr="009765BB">
                  <w:rPr>
                    <w:rFonts w:cs="Times New Roman"/>
                  </w:rPr>
                  <w:t xml:space="preserve"> </w:t>
                </w:r>
                <w:proofErr w:type="spellStart"/>
                <w:r w:rsidRPr="009765BB">
                  <w:rPr>
                    <w:rFonts w:cs="Times New Roman"/>
                  </w:rPr>
                  <w:t>Dafora</w:t>
                </w:r>
                <w:proofErr w:type="spellEnd"/>
                <w:r w:rsidRPr="009765BB">
                  <w:rPr>
                    <w:rFonts w:cs="Times New Roman"/>
                  </w:rPr>
                  <w:t xml:space="preserve">, he believed that dance served the important purpose of connecting African Americans to their heritage. Inspired in part by his association with modern dance pioneer Ted Shawn, he founded the Hampton Institute Creative Dance Group in 1934. At a time when higher education was largely segregated, this non-professional African-American concert dance group toured nationally and, in so doing, created a place for modern dance within historically Black colleges and an audience for modern dance among the Black middle-class. </w:t>
                </w:r>
              </w:p>
              <w:p w:rsidR="009765BB" w:rsidRPr="009765BB" w:rsidRDefault="009765BB" w:rsidP="009765BB">
                <w:pPr>
                  <w:autoSpaceDE w:val="0"/>
                  <w:autoSpaceDN w:val="0"/>
                  <w:adjustRightInd w:val="0"/>
                  <w:rPr>
                    <w:rFonts w:cs="Times New Roman"/>
                    <w:b/>
                  </w:rPr>
                </w:pPr>
              </w:p>
              <w:p w:rsidR="009765BB" w:rsidRPr="009765BB" w:rsidRDefault="009765BB" w:rsidP="009765BB">
                <w:pPr>
                  <w:pStyle w:val="Heading1"/>
                </w:pPr>
                <w:r w:rsidRPr="009765BB">
                  <w:t xml:space="preserve">Early Development </w:t>
                </w:r>
              </w:p>
              <w:p w:rsidR="009765BB" w:rsidRPr="009765BB" w:rsidRDefault="009765BB" w:rsidP="009765BB">
                <w:pPr>
                  <w:autoSpaceDE w:val="0"/>
                  <w:autoSpaceDN w:val="0"/>
                  <w:adjustRightInd w:val="0"/>
                  <w:rPr>
                    <w:rFonts w:cs="Times New Roman"/>
                  </w:rPr>
                </w:pPr>
                <w:r w:rsidRPr="009765BB">
                  <w:rPr>
                    <w:rFonts w:cs="Times New Roman"/>
                  </w:rPr>
                  <w:t xml:space="preserve">Charles H. Williams first attended the racially integrated Berea College in Kentucky, but when a state law in 1905 mandated educational segregation, Williams transferred to Hampton Institute, where he became an outstanding athlete and after graduating in 1910 took the position of athletic director. A performance by </w:t>
                </w:r>
                <w:proofErr w:type="spellStart"/>
                <w:r w:rsidRPr="009765BB">
                  <w:rPr>
                    <w:rFonts w:cs="Times New Roman"/>
                  </w:rPr>
                  <w:t>Denishawn</w:t>
                </w:r>
                <w:proofErr w:type="spellEnd"/>
                <w:r w:rsidRPr="009765BB">
                  <w:rPr>
                    <w:rFonts w:cs="Times New Roman"/>
                  </w:rPr>
                  <w:t xml:space="preserve"> at the school in 1925 introduced him to the world </w:t>
                </w:r>
                <w:r w:rsidRPr="009765BB">
                  <w:rPr>
                    <w:rFonts w:cs="Times New Roman"/>
                  </w:rPr>
                  <w:lastRenderedPageBreak/>
                  <w:t xml:space="preserve">of concert dance and to Ted Shawn, who became a friend and colleague. Williams earned a Master’s Degree at the Harvard Summer School of Physical Training in 1930, and in the summers of 1937 and 1938 he visited the Bennington School of the Dance where he observed classes and saw performances. In summer 1938 he also took class with Doris Humphrey and </w:t>
                </w:r>
                <w:proofErr w:type="spellStart"/>
                <w:r w:rsidRPr="009765BB">
                  <w:rPr>
                    <w:rFonts w:cs="Times New Roman"/>
                  </w:rPr>
                  <w:t>Hanya</w:t>
                </w:r>
                <w:proofErr w:type="spellEnd"/>
                <w:r w:rsidRPr="009765BB">
                  <w:rPr>
                    <w:rFonts w:cs="Times New Roman"/>
                  </w:rPr>
                  <w:t xml:space="preserve"> Holm in New York City. </w:t>
                </w:r>
              </w:p>
              <w:p w:rsidR="009765BB" w:rsidRPr="009765BB" w:rsidRDefault="009765BB" w:rsidP="009765BB">
                <w:pPr>
                  <w:autoSpaceDE w:val="0"/>
                  <w:autoSpaceDN w:val="0"/>
                  <w:adjustRightInd w:val="0"/>
                  <w:rPr>
                    <w:rFonts w:cs="Times New Roman"/>
                  </w:rPr>
                </w:pPr>
              </w:p>
              <w:p w:rsidR="009765BB" w:rsidRPr="009765BB" w:rsidRDefault="009765BB" w:rsidP="009765BB">
                <w:pPr>
                  <w:autoSpaceDE w:val="0"/>
                  <w:autoSpaceDN w:val="0"/>
                  <w:adjustRightInd w:val="0"/>
                  <w:rPr>
                    <w:rFonts w:cs="Times New Roman"/>
                  </w:rPr>
                </w:pPr>
                <w:r w:rsidRPr="009765BB">
                  <w:rPr>
                    <w:rFonts w:cs="Times New Roman"/>
                  </w:rPr>
                  <w:t xml:space="preserve">In the first twenty-five years of his tenure at Hampton, Williams’ powerful, multifaceted position allowed him to draw on the rich black musical and cultural environment of the school. He organized pageants, drills, various national dances, and physical education demonstrations as part of the Institute’s mission to </w:t>
                </w:r>
                <w:proofErr w:type="spellStart"/>
                <w:r w:rsidRPr="009765BB">
                  <w:rPr>
                    <w:rFonts w:cs="Times New Roman"/>
                  </w:rPr>
                  <w:t>instill</w:t>
                </w:r>
                <w:proofErr w:type="spellEnd"/>
                <w:r w:rsidRPr="009765BB">
                  <w:rPr>
                    <w:rFonts w:cs="Times New Roman"/>
                  </w:rPr>
                  <w:t xml:space="preserve"> moral lessons and self-improvement. But it was not until 1934 that Williams established the Hampton Institute Creative Dance Group, one year after Ted Shawn had returned to Hampton with his all-male troupe. Shawn’s use of </w:t>
                </w:r>
                <w:proofErr w:type="spellStart"/>
                <w:r w:rsidRPr="009765BB">
                  <w:rPr>
                    <w:rFonts w:cs="Times New Roman"/>
                  </w:rPr>
                  <w:t>Delsartian</w:t>
                </w:r>
                <w:proofErr w:type="spellEnd"/>
                <w:r w:rsidRPr="009765BB">
                  <w:rPr>
                    <w:rFonts w:cs="Times New Roman"/>
                  </w:rPr>
                  <w:t xml:space="preserve"> </w:t>
                </w:r>
                <w:proofErr w:type="spellStart"/>
                <w:r w:rsidRPr="009765BB">
                  <w:rPr>
                    <w:rFonts w:cs="Times New Roman"/>
                  </w:rPr>
                  <w:t>plastique</w:t>
                </w:r>
                <w:proofErr w:type="spellEnd"/>
                <w:r w:rsidRPr="009765BB">
                  <w:rPr>
                    <w:rFonts w:cs="Times New Roman"/>
                  </w:rPr>
                  <w:t xml:space="preserve"> (musically-inflected poses), his emphasis on the male dancer, and his own interest in ‘Negro’ themes appealed to Williams’ developing aesthetic. Also influential was Williams’ trip to the 1933 Century of Progress exhibition in Chicago, where he saw traditional dances from Nigeria and Ghana—‘a pleasing discovery,’ he wrote in the Hampton journal, </w:t>
                </w:r>
                <w:r w:rsidRPr="009765BB">
                  <w:rPr>
                    <w:rFonts w:cs="Times New Roman"/>
                    <w:i/>
                  </w:rPr>
                  <w:t>Southern Workman</w:t>
                </w:r>
                <w:r w:rsidRPr="009765BB">
                  <w:rPr>
                    <w:rFonts w:cs="Times New Roman"/>
                  </w:rPr>
                  <w:t>, for the traditional dances countered stereotypes of African ‘jungle’ dances in popular entertainment. Rather, ‘they tell a story of war, thanksgiving, death or love, and are connected in some way with the life of the people.’</w:t>
                </w:r>
                <w:r w:rsidRPr="009765BB">
                  <w:rPr>
                    <w:rStyle w:val="EndnoteReference"/>
                    <w:rFonts w:cs="Times New Roman"/>
                  </w:rPr>
                  <w:endnoteReference w:id="1"/>
                </w:r>
                <w:r w:rsidRPr="009765BB">
                  <w:rPr>
                    <w:rFonts w:cs="Times New Roman"/>
                  </w:rPr>
                  <w:t xml:space="preserve"> </w:t>
                </w:r>
              </w:p>
              <w:p w:rsidR="009765BB" w:rsidRPr="009765BB" w:rsidRDefault="009765BB" w:rsidP="009765BB">
                <w:pPr>
                  <w:autoSpaceDE w:val="0"/>
                  <w:autoSpaceDN w:val="0"/>
                  <w:adjustRightInd w:val="0"/>
                  <w:rPr>
                    <w:rFonts w:cs="Times New Roman"/>
                  </w:rPr>
                </w:pPr>
              </w:p>
              <w:p w:rsidR="009765BB" w:rsidRPr="009765BB" w:rsidRDefault="009765BB" w:rsidP="009765BB">
                <w:pPr>
                  <w:pStyle w:val="Heading1"/>
                </w:pPr>
                <w:r w:rsidRPr="009765BB">
                  <w:t>Contributions to the Field and to Modernism</w:t>
                </w:r>
              </w:p>
              <w:p w:rsidR="009765BB" w:rsidRPr="009765BB" w:rsidRDefault="009765BB" w:rsidP="009765BB">
                <w:pPr>
                  <w:autoSpaceDE w:val="0"/>
                  <w:autoSpaceDN w:val="0"/>
                  <w:adjustRightInd w:val="0"/>
                  <w:rPr>
                    <w:rFonts w:cs="Times New Roman"/>
                  </w:rPr>
                </w:pPr>
                <w:r w:rsidRPr="009765BB">
                  <w:rPr>
                    <w:rFonts w:cs="Times New Roman"/>
                  </w:rPr>
                  <w:t xml:space="preserve">Williams created a diverse repertoire of dances with the help of several male students from Africa and with the assistance of Bernice Smothers and later Charlotte </w:t>
                </w:r>
                <w:proofErr w:type="spellStart"/>
                <w:r w:rsidRPr="009765BB">
                  <w:rPr>
                    <w:rFonts w:cs="Times New Roman"/>
                  </w:rPr>
                  <w:t>Moton</w:t>
                </w:r>
                <w:proofErr w:type="spellEnd"/>
                <w:r w:rsidRPr="009765BB">
                  <w:rPr>
                    <w:rFonts w:cs="Times New Roman"/>
                  </w:rPr>
                  <w:t>, herself a student at Bennington.</w:t>
                </w:r>
                <w:r w:rsidRPr="009765BB">
                  <w:rPr>
                    <w:rStyle w:val="EndnoteReference"/>
                    <w:rFonts w:cs="Times New Roman"/>
                  </w:rPr>
                  <w:endnoteReference w:id="2"/>
                </w:r>
                <w:r w:rsidRPr="009765BB">
                  <w:rPr>
                    <w:rFonts w:cs="Times New Roman"/>
                  </w:rPr>
                  <w:t xml:space="preserve"> He presented dances on black cultural themes, adapted African dance forms, and pursued more abstract compositions that emulated Shawn’s emphasis on male dancers. (</w:t>
                </w:r>
                <w:proofErr w:type="gramStart"/>
                <w:r w:rsidRPr="009765BB">
                  <w:rPr>
                    <w:rFonts w:cs="Times New Roman"/>
                  </w:rPr>
                  <w:t xml:space="preserve">Group works featuring women were generally choreographed by Smothers or </w:t>
                </w:r>
                <w:proofErr w:type="spellStart"/>
                <w:r w:rsidRPr="009765BB">
                  <w:rPr>
                    <w:rFonts w:cs="Times New Roman"/>
                  </w:rPr>
                  <w:t>Moton</w:t>
                </w:r>
                <w:proofErr w:type="spellEnd"/>
                <w:proofErr w:type="gramEnd"/>
                <w:r w:rsidRPr="009765BB">
                  <w:rPr>
                    <w:rFonts w:cs="Times New Roman"/>
                  </w:rPr>
                  <w:t xml:space="preserve">.) The first performance of the Creative Dance Group in 1934 included </w:t>
                </w:r>
                <w:r w:rsidRPr="009765BB">
                  <w:rPr>
                    <w:rFonts w:cs="Times New Roman"/>
                    <w:i/>
                  </w:rPr>
                  <w:t>The</w:t>
                </w:r>
                <w:r w:rsidRPr="009765BB">
                  <w:rPr>
                    <w:rFonts w:cs="Times New Roman"/>
                  </w:rPr>
                  <w:t xml:space="preserve"> </w:t>
                </w:r>
                <w:r w:rsidRPr="009765BB">
                  <w:rPr>
                    <w:rFonts w:cs="Times New Roman"/>
                    <w:i/>
                  </w:rPr>
                  <w:t>Feast of Ramadan</w:t>
                </w:r>
                <w:r w:rsidRPr="009765BB">
                  <w:rPr>
                    <w:rFonts w:cs="Times New Roman"/>
                  </w:rPr>
                  <w:t xml:space="preserve">; </w:t>
                </w:r>
                <w:proofErr w:type="spellStart"/>
                <w:r w:rsidRPr="009765BB">
                  <w:rPr>
                    <w:rFonts w:cs="Times New Roman"/>
                    <w:i/>
                  </w:rPr>
                  <w:t>Ya</w:t>
                </w:r>
                <w:proofErr w:type="spellEnd"/>
                <w:r w:rsidRPr="009765BB">
                  <w:rPr>
                    <w:rFonts w:cs="Times New Roman"/>
                    <w:i/>
                  </w:rPr>
                  <w:t xml:space="preserve"> Ma </w:t>
                </w:r>
                <w:proofErr w:type="spellStart"/>
                <w:r w:rsidRPr="009765BB">
                  <w:rPr>
                    <w:rFonts w:cs="Times New Roman"/>
                    <w:i/>
                  </w:rPr>
                  <w:t>Wisee</w:t>
                </w:r>
                <w:proofErr w:type="spellEnd"/>
                <w:r w:rsidRPr="009765BB">
                  <w:rPr>
                    <w:rFonts w:cs="Times New Roman"/>
                  </w:rPr>
                  <w:t xml:space="preserve">, a dance of thanksgiving; and the very successful </w:t>
                </w:r>
                <w:r w:rsidRPr="009765BB">
                  <w:rPr>
                    <w:rFonts w:cs="Times New Roman"/>
                    <w:i/>
                  </w:rPr>
                  <w:t xml:space="preserve">Men of </w:t>
                </w:r>
                <w:proofErr w:type="spellStart"/>
                <w:r w:rsidRPr="009765BB">
                  <w:rPr>
                    <w:rFonts w:cs="Times New Roman"/>
                    <w:i/>
                  </w:rPr>
                  <w:t>Valor</w:t>
                </w:r>
                <w:proofErr w:type="spellEnd"/>
                <w:r w:rsidRPr="009765BB">
                  <w:rPr>
                    <w:rFonts w:cs="Times New Roman"/>
                  </w:rPr>
                  <w:t xml:space="preserve">, a high-intensity athletic piece, which drew from sports activities such as boxing, sprinting, and shot putting and reflected both Shawn’s influence as well as Williams’ own extensive experience with athletics. In 1935 Williams created </w:t>
                </w:r>
                <w:proofErr w:type="spellStart"/>
                <w:r w:rsidRPr="009765BB">
                  <w:rPr>
                    <w:rFonts w:cs="Times New Roman"/>
                    <w:i/>
                  </w:rPr>
                  <w:t>Labor</w:t>
                </w:r>
                <w:proofErr w:type="spellEnd"/>
                <w:r w:rsidRPr="009765BB">
                  <w:rPr>
                    <w:rFonts w:cs="Times New Roman"/>
                    <w:i/>
                  </w:rPr>
                  <w:t xml:space="preserve"> Rhythms</w:t>
                </w:r>
                <w:r w:rsidRPr="009765BB">
                  <w:rPr>
                    <w:rFonts w:cs="Times New Roman"/>
                  </w:rPr>
                  <w:t xml:space="preserve">, which was inspired by black labourers in Cuba and included a section choreographed by Ted Shawn entitled ‘Cutting the Sugar Cane.’  </w:t>
                </w:r>
              </w:p>
              <w:p w:rsidR="009765BB" w:rsidRPr="009765BB" w:rsidRDefault="009765BB" w:rsidP="009765BB">
                <w:pPr>
                  <w:autoSpaceDE w:val="0"/>
                  <w:autoSpaceDN w:val="0"/>
                  <w:adjustRightInd w:val="0"/>
                  <w:ind w:firstLine="720"/>
                  <w:rPr>
                    <w:rFonts w:cs="Times New Roman"/>
                  </w:rPr>
                </w:pPr>
              </w:p>
              <w:p w:rsidR="009765BB" w:rsidRPr="009765BB" w:rsidRDefault="009765BB" w:rsidP="009765BB">
                <w:pPr>
                  <w:autoSpaceDE w:val="0"/>
                  <w:autoSpaceDN w:val="0"/>
                  <w:adjustRightInd w:val="0"/>
                  <w:rPr>
                    <w:rFonts w:cs="Times New Roman"/>
                  </w:rPr>
                </w:pPr>
                <w:r w:rsidRPr="009765BB">
                  <w:rPr>
                    <w:rFonts w:cs="Times New Roman"/>
                  </w:rPr>
                  <w:t xml:space="preserve">Critical reaction to the company was generally </w:t>
                </w:r>
                <w:proofErr w:type="spellStart"/>
                <w:r w:rsidRPr="009765BB">
                  <w:rPr>
                    <w:rFonts w:cs="Times New Roman"/>
                  </w:rPr>
                  <w:t>favorable</w:t>
                </w:r>
                <w:proofErr w:type="spellEnd"/>
                <w:r w:rsidRPr="009765BB">
                  <w:rPr>
                    <w:rFonts w:cs="Times New Roman"/>
                  </w:rPr>
                  <w:t xml:space="preserve">, although the company’s performance style was seen by some as reserved and not fully integrated in its aesthetic focus. Inspired by Edna Guy and Alison Burroughs’ Negro Dance Evening in 1937, Williams scheduled his Hampton Institute Creative Dance Group at the same New York venue later that same year. Introducing the student ensemble to readers of </w:t>
                </w:r>
                <w:r w:rsidRPr="009765BB">
                  <w:rPr>
                    <w:rFonts w:cs="Times New Roman"/>
                    <w:i/>
                  </w:rPr>
                  <w:t>Dance Observer</w:t>
                </w:r>
                <w:r w:rsidRPr="009765BB">
                  <w:rPr>
                    <w:rFonts w:cs="Times New Roman"/>
                  </w:rPr>
                  <w:t xml:space="preserve">, Williams described his intention to </w:t>
                </w:r>
                <w:proofErr w:type="spellStart"/>
                <w:r w:rsidRPr="009765BB">
                  <w:rPr>
                    <w:rFonts w:cs="Times New Roman"/>
                  </w:rPr>
                  <w:t>instill</w:t>
                </w:r>
                <w:proofErr w:type="spellEnd"/>
                <w:r w:rsidRPr="009765BB">
                  <w:rPr>
                    <w:rFonts w:cs="Times New Roman"/>
                  </w:rPr>
                  <w:t xml:space="preserve"> in members of the group ‘a feeling of pride and genuine appreciation for a great racial heritage.’ He goes on to note that the group had performed for both ‘Negro and white’ audiences at historically black colleges as well as at elite women’s colleges such as Bryn </w:t>
                </w:r>
                <w:proofErr w:type="spellStart"/>
                <w:r w:rsidRPr="009765BB">
                  <w:rPr>
                    <w:rFonts w:cs="Times New Roman"/>
                  </w:rPr>
                  <w:t>Mawr</w:t>
                </w:r>
                <w:proofErr w:type="spellEnd"/>
                <w:r w:rsidRPr="009765BB">
                  <w:rPr>
                    <w:rFonts w:cs="Times New Roman"/>
                  </w:rPr>
                  <w:t>.</w:t>
                </w:r>
                <w:r w:rsidRPr="009765BB">
                  <w:rPr>
                    <w:rStyle w:val="EndnoteReference"/>
                    <w:rFonts w:cs="Times New Roman"/>
                  </w:rPr>
                  <w:endnoteReference w:id="3"/>
                </w:r>
                <w:r w:rsidRPr="009765BB">
                  <w:rPr>
                    <w:rFonts w:cs="Times New Roman"/>
                  </w:rPr>
                  <w:t xml:space="preserve"> In other words, Williams aimed for as broad an audience as possible, despite the de facto segregation of many theatres during the 1930s. </w:t>
                </w:r>
              </w:p>
              <w:p w:rsidR="009765BB" w:rsidRPr="009765BB" w:rsidRDefault="009765BB" w:rsidP="009765BB">
                <w:pPr>
                  <w:autoSpaceDE w:val="0"/>
                  <w:autoSpaceDN w:val="0"/>
                  <w:adjustRightInd w:val="0"/>
                  <w:rPr>
                    <w:rFonts w:cs="Times New Roman"/>
                    <w:u w:val="single"/>
                  </w:rPr>
                </w:pPr>
              </w:p>
              <w:p w:rsidR="009765BB" w:rsidRPr="009765BB" w:rsidRDefault="009765BB" w:rsidP="009765BB">
                <w:pPr>
                  <w:pStyle w:val="Heading1"/>
                </w:pPr>
                <w:r w:rsidRPr="009765BB">
                  <w:t>Legacy</w:t>
                </w:r>
              </w:p>
              <w:p w:rsidR="009765BB" w:rsidRPr="009765BB" w:rsidRDefault="009765BB" w:rsidP="009765BB">
                <w:pPr>
                  <w:rPr>
                    <w:rFonts w:eastAsia="Times New Roman" w:cs="Times New Roman"/>
                  </w:rPr>
                </w:pPr>
                <w:r w:rsidRPr="009765BB">
                  <w:rPr>
                    <w:rFonts w:cs="Times New Roman"/>
                  </w:rPr>
                  <w:t xml:space="preserve">Williams’ pioneering fusions of dance, physical education, and embodied Black culture helped establish new standards for the educational and creative self-expression of young people. Along with </w:t>
                </w:r>
                <w:proofErr w:type="spellStart"/>
                <w:r w:rsidRPr="009765BB">
                  <w:rPr>
                    <w:rFonts w:cs="Times New Roman"/>
                  </w:rPr>
                  <w:t>Asadata</w:t>
                </w:r>
                <w:proofErr w:type="spellEnd"/>
                <w:r w:rsidRPr="009765BB">
                  <w:rPr>
                    <w:rFonts w:cs="Times New Roman"/>
                  </w:rPr>
                  <w:t xml:space="preserve"> </w:t>
                </w:r>
                <w:proofErr w:type="spellStart"/>
                <w:r w:rsidRPr="009765BB">
                  <w:rPr>
                    <w:rFonts w:cs="Times New Roman"/>
                  </w:rPr>
                  <w:t>Dafora</w:t>
                </w:r>
                <w:proofErr w:type="spellEnd"/>
                <w:r w:rsidRPr="009765BB">
                  <w:rPr>
                    <w:rFonts w:cs="Times New Roman"/>
                  </w:rPr>
                  <w:t xml:space="preserve">, he was among the first to introduce traditional African dance to the concert stage and, along with </w:t>
                </w:r>
                <w:proofErr w:type="spellStart"/>
                <w:r w:rsidRPr="009765BB">
                  <w:rPr>
                    <w:rFonts w:cs="Times New Roman"/>
                  </w:rPr>
                  <w:t>Hemsley</w:t>
                </w:r>
                <w:proofErr w:type="spellEnd"/>
                <w:r w:rsidRPr="009765BB">
                  <w:rPr>
                    <w:rFonts w:cs="Times New Roman"/>
                  </w:rPr>
                  <w:t xml:space="preserve"> Winfield and Edna Guy, he was among the first to address issues </w:t>
                </w:r>
                <w:r w:rsidRPr="009765BB">
                  <w:rPr>
                    <w:rFonts w:cs="Times New Roman"/>
                  </w:rPr>
                  <w:lastRenderedPageBreak/>
                  <w:t xml:space="preserve">specific to the Black experience. And, like Margaret </w:t>
                </w:r>
                <w:proofErr w:type="spellStart"/>
                <w:r w:rsidRPr="009765BB">
                  <w:rPr>
                    <w:rFonts w:cs="Times New Roman"/>
                  </w:rPr>
                  <w:t>H’Doubler</w:t>
                </w:r>
                <w:proofErr w:type="spellEnd"/>
                <w:r w:rsidRPr="009765BB">
                  <w:rPr>
                    <w:rFonts w:cs="Times New Roman"/>
                  </w:rPr>
                  <w:t xml:space="preserve"> at the University of Wisconsin and Martha Hill at Bennington, Williams was among the earliest educators to advocate for modern dance as integral to the university curriculum. Many members of the </w:t>
                </w:r>
                <w:r w:rsidRPr="009765BB">
                  <w:rPr>
                    <w:rFonts w:eastAsia="Times New Roman" w:cs="Times New Roman"/>
                  </w:rPr>
                  <w:t>Hampton Institute Creative Dance Group went on to teach dance and physical education at schools and colleges across the country, and they took with them Williams’ ideas about dance as a means for education in cultural diversity.</w:t>
                </w:r>
              </w:p>
              <w:p w:rsidR="009765BB" w:rsidRPr="009765BB" w:rsidRDefault="009765BB" w:rsidP="009765BB">
                <w:pPr>
                  <w:rPr>
                    <w:rFonts w:eastAsia="Times New Roman" w:cs="Times New Roman"/>
                  </w:rPr>
                </w:pPr>
              </w:p>
              <w:p w:rsidR="009765BB" w:rsidRPr="009765BB" w:rsidRDefault="009765BB" w:rsidP="009765BB">
                <w:pPr>
                  <w:pStyle w:val="Heading1"/>
                </w:pPr>
                <w:r>
                  <w:t>Selected Works</w:t>
                </w:r>
              </w:p>
              <w:p w:rsidR="009765BB" w:rsidRPr="009765BB" w:rsidRDefault="009765BB" w:rsidP="009765BB">
                <w:pPr>
                  <w:pStyle w:val="Heading2"/>
                </w:pPr>
                <w:r w:rsidRPr="009765BB">
                  <w:t xml:space="preserve">Selected Choreographic Works  </w:t>
                </w:r>
              </w:p>
              <w:p w:rsidR="009765BB" w:rsidRPr="009765BB" w:rsidRDefault="009765BB" w:rsidP="009765BB">
                <w:pPr>
                  <w:pStyle w:val="NormalfollowingH2"/>
                </w:pPr>
                <w:r w:rsidRPr="009765BB">
                  <w:t>The Feast of Ramadan (1934)</w:t>
                </w:r>
              </w:p>
              <w:p w:rsidR="009765BB" w:rsidRPr="009765BB" w:rsidRDefault="009765BB" w:rsidP="009765BB">
                <w:pPr>
                  <w:pStyle w:val="NormalfollowingH2"/>
                </w:pPr>
                <w:proofErr w:type="spellStart"/>
                <w:r w:rsidRPr="009765BB">
                  <w:t>Ya</w:t>
                </w:r>
                <w:proofErr w:type="spellEnd"/>
                <w:r w:rsidRPr="009765BB">
                  <w:t xml:space="preserve"> Ma </w:t>
                </w:r>
                <w:proofErr w:type="spellStart"/>
                <w:r w:rsidRPr="009765BB">
                  <w:t>Wisee</w:t>
                </w:r>
                <w:proofErr w:type="spellEnd"/>
                <w:r w:rsidRPr="009765BB">
                  <w:t xml:space="preserve"> (1934)</w:t>
                </w:r>
              </w:p>
              <w:p w:rsidR="009765BB" w:rsidRPr="009765BB" w:rsidRDefault="009765BB" w:rsidP="009765BB">
                <w:pPr>
                  <w:pStyle w:val="NormalfollowingH2"/>
                </w:pPr>
                <w:r w:rsidRPr="009765BB">
                  <w:t xml:space="preserve">Men of </w:t>
                </w:r>
                <w:proofErr w:type="spellStart"/>
                <w:r w:rsidRPr="009765BB">
                  <w:t>Valor</w:t>
                </w:r>
                <w:proofErr w:type="spellEnd"/>
                <w:r w:rsidRPr="009765BB">
                  <w:t xml:space="preserve"> (1934)</w:t>
                </w:r>
              </w:p>
              <w:p w:rsidR="009765BB" w:rsidRPr="009765BB" w:rsidRDefault="009765BB" w:rsidP="009765BB">
                <w:pPr>
                  <w:pStyle w:val="NormalfollowingH2"/>
                </w:pPr>
                <w:proofErr w:type="spellStart"/>
                <w:r w:rsidRPr="009765BB">
                  <w:t>Labor</w:t>
                </w:r>
                <w:proofErr w:type="spellEnd"/>
                <w:r w:rsidRPr="009765BB">
                  <w:t xml:space="preserve"> Rhythms (1935)</w:t>
                </w:r>
              </w:p>
              <w:p w:rsidR="009765BB" w:rsidRPr="009765BB" w:rsidRDefault="009765BB" w:rsidP="009765BB">
                <w:pPr>
                  <w:pStyle w:val="NormalfollowingH2"/>
                </w:pPr>
                <w:r w:rsidRPr="009765BB">
                  <w:t>Cycle of Depression (1935)</w:t>
                </w:r>
              </w:p>
              <w:p w:rsidR="009765BB" w:rsidRPr="009765BB" w:rsidRDefault="009765BB" w:rsidP="009765BB">
                <w:pPr>
                  <w:pStyle w:val="NormalfollowingH2"/>
                </w:pPr>
                <w:r w:rsidRPr="009765BB">
                  <w:t>Dances of the People (1935)</w:t>
                </w:r>
              </w:p>
              <w:p w:rsidR="009765BB" w:rsidRPr="009765BB" w:rsidRDefault="009765BB" w:rsidP="009765BB">
                <w:pPr>
                  <w:pStyle w:val="NormalfollowingH2"/>
                </w:pPr>
                <w:r w:rsidRPr="009765BB">
                  <w:t>Cake Walk (1936)</w:t>
                </w:r>
              </w:p>
              <w:p w:rsidR="009765BB" w:rsidRPr="009765BB" w:rsidRDefault="009765BB" w:rsidP="009765BB">
                <w:pPr>
                  <w:pStyle w:val="NormalfollowingH2"/>
                </w:pPr>
                <w:r w:rsidRPr="009765BB">
                  <w:t>Juba (1936)</w:t>
                </w:r>
              </w:p>
              <w:p w:rsidR="009765BB" w:rsidRPr="009765BB" w:rsidRDefault="009765BB" w:rsidP="009765BB">
                <w:pPr>
                  <w:pStyle w:val="NormalfollowingH2"/>
                </w:pPr>
                <w:r w:rsidRPr="009765BB">
                  <w:t>African Dances (1936)</w:t>
                </w:r>
              </w:p>
              <w:p w:rsidR="009765BB" w:rsidRPr="009765BB" w:rsidRDefault="009765BB" w:rsidP="009765BB">
                <w:pPr>
                  <w:pStyle w:val="NormalfollowingH2"/>
                </w:pPr>
                <w:r w:rsidRPr="009765BB">
                  <w:t>Haitian Dances (1936)</w:t>
                </w:r>
              </w:p>
              <w:p w:rsidR="009765BB" w:rsidRPr="009765BB" w:rsidRDefault="009765BB" w:rsidP="009765BB">
                <w:pPr>
                  <w:rPr>
                    <w:rFonts w:cs="Times New Roman"/>
                  </w:rPr>
                </w:pPr>
              </w:p>
              <w:p w:rsidR="009765BB" w:rsidRPr="009765BB" w:rsidRDefault="009765BB" w:rsidP="009765BB">
                <w:pPr>
                  <w:rPr>
                    <w:rFonts w:cs="Times New Roman"/>
                  </w:rPr>
                </w:pPr>
              </w:p>
              <w:p w:rsidR="009765BB" w:rsidRPr="009765BB" w:rsidRDefault="009765BB" w:rsidP="009765BB">
                <w:pPr>
                  <w:pStyle w:val="Heading2"/>
                </w:pPr>
                <w:r w:rsidRPr="009765BB">
                  <w:t>Artist’s Writings</w:t>
                </w:r>
              </w:p>
              <w:p w:rsidR="009765BB" w:rsidRPr="009765BB" w:rsidRDefault="009765BB" w:rsidP="009765BB">
                <w:pPr>
                  <w:pStyle w:val="NormalfollowingH2"/>
                </w:pPr>
                <w:r w:rsidRPr="009765BB">
                  <w:t xml:space="preserve">Williams, C. (1923) </w:t>
                </w:r>
                <w:r w:rsidRPr="009765BB">
                  <w:rPr>
                    <w:i/>
                  </w:rPr>
                  <w:t>Sidelights on Negro Soldiers</w:t>
                </w:r>
                <w:r w:rsidRPr="009765BB">
                  <w:t xml:space="preserve">, Boston: B.J. </w:t>
                </w:r>
                <w:proofErr w:type="spellStart"/>
                <w:r w:rsidRPr="009765BB">
                  <w:t>Brimmer</w:t>
                </w:r>
                <w:proofErr w:type="spellEnd"/>
                <w:r w:rsidRPr="009765BB">
                  <w:t xml:space="preserve">. </w:t>
                </w:r>
                <w:proofErr w:type="spellStart"/>
                <w:r w:rsidRPr="009765BB">
                  <w:t>Rprt</w:t>
                </w:r>
                <w:proofErr w:type="spellEnd"/>
                <w:r w:rsidRPr="009765BB">
                  <w:t xml:space="preserve"> (1970) </w:t>
                </w:r>
                <w:r w:rsidRPr="009765BB">
                  <w:rPr>
                    <w:i/>
                  </w:rPr>
                  <w:t>Negro Soldiers in World War I: The Human Side</w:t>
                </w:r>
                <w:r w:rsidRPr="009765BB">
                  <w:t xml:space="preserve">, New York: AMS Press. </w:t>
                </w:r>
              </w:p>
              <w:p w:rsidR="009765BB" w:rsidRPr="009765BB" w:rsidRDefault="009765BB" w:rsidP="009765BB">
                <w:pPr>
                  <w:pStyle w:val="NormalfollowingH2"/>
                </w:pPr>
                <w:r w:rsidRPr="009765BB">
                  <w:t xml:space="preserve">---------- (1928) </w:t>
                </w:r>
                <w:r w:rsidRPr="009765BB">
                  <w:rPr>
                    <w:i/>
                  </w:rPr>
                  <w:t xml:space="preserve">Cotton Needs </w:t>
                </w:r>
                <w:proofErr w:type="spellStart"/>
                <w:r w:rsidRPr="009765BB">
                  <w:rPr>
                    <w:i/>
                  </w:rPr>
                  <w:t>Pickin</w:t>
                </w:r>
                <w:proofErr w:type="spellEnd"/>
                <w:r w:rsidRPr="009765BB">
                  <w:rPr>
                    <w:i/>
                  </w:rPr>
                  <w:t>’: Characteristic Negro Folk Dances</w:t>
                </w:r>
                <w:r w:rsidRPr="009765BB">
                  <w:t xml:space="preserve">, Norfolk: Guide Publishing Co. </w:t>
                </w:r>
              </w:p>
              <w:p w:rsidR="003F0D73" w:rsidRPr="009765BB" w:rsidRDefault="009765BB" w:rsidP="009765BB">
                <w:pPr>
                  <w:pStyle w:val="NormalfollowingH2"/>
                </w:pPr>
                <w:r w:rsidRPr="009765BB">
                  <w:t xml:space="preserve">---------- (1937) ‘The Hampton Institute Creative Dance Group,’ </w:t>
                </w:r>
                <w:r w:rsidRPr="009765BB">
                  <w:rPr>
                    <w:i/>
                  </w:rPr>
                  <w:t>Dance Observer</w:t>
                </w:r>
                <w:r w:rsidRPr="009765BB">
                  <w:t xml:space="preserve"> 4 (8): 97-98.</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21390D73B2FD54490CCD606586DEC63"/>
              </w:placeholder>
            </w:sdtPr>
            <w:sdtEndPr/>
            <w:sdtContent>
              <w:p w:rsidR="009765BB" w:rsidRDefault="009765BB" w:rsidP="009765BB"/>
              <w:p w:rsidR="009765BB" w:rsidRDefault="009765BB" w:rsidP="009765BB">
                <w:sdt>
                  <w:sdtPr>
                    <w:id w:val="-302473369"/>
                    <w:citation/>
                  </w:sdtPr>
                  <w:sdtContent>
                    <w:r>
                      <w:fldChar w:fldCharType="begin"/>
                    </w:r>
                    <w:r>
                      <w:rPr>
                        <w:lang w:val="en-US"/>
                      </w:rPr>
                      <w:instrText xml:space="preserve"> CITATION Emo88 \l 1033 </w:instrText>
                    </w:r>
                    <w:r>
                      <w:fldChar w:fldCharType="separate"/>
                    </w:r>
                    <w:r>
                      <w:rPr>
                        <w:noProof/>
                        <w:lang w:val="en-US"/>
                      </w:rPr>
                      <w:t>(Emory)</w:t>
                    </w:r>
                    <w:r>
                      <w:fldChar w:fldCharType="end"/>
                    </w:r>
                  </w:sdtContent>
                </w:sdt>
              </w:p>
              <w:p w:rsidR="009765BB" w:rsidRDefault="009765BB" w:rsidP="009765BB"/>
              <w:p w:rsidR="009765BB" w:rsidRDefault="009765BB" w:rsidP="009765BB">
                <w:sdt>
                  <w:sdtPr>
                    <w:id w:val="653725577"/>
                    <w:citation/>
                  </w:sdtPr>
                  <w:sdtContent>
                    <w:r>
                      <w:fldChar w:fldCharType="begin"/>
                    </w:r>
                    <w:r>
                      <w:rPr>
                        <w:lang w:val="en-US"/>
                      </w:rPr>
                      <w:instrText xml:space="preserve"> CITATION Lav12 \l 1033 </w:instrText>
                    </w:r>
                    <w:r>
                      <w:fldChar w:fldCharType="separate"/>
                    </w:r>
                    <w:r>
                      <w:rPr>
                        <w:noProof/>
                        <w:lang w:val="en-US"/>
                      </w:rPr>
                      <w:t>(Laverty)</w:t>
                    </w:r>
                    <w:r>
                      <w:fldChar w:fldCharType="end"/>
                    </w:r>
                  </w:sdtContent>
                </w:sdt>
              </w:p>
              <w:p w:rsidR="009765BB" w:rsidRDefault="009765BB" w:rsidP="009765BB"/>
              <w:p w:rsidR="009765BB" w:rsidRDefault="009765BB" w:rsidP="009765BB">
                <w:sdt>
                  <w:sdtPr>
                    <w:id w:val="965076497"/>
                    <w:citation/>
                  </w:sdtPr>
                  <w:sdtContent>
                    <w:r>
                      <w:fldChar w:fldCharType="begin"/>
                    </w:r>
                    <w:r>
                      <w:rPr>
                        <w:lang w:val="en-US"/>
                      </w:rPr>
                      <w:instrText xml:space="preserve"> CITATION Man04 \l 1033 </w:instrText>
                    </w:r>
                    <w:r>
                      <w:fldChar w:fldCharType="separate"/>
                    </w:r>
                    <w:r>
                      <w:rPr>
                        <w:noProof/>
                        <w:lang w:val="en-US"/>
                      </w:rPr>
                      <w:t>(Manning)</w:t>
                    </w:r>
                    <w:r>
                      <w:fldChar w:fldCharType="end"/>
                    </w:r>
                  </w:sdtContent>
                </w:sdt>
              </w:p>
              <w:p w:rsidR="009765BB" w:rsidRDefault="009765BB" w:rsidP="009765BB"/>
              <w:p w:rsidR="003235A7" w:rsidRDefault="009765BB" w:rsidP="009765BB">
                <w:sdt>
                  <w:sdtPr>
                    <w:id w:val="740302648"/>
                    <w:citation/>
                  </w:sdtPr>
                  <w:sdtContent>
                    <w:r>
                      <w:fldChar w:fldCharType="begin"/>
                    </w:r>
                    <w:r>
                      <w:rPr>
                        <w:lang w:val="en-US"/>
                      </w:rPr>
                      <w:instrText xml:space="preserve"> CITATION Per01 \l 1033 </w:instrText>
                    </w:r>
                    <w:r>
                      <w:fldChar w:fldCharType="separate"/>
                    </w:r>
                    <w:r>
                      <w:rPr>
                        <w:noProof/>
                        <w:lang w:val="en-US"/>
                      </w:rPr>
                      <w:t>(Perpener)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5BB" w:rsidRDefault="009765BB" w:rsidP="007A0D55">
      <w:pPr>
        <w:spacing w:after="0" w:line="240" w:lineRule="auto"/>
      </w:pPr>
      <w:r>
        <w:separator/>
      </w:r>
    </w:p>
  </w:endnote>
  <w:endnote w:type="continuationSeparator" w:id="0">
    <w:p w:rsidR="009765BB" w:rsidRDefault="009765BB" w:rsidP="007A0D55">
      <w:pPr>
        <w:spacing w:after="0" w:line="240" w:lineRule="auto"/>
      </w:pPr>
      <w:r>
        <w:continuationSeparator/>
      </w:r>
    </w:p>
  </w:endnote>
  <w:endnote w:id="1">
    <w:p w:rsidR="009765BB" w:rsidRPr="0088606B" w:rsidRDefault="009765BB" w:rsidP="009765BB">
      <w:pPr>
        <w:pStyle w:val="EndnoteText"/>
      </w:pPr>
      <w:r w:rsidRPr="0088606B">
        <w:rPr>
          <w:rStyle w:val="EndnoteReference"/>
        </w:rPr>
        <w:endnoteRef/>
      </w:r>
      <w:r w:rsidRPr="0088606B">
        <w:t xml:space="preserve">  </w:t>
      </w:r>
      <w:proofErr w:type="spellStart"/>
      <w:r w:rsidRPr="0088606B">
        <w:t>Qtd</w:t>
      </w:r>
      <w:proofErr w:type="spellEnd"/>
      <w:r w:rsidRPr="0088606B">
        <w:t xml:space="preserve"> in J. </w:t>
      </w:r>
      <w:proofErr w:type="spellStart"/>
      <w:r w:rsidRPr="0088606B">
        <w:t>Perpener</w:t>
      </w:r>
      <w:proofErr w:type="spellEnd"/>
      <w:r w:rsidRPr="0088606B">
        <w:t xml:space="preserve"> (2001) </w:t>
      </w:r>
      <w:r w:rsidRPr="0088606B">
        <w:rPr>
          <w:i/>
        </w:rPr>
        <w:t>African-American Concert Dance: The Harlem Renaissance and</w:t>
      </w:r>
      <w:r w:rsidRPr="0088606B">
        <w:t xml:space="preserve"> </w:t>
      </w:r>
      <w:r w:rsidRPr="0088606B">
        <w:rPr>
          <w:i/>
        </w:rPr>
        <w:t>Beyond</w:t>
      </w:r>
      <w:r w:rsidRPr="0088606B">
        <w:t>, Urbana: University of Illinois Press, 86.</w:t>
      </w:r>
    </w:p>
    <w:p w:rsidR="009765BB" w:rsidRPr="0088606B" w:rsidRDefault="009765BB" w:rsidP="009765BB">
      <w:pPr>
        <w:pStyle w:val="EndnoteText"/>
      </w:pPr>
    </w:p>
  </w:endnote>
  <w:endnote w:id="2">
    <w:p w:rsidR="009765BB" w:rsidRPr="0088606B" w:rsidRDefault="009765BB" w:rsidP="009765BB">
      <w:pPr>
        <w:spacing w:after="0" w:line="240" w:lineRule="auto"/>
        <w:rPr>
          <w:rFonts w:ascii="Times New Roman" w:hAnsi="Times New Roman" w:cs="Times New Roman"/>
          <w:sz w:val="20"/>
          <w:szCs w:val="20"/>
        </w:rPr>
      </w:pPr>
      <w:r w:rsidRPr="0088606B">
        <w:rPr>
          <w:rStyle w:val="EndnoteReference"/>
          <w:rFonts w:ascii="Times New Roman" w:hAnsi="Times New Roman" w:cs="Times New Roman"/>
          <w:sz w:val="20"/>
          <w:szCs w:val="20"/>
        </w:rPr>
        <w:endnoteRef/>
      </w:r>
      <w:r w:rsidRPr="0088606B">
        <w:rPr>
          <w:rFonts w:ascii="Times New Roman" w:hAnsi="Times New Roman" w:cs="Times New Roman"/>
          <w:sz w:val="20"/>
          <w:szCs w:val="20"/>
        </w:rPr>
        <w:t xml:space="preserve"> Bernice Smothers was a graduate of and faculty member at Hampton who also studied with Margaret </w:t>
      </w:r>
      <w:proofErr w:type="spellStart"/>
      <w:r w:rsidRPr="0088606B">
        <w:rPr>
          <w:rFonts w:ascii="Times New Roman" w:hAnsi="Times New Roman" w:cs="Times New Roman"/>
          <w:sz w:val="20"/>
          <w:szCs w:val="20"/>
        </w:rPr>
        <w:t>H’Doubler</w:t>
      </w:r>
      <w:proofErr w:type="spellEnd"/>
      <w:r w:rsidRPr="0088606B">
        <w:rPr>
          <w:rFonts w:ascii="Times New Roman" w:hAnsi="Times New Roman" w:cs="Times New Roman"/>
          <w:sz w:val="20"/>
          <w:szCs w:val="20"/>
        </w:rPr>
        <w:t xml:space="preserve"> at the University of Wisconsin, according to her biography on programs from 1935 and 1936. Charlotte </w:t>
      </w:r>
      <w:proofErr w:type="spellStart"/>
      <w:r w:rsidRPr="0088606B">
        <w:rPr>
          <w:rFonts w:ascii="Times New Roman" w:hAnsi="Times New Roman" w:cs="Times New Roman"/>
          <w:sz w:val="20"/>
          <w:szCs w:val="20"/>
        </w:rPr>
        <w:t>Moton</w:t>
      </w:r>
      <w:proofErr w:type="spellEnd"/>
      <w:r w:rsidRPr="0088606B">
        <w:rPr>
          <w:rFonts w:ascii="Times New Roman" w:hAnsi="Times New Roman" w:cs="Times New Roman"/>
          <w:sz w:val="20"/>
          <w:szCs w:val="20"/>
        </w:rPr>
        <w:t xml:space="preserve"> was a graduate of Tuskegee and the Sargent School of Physical Education at Boston University and had also studied with Pauline </w:t>
      </w:r>
      <w:proofErr w:type="spellStart"/>
      <w:r w:rsidRPr="0088606B">
        <w:rPr>
          <w:rFonts w:ascii="Times New Roman" w:hAnsi="Times New Roman" w:cs="Times New Roman"/>
          <w:sz w:val="20"/>
          <w:szCs w:val="20"/>
        </w:rPr>
        <w:t>Chellis</w:t>
      </w:r>
      <w:proofErr w:type="spellEnd"/>
      <w:r w:rsidRPr="0088606B">
        <w:rPr>
          <w:rFonts w:ascii="Times New Roman" w:hAnsi="Times New Roman" w:cs="Times New Roman"/>
          <w:sz w:val="20"/>
          <w:szCs w:val="20"/>
        </w:rPr>
        <w:t xml:space="preserve"> in Boston. Programs from 1936 through 1941 list her as Charlotte </w:t>
      </w:r>
      <w:proofErr w:type="spellStart"/>
      <w:r w:rsidRPr="0088606B">
        <w:rPr>
          <w:rFonts w:ascii="Times New Roman" w:hAnsi="Times New Roman" w:cs="Times New Roman"/>
          <w:sz w:val="20"/>
          <w:szCs w:val="20"/>
        </w:rPr>
        <w:t>Moton</w:t>
      </w:r>
      <w:proofErr w:type="spellEnd"/>
      <w:r w:rsidRPr="0088606B">
        <w:rPr>
          <w:rFonts w:ascii="Times New Roman" w:hAnsi="Times New Roman" w:cs="Times New Roman"/>
          <w:sz w:val="20"/>
          <w:szCs w:val="20"/>
        </w:rPr>
        <w:t xml:space="preserve"> Kennedy, and the black press noted she was the daughter of Tuskegee founder Robert </w:t>
      </w:r>
      <w:proofErr w:type="spellStart"/>
      <w:r w:rsidRPr="0088606B">
        <w:rPr>
          <w:rFonts w:ascii="Times New Roman" w:hAnsi="Times New Roman" w:cs="Times New Roman"/>
          <w:sz w:val="20"/>
          <w:szCs w:val="20"/>
        </w:rPr>
        <w:t>Moton</w:t>
      </w:r>
      <w:proofErr w:type="spellEnd"/>
      <w:r w:rsidRPr="0088606B">
        <w:rPr>
          <w:rFonts w:ascii="Times New Roman" w:hAnsi="Times New Roman" w:cs="Times New Roman"/>
          <w:sz w:val="20"/>
          <w:szCs w:val="20"/>
        </w:rPr>
        <w:t xml:space="preserve">. Among her works for the group were </w:t>
      </w:r>
      <w:r w:rsidRPr="0088606B">
        <w:rPr>
          <w:rFonts w:ascii="Times New Roman" w:hAnsi="Times New Roman" w:cs="Times New Roman"/>
          <w:i/>
          <w:iCs/>
          <w:sz w:val="20"/>
          <w:szCs w:val="20"/>
        </w:rPr>
        <w:t>Negro Spirituals</w:t>
      </w:r>
      <w:r w:rsidRPr="0088606B">
        <w:rPr>
          <w:rFonts w:ascii="Times New Roman" w:hAnsi="Times New Roman" w:cs="Times New Roman"/>
          <w:sz w:val="20"/>
          <w:szCs w:val="20"/>
        </w:rPr>
        <w:t xml:space="preserve"> (1935) and </w:t>
      </w:r>
      <w:r w:rsidRPr="0088606B">
        <w:rPr>
          <w:rFonts w:ascii="Times New Roman" w:hAnsi="Times New Roman" w:cs="Times New Roman"/>
          <w:i/>
          <w:sz w:val="20"/>
          <w:szCs w:val="20"/>
        </w:rPr>
        <w:t>Finding a Way Out</w:t>
      </w:r>
      <w:r w:rsidRPr="0088606B">
        <w:rPr>
          <w:rFonts w:ascii="Times New Roman" w:hAnsi="Times New Roman" w:cs="Times New Roman"/>
          <w:sz w:val="20"/>
          <w:szCs w:val="20"/>
        </w:rPr>
        <w:t xml:space="preserve"> (1935). After leaving the Hampton faculty, </w:t>
      </w:r>
      <w:proofErr w:type="spellStart"/>
      <w:r w:rsidRPr="0088606B">
        <w:rPr>
          <w:rFonts w:ascii="Times New Roman" w:hAnsi="Times New Roman" w:cs="Times New Roman"/>
          <w:sz w:val="20"/>
          <w:szCs w:val="20"/>
        </w:rPr>
        <w:t>Moton</w:t>
      </w:r>
      <w:proofErr w:type="spellEnd"/>
      <w:r w:rsidRPr="0088606B">
        <w:rPr>
          <w:rFonts w:ascii="Times New Roman" w:hAnsi="Times New Roman" w:cs="Times New Roman"/>
          <w:sz w:val="20"/>
          <w:szCs w:val="20"/>
        </w:rPr>
        <w:t xml:space="preserve"> subsequently worked in public affairs, eventually becoming a Deputy Assistant Secretary of State under Lyndon Johnson. Her second husband was </w:t>
      </w:r>
      <w:proofErr w:type="spellStart"/>
      <w:r w:rsidRPr="0088606B">
        <w:rPr>
          <w:rFonts w:ascii="Times New Roman" w:hAnsi="Times New Roman" w:cs="Times New Roman"/>
          <w:sz w:val="20"/>
          <w:szCs w:val="20"/>
        </w:rPr>
        <w:t>Mareo</w:t>
      </w:r>
      <w:proofErr w:type="spellEnd"/>
      <w:r w:rsidRPr="0088606B">
        <w:rPr>
          <w:rFonts w:ascii="Times New Roman" w:hAnsi="Times New Roman" w:cs="Times New Roman"/>
          <w:sz w:val="20"/>
          <w:szCs w:val="20"/>
        </w:rPr>
        <w:t xml:space="preserve"> Hubbard, and her</w:t>
      </w:r>
      <w:r w:rsidRPr="0088606B">
        <w:rPr>
          <w:sz w:val="20"/>
          <w:szCs w:val="20"/>
        </w:rPr>
        <w:t xml:space="preserve"> </w:t>
      </w:r>
      <w:r w:rsidRPr="0088606B">
        <w:rPr>
          <w:rFonts w:ascii="Times New Roman" w:hAnsi="Times New Roman" w:cs="Times New Roman"/>
          <w:sz w:val="20"/>
          <w:szCs w:val="20"/>
        </w:rPr>
        <w:t xml:space="preserve">papers at the Library of Congress are held under the name Charlotte </w:t>
      </w:r>
      <w:proofErr w:type="spellStart"/>
      <w:r w:rsidRPr="0088606B">
        <w:rPr>
          <w:rFonts w:ascii="Times New Roman" w:hAnsi="Times New Roman" w:cs="Times New Roman"/>
          <w:sz w:val="20"/>
          <w:szCs w:val="20"/>
        </w:rPr>
        <w:t>Moton</w:t>
      </w:r>
      <w:proofErr w:type="spellEnd"/>
      <w:r w:rsidRPr="0088606B">
        <w:rPr>
          <w:rFonts w:ascii="Times New Roman" w:hAnsi="Times New Roman" w:cs="Times New Roman"/>
          <w:sz w:val="20"/>
          <w:szCs w:val="20"/>
        </w:rPr>
        <w:t xml:space="preserve"> Hubbard. </w:t>
      </w:r>
    </w:p>
    <w:p w:rsidR="009765BB" w:rsidRPr="0088606B" w:rsidRDefault="009765BB" w:rsidP="009765BB">
      <w:pPr>
        <w:pStyle w:val="EndnoteText"/>
      </w:pPr>
    </w:p>
  </w:endnote>
  <w:endnote w:id="3">
    <w:p w:rsidR="009765BB" w:rsidRPr="0088606B" w:rsidRDefault="009765BB" w:rsidP="009765BB">
      <w:pPr>
        <w:pStyle w:val="EndnoteText"/>
      </w:pPr>
      <w:r w:rsidRPr="0088606B">
        <w:rPr>
          <w:rStyle w:val="EndnoteReference"/>
        </w:rPr>
        <w:endnoteRef/>
      </w:r>
      <w:r w:rsidRPr="0088606B">
        <w:t xml:space="preserve">  C. Williams (1937) ‘The Hampton Institute Creative Dance Group,’ </w:t>
      </w:r>
      <w:r w:rsidRPr="0088606B">
        <w:rPr>
          <w:i/>
        </w:rPr>
        <w:t>Dance Observer</w:t>
      </w:r>
      <w:r w:rsidRPr="0088606B">
        <w:t xml:space="preserve"> 4 (8): 97, 98.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5BB" w:rsidRDefault="009765BB" w:rsidP="007A0D55">
      <w:pPr>
        <w:spacing w:after="0" w:line="240" w:lineRule="auto"/>
      </w:pPr>
      <w:r>
        <w:separator/>
      </w:r>
    </w:p>
  </w:footnote>
  <w:footnote w:type="continuationSeparator" w:id="0">
    <w:p w:rsidR="009765BB" w:rsidRDefault="009765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B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65B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65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5BB"/>
    <w:rPr>
      <w:rFonts w:ascii="Lucida Grande" w:hAnsi="Lucida Grande" w:cs="Lucida Grande"/>
      <w:sz w:val="18"/>
      <w:szCs w:val="18"/>
    </w:rPr>
  </w:style>
  <w:style w:type="paragraph" w:styleId="EndnoteText">
    <w:name w:val="endnote text"/>
    <w:basedOn w:val="Normal"/>
    <w:link w:val="EndnoteTextChar"/>
    <w:rsid w:val="009765BB"/>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9765BB"/>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unhideWhenUsed/>
    <w:rsid w:val="009765B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65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5BB"/>
    <w:rPr>
      <w:rFonts w:ascii="Lucida Grande" w:hAnsi="Lucida Grande" w:cs="Lucida Grande"/>
      <w:sz w:val="18"/>
      <w:szCs w:val="18"/>
    </w:rPr>
  </w:style>
  <w:style w:type="paragraph" w:styleId="EndnoteText">
    <w:name w:val="endnote text"/>
    <w:basedOn w:val="Normal"/>
    <w:link w:val="EndnoteTextChar"/>
    <w:rsid w:val="009765BB"/>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9765BB"/>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unhideWhenUsed/>
    <w:rsid w:val="009765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553355DB57F1429744806529AACC42"/>
        <w:category>
          <w:name w:val="General"/>
          <w:gallery w:val="placeholder"/>
        </w:category>
        <w:types>
          <w:type w:val="bbPlcHdr"/>
        </w:types>
        <w:behaviors>
          <w:behavior w:val="content"/>
        </w:behaviors>
        <w:guid w:val="{8176567D-6EC8-F147-8637-BE391A3B2D2B}"/>
      </w:docPartPr>
      <w:docPartBody>
        <w:p w:rsidR="00000000" w:rsidRDefault="004E117A">
          <w:pPr>
            <w:pStyle w:val="8E553355DB57F1429744806529AACC42"/>
          </w:pPr>
          <w:r w:rsidRPr="00CC586D">
            <w:rPr>
              <w:rStyle w:val="PlaceholderText"/>
              <w:b/>
              <w:color w:val="FFFFFF" w:themeColor="background1"/>
            </w:rPr>
            <w:t>[Salutation]</w:t>
          </w:r>
        </w:p>
      </w:docPartBody>
    </w:docPart>
    <w:docPart>
      <w:docPartPr>
        <w:name w:val="8F067959870B8546B74A8AD053B33178"/>
        <w:category>
          <w:name w:val="General"/>
          <w:gallery w:val="placeholder"/>
        </w:category>
        <w:types>
          <w:type w:val="bbPlcHdr"/>
        </w:types>
        <w:behaviors>
          <w:behavior w:val="content"/>
        </w:behaviors>
        <w:guid w:val="{76A37A3B-2346-8546-A173-909A82492B6C}"/>
      </w:docPartPr>
      <w:docPartBody>
        <w:p w:rsidR="00000000" w:rsidRDefault="004E117A">
          <w:pPr>
            <w:pStyle w:val="8F067959870B8546B74A8AD053B33178"/>
          </w:pPr>
          <w:r>
            <w:rPr>
              <w:rStyle w:val="PlaceholderText"/>
            </w:rPr>
            <w:t>[First name]</w:t>
          </w:r>
        </w:p>
      </w:docPartBody>
    </w:docPart>
    <w:docPart>
      <w:docPartPr>
        <w:name w:val="36369852152EC14F9A8B2A8CB736776D"/>
        <w:category>
          <w:name w:val="General"/>
          <w:gallery w:val="placeholder"/>
        </w:category>
        <w:types>
          <w:type w:val="bbPlcHdr"/>
        </w:types>
        <w:behaviors>
          <w:behavior w:val="content"/>
        </w:behaviors>
        <w:guid w:val="{3715D7A0-C0CF-3C4D-93C7-35D199D70C8B}"/>
      </w:docPartPr>
      <w:docPartBody>
        <w:p w:rsidR="00000000" w:rsidRDefault="004E117A">
          <w:pPr>
            <w:pStyle w:val="36369852152EC14F9A8B2A8CB736776D"/>
          </w:pPr>
          <w:r>
            <w:rPr>
              <w:rStyle w:val="PlaceholderText"/>
            </w:rPr>
            <w:t>[Middle name]</w:t>
          </w:r>
        </w:p>
      </w:docPartBody>
    </w:docPart>
    <w:docPart>
      <w:docPartPr>
        <w:name w:val="3432FFA579CC2146A12FC37B8FD49938"/>
        <w:category>
          <w:name w:val="General"/>
          <w:gallery w:val="placeholder"/>
        </w:category>
        <w:types>
          <w:type w:val="bbPlcHdr"/>
        </w:types>
        <w:behaviors>
          <w:behavior w:val="content"/>
        </w:behaviors>
        <w:guid w:val="{3D53C089-E7AF-2D49-AE25-2C95F6902ECB}"/>
      </w:docPartPr>
      <w:docPartBody>
        <w:p w:rsidR="00000000" w:rsidRDefault="004E117A">
          <w:pPr>
            <w:pStyle w:val="3432FFA579CC2146A12FC37B8FD49938"/>
          </w:pPr>
          <w:r>
            <w:rPr>
              <w:rStyle w:val="PlaceholderText"/>
            </w:rPr>
            <w:t>[Last name]</w:t>
          </w:r>
        </w:p>
      </w:docPartBody>
    </w:docPart>
    <w:docPart>
      <w:docPartPr>
        <w:name w:val="1EFB585E571CCA4EBAC5712C79BCD75D"/>
        <w:category>
          <w:name w:val="General"/>
          <w:gallery w:val="placeholder"/>
        </w:category>
        <w:types>
          <w:type w:val="bbPlcHdr"/>
        </w:types>
        <w:behaviors>
          <w:behavior w:val="content"/>
        </w:behaviors>
        <w:guid w:val="{18F452C0-9B66-2E4D-8348-E9124ED952D4}"/>
      </w:docPartPr>
      <w:docPartBody>
        <w:p w:rsidR="00000000" w:rsidRDefault="004E117A">
          <w:pPr>
            <w:pStyle w:val="1EFB585E571CCA4EBAC5712C79BCD75D"/>
          </w:pPr>
          <w:r>
            <w:rPr>
              <w:rStyle w:val="PlaceholderText"/>
            </w:rPr>
            <w:t>[Enter your biography]</w:t>
          </w:r>
        </w:p>
      </w:docPartBody>
    </w:docPart>
    <w:docPart>
      <w:docPartPr>
        <w:name w:val="675D065FCC52F347A4322ADCD57A2FF2"/>
        <w:category>
          <w:name w:val="General"/>
          <w:gallery w:val="placeholder"/>
        </w:category>
        <w:types>
          <w:type w:val="bbPlcHdr"/>
        </w:types>
        <w:behaviors>
          <w:behavior w:val="content"/>
        </w:behaviors>
        <w:guid w:val="{5A3B98C9-CE8A-074D-998E-98BD57862DEB}"/>
      </w:docPartPr>
      <w:docPartBody>
        <w:p w:rsidR="00000000" w:rsidRDefault="004E117A">
          <w:pPr>
            <w:pStyle w:val="675D065FCC52F347A4322ADCD57A2FF2"/>
          </w:pPr>
          <w:r>
            <w:rPr>
              <w:rStyle w:val="PlaceholderText"/>
            </w:rPr>
            <w:t>[Enter the institution with which you are affiliated]</w:t>
          </w:r>
        </w:p>
      </w:docPartBody>
    </w:docPart>
    <w:docPart>
      <w:docPartPr>
        <w:name w:val="EF1E5B4A08309146AD95C28B4F9E5B06"/>
        <w:category>
          <w:name w:val="General"/>
          <w:gallery w:val="placeholder"/>
        </w:category>
        <w:types>
          <w:type w:val="bbPlcHdr"/>
        </w:types>
        <w:behaviors>
          <w:behavior w:val="content"/>
        </w:behaviors>
        <w:guid w:val="{98B79243-8E69-8C41-839A-BC8E75A5A6E5}"/>
      </w:docPartPr>
      <w:docPartBody>
        <w:p w:rsidR="00000000" w:rsidRDefault="004E117A">
          <w:pPr>
            <w:pStyle w:val="EF1E5B4A08309146AD95C28B4F9E5B06"/>
          </w:pPr>
          <w:r w:rsidRPr="00EF74F7">
            <w:rPr>
              <w:b/>
              <w:color w:val="808080" w:themeColor="background1" w:themeShade="80"/>
            </w:rPr>
            <w:t>[Enter the headword for your article]</w:t>
          </w:r>
        </w:p>
      </w:docPartBody>
    </w:docPart>
    <w:docPart>
      <w:docPartPr>
        <w:name w:val="CA3AAC336949D74CBEF3474B393E5CC7"/>
        <w:category>
          <w:name w:val="General"/>
          <w:gallery w:val="placeholder"/>
        </w:category>
        <w:types>
          <w:type w:val="bbPlcHdr"/>
        </w:types>
        <w:behaviors>
          <w:behavior w:val="content"/>
        </w:behaviors>
        <w:guid w:val="{AC30D0E6-7D7C-3440-934B-5214973B8987}"/>
      </w:docPartPr>
      <w:docPartBody>
        <w:p w:rsidR="00000000" w:rsidRDefault="004E117A">
          <w:pPr>
            <w:pStyle w:val="CA3AAC336949D74CBEF3474B393E5C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DFC01624C8E6468D3A0F43825D4A8E"/>
        <w:category>
          <w:name w:val="General"/>
          <w:gallery w:val="placeholder"/>
        </w:category>
        <w:types>
          <w:type w:val="bbPlcHdr"/>
        </w:types>
        <w:behaviors>
          <w:behavior w:val="content"/>
        </w:behaviors>
        <w:guid w:val="{07C26832-F121-7D4D-9FA4-BA7E12B644E4}"/>
      </w:docPartPr>
      <w:docPartBody>
        <w:p w:rsidR="00000000" w:rsidRDefault="004E117A">
          <w:pPr>
            <w:pStyle w:val="58DFC01624C8E6468D3A0F43825D4A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9515CBBD5D7741B90FC11AF27366C5"/>
        <w:category>
          <w:name w:val="General"/>
          <w:gallery w:val="placeholder"/>
        </w:category>
        <w:types>
          <w:type w:val="bbPlcHdr"/>
        </w:types>
        <w:behaviors>
          <w:behavior w:val="content"/>
        </w:behaviors>
        <w:guid w:val="{8AC9E7C2-D1B6-C546-9BD8-B33328717C15}"/>
      </w:docPartPr>
      <w:docPartBody>
        <w:p w:rsidR="00000000" w:rsidRDefault="004E117A">
          <w:pPr>
            <w:pStyle w:val="F19515CBBD5D7741B90FC11AF27366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1390D73B2FD54490CCD606586DEC63"/>
        <w:category>
          <w:name w:val="General"/>
          <w:gallery w:val="placeholder"/>
        </w:category>
        <w:types>
          <w:type w:val="bbPlcHdr"/>
        </w:types>
        <w:behaviors>
          <w:behavior w:val="content"/>
        </w:behaviors>
        <w:guid w:val="{4E863D25-57CD-9640-ABD5-00FBCDB9DEAB}"/>
      </w:docPartPr>
      <w:docPartBody>
        <w:p w:rsidR="00000000" w:rsidRDefault="004E117A">
          <w:pPr>
            <w:pStyle w:val="D21390D73B2FD54490CCD606586DEC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553355DB57F1429744806529AACC42">
    <w:name w:val="8E553355DB57F1429744806529AACC42"/>
  </w:style>
  <w:style w:type="paragraph" w:customStyle="1" w:styleId="8F067959870B8546B74A8AD053B33178">
    <w:name w:val="8F067959870B8546B74A8AD053B33178"/>
  </w:style>
  <w:style w:type="paragraph" w:customStyle="1" w:styleId="36369852152EC14F9A8B2A8CB736776D">
    <w:name w:val="36369852152EC14F9A8B2A8CB736776D"/>
  </w:style>
  <w:style w:type="paragraph" w:customStyle="1" w:styleId="3432FFA579CC2146A12FC37B8FD49938">
    <w:name w:val="3432FFA579CC2146A12FC37B8FD49938"/>
  </w:style>
  <w:style w:type="paragraph" w:customStyle="1" w:styleId="1EFB585E571CCA4EBAC5712C79BCD75D">
    <w:name w:val="1EFB585E571CCA4EBAC5712C79BCD75D"/>
  </w:style>
  <w:style w:type="paragraph" w:customStyle="1" w:styleId="675D065FCC52F347A4322ADCD57A2FF2">
    <w:name w:val="675D065FCC52F347A4322ADCD57A2FF2"/>
  </w:style>
  <w:style w:type="paragraph" w:customStyle="1" w:styleId="EF1E5B4A08309146AD95C28B4F9E5B06">
    <w:name w:val="EF1E5B4A08309146AD95C28B4F9E5B06"/>
  </w:style>
  <w:style w:type="paragraph" w:customStyle="1" w:styleId="CA3AAC336949D74CBEF3474B393E5CC7">
    <w:name w:val="CA3AAC336949D74CBEF3474B393E5CC7"/>
  </w:style>
  <w:style w:type="paragraph" w:customStyle="1" w:styleId="58DFC01624C8E6468D3A0F43825D4A8E">
    <w:name w:val="58DFC01624C8E6468D3A0F43825D4A8E"/>
  </w:style>
  <w:style w:type="paragraph" w:customStyle="1" w:styleId="F19515CBBD5D7741B90FC11AF27366C5">
    <w:name w:val="F19515CBBD5D7741B90FC11AF27366C5"/>
  </w:style>
  <w:style w:type="paragraph" w:customStyle="1" w:styleId="D21390D73B2FD54490CCD606586DEC63">
    <w:name w:val="D21390D73B2FD54490CCD606586DEC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553355DB57F1429744806529AACC42">
    <w:name w:val="8E553355DB57F1429744806529AACC42"/>
  </w:style>
  <w:style w:type="paragraph" w:customStyle="1" w:styleId="8F067959870B8546B74A8AD053B33178">
    <w:name w:val="8F067959870B8546B74A8AD053B33178"/>
  </w:style>
  <w:style w:type="paragraph" w:customStyle="1" w:styleId="36369852152EC14F9A8B2A8CB736776D">
    <w:name w:val="36369852152EC14F9A8B2A8CB736776D"/>
  </w:style>
  <w:style w:type="paragraph" w:customStyle="1" w:styleId="3432FFA579CC2146A12FC37B8FD49938">
    <w:name w:val="3432FFA579CC2146A12FC37B8FD49938"/>
  </w:style>
  <w:style w:type="paragraph" w:customStyle="1" w:styleId="1EFB585E571CCA4EBAC5712C79BCD75D">
    <w:name w:val="1EFB585E571CCA4EBAC5712C79BCD75D"/>
  </w:style>
  <w:style w:type="paragraph" w:customStyle="1" w:styleId="675D065FCC52F347A4322ADCD57A2FF2">
    <w:name w:val="675D065FCC52F347A4322ADCD57A2FF2"/>
  </w:style>
  <w:style w:type="paragraph" w:customStyle="1" w:styleId="EF1E5B4A08309146AD95C28B4F9E5B06">
    <w:name w:val="EF1E5B4A08309146AD95C28B4F9E5B06"/>
  </w:style>
  <w:style w:type="paragraph" w:customStyle="1" w:styleId="CA3AAC336949D74CBEF3474B393E5CC7">
    <w:name w:val="CA3AAC336949D74CBEF3474B393E5CC7"/>
  </w:style>
  <w:style w:type="paragraph" w:customStyle="1" w:styleId="58DFC01624C8E6468D3A0F43825D4A8E">
    <w:name w:val="58DFC01624C8E6468D3A0F43825D4A8E"/>
  </w:style>
  <w:style w:type="paragraph" w:customStyle="1" w:styleId="F19515CBBD5D7741B90FC11AF27366C5">
    <w:name w:val="F19515CBBD5D7741B90FC11AF27366C5"/>
  </w:style>
  <w:style w:type="paragraph" w:customStyle="1" w:styleId="D21390D73B2FD54490CCD606586DEC63">
    <w:name w:val="D21390D73B2FD54490CCD606586DE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Emo88</b:Tag>
    <b:SourceType>Book</b:SourceType>
    <b:Guid>{607C00E2-28A0-8A48-96E1-549BC74D6515}</b:Guid>
    <b:Author>
      <b:Author>
        <b:NameList>
          <b:Person>
            <b:Last>Emory</b:Last>
            <b:First>L.</b:First>
            <b:Middle>F.</b:Middle>
          </b:Person>
        </b:NameList>
      </b:Author>
    </b:Author>
    <b:Title>Black Dance from 1619 to Today</b:Title>
    <b:City>Princeton</b:City>
    <b:Publisher>Princeton Book Company Inc.</b:Publisher>
    <b:Year>1988</b:Year>
    <b:Edition>2nd Edition</b:Edition>
    <b:RefOrder>1</b:RefOrder>
  </b:Source>
  <b:Source>
    <b:Tag>Lav12</b:Tag>
    <b:SourceType>Book</b:SourceType>
    <b:Guid>{4A0DB20C-53A6-AF4E-BB30-F3A84F67C3F2}</b:Guid>
    <b:Author>
      <b:Author>
        <b:NameList>
          <b:Person>
            <b:Last>Laverty</b:Last>
            <b:First>M.</b:First>
            <b:Middle>A.</b:Middle>
          </b:Person>
        </b:NameList>
      </b:Author>
    </b:Author>
    <b:Title>Finding A Way Out: Charles H. Williams and the Hampton Institute Creative Dance Group</b:Title>
    <b:City>Saarbrücken</b:City>
    <b:Publisher>Lambert Academic Publishing</b:Publisher>
    <b:Year>2012</b:Year>
    <b:RefOrder>2</b:RefOrder>
  </b:Source>
  <b:Source>
    <b:Tag>Man04</b:Tag>
    <b:SourceType>Book</b:SourceType>
    <b:Guid>{FA3FA96E-8831-AA47-A84D-8CD2E5B946AF}</b:Guid>
    <b:Author>
      <b:Author>
        <b:NameList>
          <b:Person>
            <b:Last>Manning</b:Last>
            <b:First>S.</b:First>
          </b:Person>
        </b:NameList>
      </b:Author>
    </b:Author>
    <b:Title>Modern Dance Negro Dance: Race in Motion</b:Title>
    <b:City>Minneapolis</b:City>
    <b:Publisher>University of Minnesota Press</b:Publisher>
    <b:Year>2004</b:Year>
    <b:RefOrder>3</b:RefOrder>
  </b:Source>
  <b:Source>
    <b:Tag>Per01</b:Tag>
    <b:SourceType>Book</b:SourceType>
    <b:Guid>{38E845C7-4A03-0546-AC78-E148CF3B27FD}</b:Guid>
    <b:Author>
      <b:Author>
        <b:NameList>
          <b:Person>
            <b:Last>Perpener</b:Last>
            <b:First>J.</b:First>
            <b:Middle>O.</b:Middle>
          </b:Person>
        </b:NameList>
      </b:Author>
    </b:Author>
    <b:Title>African-American Concert Dance: The Harlem Renaissance and Beyond</b:Title>
    <b:City>Urbana</b:City>
    <b:Publisher>University of Illinois Press</b:Publisher>
    <b:Year>2001</b:Year>
    <b:RefOrder>4</b:RefOrder>
  </b:Source>
</b:Sources>
</file>

<file path=customXml/itemProps1.xml><?xml version="1.0" encoding="utf-8"?>
<ds:datastoreItem xmlns:ds="http://schemas.openxmlformats.org/officeDocument/2006/customXml" ds:itemID="{6F36DEEE-2197-5248-AD67-DFC89018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4</Pages>
  <Words>1180</Words>
  <Characters>6809</Characters>
  <Application>Microsoft Macintosh Word</Application>
  <DocSecurity>0</DocSecurity>
  <Lines>119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2016-01-14T06:32:00Z</dcterms:created>
  <dcterms:modified xsi:type="dcterms:W3CDTF">2016-01-14T06:40:00Z</dcterms:modified>
</cp:coreProperties>
</file>