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7A2C81B575594AAB7C874351FAE21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EEDCE2098ED44DB5E981CD98AD6F72"/>
            </w:placeholder>
            <w:text/>
          </w:sdtPr>
          <w:sdtContent>
            <w:tc>
              <w:tcPr>
                <w:tcW w:w="2073" w:type="dxa"/>
              </w:tcPr>
              <w:p w:rsidR="00B574C9" w:rsidRDefault="00080EC4" w:rsidP="00080EC4">
                <w:r>
                  <w:t>Michael</w:t>
                </w:r>
              </w:p>
            </w:tc>
          </w:sdtContent>
        </w:sdt>
        <w:sdt>
          <w:sdtPr>
            <w:alias w:val="Middle name"/>
            <w:tag w:val="authorMiddleName"/>
            <w:id w:val="-2076034781"/>
            <w:placeholder>
              <w:docPart w:val="68EA3084286D614DB1D9E3037FBAE06E"/>
            </w:placeholder>
            <w:text/>
          </w:sdtPr>
          <w:sdtContent>
            <w:tc>
              <w:tcPr>
                <w:tcW w:w="2551" w:type="dxa"/>
              </w:tcPr>
              <w:p w:rsidR="00B574C9" w:rsidRDefault="00080EC4" w:rsidP="00080EC4">
                <w:r>
                  <w:t>S. D.</w:t>
                </w:r>
              </w:p>
            </w:tc>
          </w:sdtContent>
        </w:sdt>
        <w:sdt>
          <w:sdtPr>
            <w:alias w:val="Last name"/>
            <w:tag w:val="authorLastName"/>
            <w:id w:val="-1088529830"/>
            <w:placeholder>
              <w:docPart w:val="F5A26FFD254BA449BFCB58E206E10C8C"/>
            </w:placeholder>
            <w:text/>
          </w:sdtPr>
          <w:sdtContent>
            <w:tc>
              <w:tcPr>
                <w:tcW w:w="2642" w:type="dxa"/>
              </w:tcPr>
              <w:p w:rsidR="00B574C9" w:rsidRDefault="00080EC4" w:rsidP="00080EC4">
                <w:r>
                  <w:t>Hooper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6795C75B5F6B14C9EFB5E281836C3E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D29DD93B79343459ED0123862A93D6F"/>
            </w:placeholder>
            <w:text/>
          </w:sdtPr>
          <w:sdtContent>
            <w:tc>
              <w:tcPr>
                <w:tcW w:w="8525" w:type="dxa"/>
                <w:gridSpan w:val="4"/>
              </w:tcPr>
              <w:p w:rsidR="00B574C9" w:rsidRDefault="00080EC4" w:rsidP="00080EC4">
                <w:r>
                  <w:t>St. Margaret’s School</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96F28298DDE9C44819C4D78FCB1DB0B"/>
            </w:placeholder>
            <w:text/>
          </w:sdtPr>
          <w:sdtContent>
            <w:tc>
              <w:tcPr>
                <w:tcW w:w="9016" w:type="dxa"/>
                <w:tcMar>
                  <w:top w:w="113" w:type="dxa"/>
                  <w:bottom w:w="113" w:type="dxa"/>
                </w:tcMar>
              </w:tcPr>
              <w:p w:rsidR="003F0D73" w:rsidRPr="00FB589A" w:rsidRDefault="00080EC4" w:rsidP="00080EC4">
                <w:pPr>
                  <w:rPr>
                    <w:b/>
                  </w:rPr>
                </w:pPr>
                <w:r w:rsidRPr="00080EC4">
                  <w:t>Williams, Tennessee (1911-1983)</w:t>
                </w:r>
              </w:p>
            </w:tc>
          </w:sdtContent>
        </w:sdt>
      </w:tr>
      <w:tr w:rsidR="00464699" w:rsidTr="00080EC4">
        <w:sdt>
          <w:sdtPr>
            <w:alias w:val="Variant headwords"/>
            <w:tag w:val="variantHeadwords"/>
            <w:id w:val="173464402"/>
            <w:placeholder>
              <w:docPart w:val="B7DFDC0358F23F4F8552A98AD6646CC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52F34FB6E09D849A7BE7913ABD2ED82"/>
            </w:placeholder>
          </w:sdtPr>
          <w:sdtContent>
            <w:tc>
              <w:tcPr>
                <w:tcW w:w="9016" w:type="dxa"/>
                <w:tcMar>
                  <w:top w:w="113" w:type="dxa"/>
                  <w:bottom w:w="113" w:type="dxa"/>
                </w:tcMar>
              </w:tcPr>
              <w:p w:rsidR="00080EC4" w:rsidRPr="004B4D8D" w:rsidRDefault="00080EC4" w:rsidP="00080EC4">
                <w:pPr>
                  <w:contextualSpacing/>
                </w:pPr>
                <w:r w:rsidRPr="004B4D8D">
                  <w:t xml:space="preserve">At the height of his powers, in the </w:t>
                </w:r>
                <w:r>
                  <w:t>1940s</w:t>
                </w:r>
                <w:r w:rsidRPr="004B4D8D">
                  <w:t xml:space="preserve"> and </w:t>
                </w:r>
                <w:r>
                  <w:t>’50s</w:t>
                </w:r>
                <w:r w:rsidRPr="004B4D8D">
                  <w:t>, Tennessee Williams not only courted the commercial success afforded by Broadway, but also sought to develop his own modernist aesthetic: an approach to all aspects of dramatic staging that sought to capture the truth of experience more faithfully than naturalism alone. He termed this his ‘plastic theatre’, embodying as it did the creative malleability normally afforded art and architecture.</w:t>
                </w:r>
              </w:p>
              <w:p w:rsidR="00080EC4" w:rsidRPr="004B4D8D" w:rsidRDefault="00080EC4" w:rsidP="00080EC4">
                <w:pPr>
                  <w:contextualSpacing/>
                </w:pPr>
              </w:p>
              <w:p w:rsidR="00E85A05" w:rsidRDefault="00080EC4" w:rsidP="00E85A05">
                <w:pPr>
                  <w:contextualSpacing/>
                </w:pPr>
                <w:r w:rsidRPr="004B4D8D">
                  <w:t>Born in Columbus, Mississippi, Thomas Lanier Williams attended the Universit</w:t>
                </w:r>
                <w:r>
                  <w:t>y</w:t>
                </w:r>
                <w:r w:rsidRPr="004B4D8D">
                  <w:t xml:space="preserve"> of Missouri and Washington</w:t>
                </w:r>
                <w:r>
                  <w:t xml:space="preserve"> University in St. Louis</w:t>
                </w:r>
                <w:r w:rsidRPr="004B4D8D">
                  <w:t xml:space="preserve"> before being forced to work briefly in the shoe factory where his father had become a manager during the Depression. This humbling experience helped to shape a social vision</w:t>
                </w:r>
                <w:r>
                  <w:t>—</w:t>
                </w:r>
                <w:r w:rsidRPr="004B4D8D">
                  <w:t>championing the individual against the might of capitalist oppression</w:t>
                </w:r>
                <w:r>
                  <w:t>—</w:t>
                </w:r>
                <w:r w:rsidRPr="004B4D8D">
                  <w:t xml:space="preserve">and intensify the romantic appeal of the bohemian artist. </w:t>
                </w:r>
                <w:r>
                  <w:t>In part, it was this appeal that prompted Williams to adopt the name ‘Tennessee’ in 1938.</w:t>
                </w:r>
              </w:p>
            </w:tc>
          </w:sdtContent>
        </w:sdt>
      </w:tr>
      <w:tr w:rsidR="003F0D73" w:rsidTr="003F0D73">
        <w:sdt>
          <w:sdtPr>
            <w:alias w:val="Article text"/>
            <w:tag w:val="articleText"/>
            <w:id w:val="634067588"/>
            <w:placeholder>
              <w:docPart w:val="D819976AB2A3734BAAEC1431FFFB1027"/>
            </w:placeholder>
          </w:sdtPr>
          <w:sdtContent>
            <w:tc>
              <w:tcPr>
                <w:tcW w:w="9016" w:type="dxa"/>
                <w:tcMar>
                  <w:top w:w="113" w:type="dxa"/>
                  <w:bottom w:w="113" w:type="dxa"/>
                </w:tcMar>
              </w:tcPr>
              <w:p w:rsidR="00080EC4" w:rsidRPr="004B4D8D" w:rsidRDefault="00080EC4" w:rsidP="00080EC4">
                <w:pPr>
                  <w:contextualSpacing/>
                </w:pPr>
                <w:r w:rsidRPr="004B4D8D">
                  <w:t xml:space="preserve">At the height of his powers, in the </w:t>
                </w:r>
                <w:r>
                  <w:t>1940s</w:t>
                </w:r>
                <w:r w:rsidRPr="004B4D8D">
                  <w:t xml:space="preserve"> and </w:t>
                </w:r>
                <w:r>
                  <w:t>’50s</w:t>
                </w:r>
                <w:r w:rsidRPr="004B4D8D">
                  <w:t>, Tennessee Williams not only courted the commercial success afforded by Broadway, but also sought to develop his own modernist aesthetic: an approach to all aspects of dramatic staging that sought to capture the truth of experience more faithfully than naturalism alone. He termed this his ‘plastic theatre’, embodying as it did the creative malleability normally afforded art and architecture.</w:t>
                </w:r>
              </w:p>
              <w:p w:rsidR="00080EC4" w:rsidRPr="004B4D8D" w:rsidRDefault="00080EC4" w:rsidP="00080EC4">
                <w:pPr>
                  <w:contextualSpacing/>
                </w:pPr>
              </w:p>
              <w:p w:rsidR="00080EC4" w:rsidRPr="004B4D8D" w:rsidRDefault="00080EC4" w:rsidP="00080EC4">
                <w:pPr>
                  <w:contextualSpacing/>
                </w:pPr>
                <w:r w:rsidRPr="004B4D8D">
                  <w:t>Born in Columbus, Mississippi, Thomas Lanier Williams attended the Universit</w:t>
                </w:r>
                <w:r>
                  <w:t>y</w:t>
                </w:r>
                <w:r w:rsidRPr="004B4D8D">
                  <w:t xml:space="preserve"> of Missouri and Washington</w:t>
                </w:r>
                <w:r>
                  <w:t xml:space="preserve"> University in St. Louis</w:t>
                </w:r>
                <w:r w:rsidRPr="004B4D8D">
                  <w:t xml:space="preserve"> before being forced to work briefly in the shoe factory where his father had become a manager during the Depression. This humbling experience helped to shape a social vision</w:t>
                </w:r>
                <w:r>
                  <w:t>—</w:t>
                </w:r>
                <w:r w:rsidRPr="004B4D8D">
                  <w:t>championing the individual against the might of capitalist oppression</w:t>
                </w:r>
                <w:r>
                  <w:t>—</w:t>
                </w:r>
                <w:r w:rsidRPr="004B4D8D">
                  <w:t xml:space="preserve">and intensify the romantic appeal of the bohemian artist. </w:t>
                </w:r>
                <w:r>
                  <w:t>In part, it was this appeal that prompted Williams to adopt the name ‘Tennessee’ in 1938.</w:t>
                </w:r>
              </w:p>
              <w:p w:rsidR="00080EC4" w:rsidRPr="004B4D8D" w:rsidRDefault="00080EC4" w:rsidP="00080EC4">
                <w:pPr>
                  <w:contextualSpacing/>
                </w:pPr>
              </w:p>
              <w:p w:rsidR="00080EC4" w:rsidRPr="004B4D8D" w:rsidRDefault="00080EC4" w:rsidP="00080EC4">
                <w:pPr>
                  <w:contextualSpacing/>
                </w:pPr>
                <w:r w:rsidRPr="004B4D8D">
                  <w:t>His early plays</w:t>
                </w:r>
                <w:r>
                  <w:t>—</w:t>
                </w:r>
                <w:r w:rsidRPr="004B4D8D">
                  <w:rPr>
                    <w:i/>
                  </w:rPr>
                  <w:t xml:space="preserve">Candles to the Sun </w:t>
                </w:r>
                <w:r w:rsidRPr="004B4D8D">
                  <w:t xml:space="preserve">(1937), </w:t>
                </w:r>
                <w:r w:rsidRPr="004B4D8D">
                  <w:rPr>
                    <w:i/>
                  </w:rPr>
                  <w:t xml:space="preserve">Fugitive Kind </w:t>
                </w:r>
                <w:r w:rsidRPr="004B4D8D">
                  <w:t xml:space="preserve">(1938), </w:t>
                </w:r>
                <w:r w:rsidRPr="004B4D8D">
                  <w:rPr>
                    <w:i/>
                  </w:rPr>
                  <w:t xml:space="preserve">Not About Nightingales </w:t>
                </w:r>
                <w:r w:rsidRPr="004B4D8D">
                  <w:t>(1938)</w:t>
                </w:r>
                <w:r>
                  <w:t>,</w:t>
                </w:r>
                <w:r w:rsidRPr="004B4D8D">
                  <w:t xml:space="preserve"> and </w:t>
                </w:r>
                <w:r w:rsidRPr="004B4D8D">
                  <w:rPr>
                    <w:i/>
                  </w:rPr>
                  <w:t xml:space="preserve">Stairs to the Roof </w:t>
                </w:r>
                <w:r w:rsidRPr="004B4D8D">
                  <w:t>(1941)</w:t>
                </w:r>
                <w:r>
                  <w:t>—</w:t>
                </w:r>
                <w:r w:rsidRPr="004B4D8D">
                  <w:t xml:space="preserve">developed Williams’ agenda in the tradition of the political theatre popular in the 1930s, especially the agitprop drama of Clifford Odets and the </w:t>
                </w:r>
                <w:r>
                  <w:t>expressionist</w:t>
                </w:r>
                <w:r w:rsidRPr="004B4D8D">
                  <w:t xml:space="preserve"> works of Elmer Rice. Apprentice pieces, these plays were mainly performed by an amateur company in St</w:t>
                </w:r>
                <w:r>
                  <w:t>.</w:t>
                </w:r>
                <w:r w:rsidRPr="004B4D8D">
                  <w:t xml:space="preserve"> Louis called The Mummers, under the direction of Willard Holland.</w:t>
                </w:r>
              </w:p>
              <w:p w:rsidR="00080EC4" w:rsidRPr="004B4D8D" w:rsidRDefault="00080EC4" w:rsidP="00080EC4">
                <w:pPr>
                  <w:contextualSpacing/>
                </w:pPr>
              </w:p>
              <w:p w:rsidR="00080EC4" w:rsidRPr="004B4D8D" w:rsidRDefault="00080EC4" w:rsidP="00080EC4">
                <w:pPr>
                  <w:contextualSpacing/>
                </w:pPr>
                <w:r w:rsidRPr="004B4D8D">
                  <w:t xml:space="preserve">After the failure of </w:t>
                </w:r>
                <w:proofErr w:type="spellStart"/>
                <w:r w:rsidRPr="004B4D8D">
                  <w:t>tryout</w:t>
                </w:r>
                <w:proofErr w:type="spellEnd"/>
                <w:r w:rsidRPr="004B4D8D">
                  <w:t xml:space="preserve"> performances and subsequent rewrites of Williams’ first commercial venture, </w:t>
                </w:r>
                <w:r w:rsidRPr="004B4D8D">
                  <w:rPr>
                    <w:i/>
                  </w:rPr>
                  <w:t xml:space="preserve">Battle of Angels </w:t>
                </w:r>
                <w:r w:rsidRPr="004B4D8D">
                  <w:t xml:space="preserve">(1940), the playwright worked on </w:t>
                </w:r>
                <w:r w:rsidRPr="004B4D8D">
                  <w:rPr>
                    <w:i/>
                  </w:rPr>
                  <w:t>The Glass Menagerie</w:t>
                </w:r>
                <w:r w:rsidRPr="004B4D8D">
                  <w:t xml:space="preserve"> (1944), a resounding success, particularly when it transferred from Chicago to Broadway. Though the social </w:t>
                </w:r>
                <w:r w:rsidRPr="004B4D8D">
                  <w:lastRenderedPageBreak/>
                  <w:t>background to the play is alluded to in the narrator</w:t>
                </w:r>
                <w:r>
                  <w:t xml:space="preserve"> </w:t>
                </w:r>
                <w:r w:rsidRPr="004B4D8D">
                  <w:t xml:space="preserve">Tom </w:t>
                </w:r>
                <w:proofErr w:type="spellStart"/>
                <w:r w:rsidRPr="004B4D8D">
                  <w:t>Wingfield’s</w:t>
                </w:r>
                <w:proofErr w:type="spellEnd"/>
                <w:r w:rsidRPr="004B4D8D">
                  <w:t xml:space="preserve"> opening speech, Williams had by now chosen to mine more personal dramatic material: his family. The character of Laura </w:t>
                </w:r>
                <w:proofErr w:type="spellStart"/>
                <w:r w:rsidRPr="004B4D8D">
                  <w:t>Wingfield</w:t>
                </w:r>
                <w:proofErr w:type="spellEnd"/>
                <w:r w:rsidRPr="004B4D8D">
                  <w:t xml:space="preserve"> would prove to be the first of many representations of Williams’ sister Rose, and her shyness and vulnerability dictate the quietness of this memory play. </w:t>
                </w:r>
              </w:p>
              <w:p w:rsidR="00080EC4" w:rsidRPr="004B4D8D" w:rsidRDefault="00080EC4" w:rsidP="00080EC4">
                <w:pPr>
                  <w:contextualSpacing/>
                </w:pPr>
              </w:p>
              <w:p w:rsidR="00080EC4" w:rsidRPr="004B4D8D" w:rsidRDefault="00080EC4" w:rsidP="00080EC4">
                <w:pPr>
                  <w:contextualSpacing/>
                </w:pPr>
                <w:r w:rsidRPr="004B4D8D">
                  <w:t xml:space="preserve">Williams’ comprehensive production notes for </w:t>
                </w:r>
                <w:r w:rsidRPr="004B4D8D">
                  <w:rPr>
                    <w:i/>
                  </w:rPr>
                  <w:t>The Glass Menagerie</w:t>
                </w:r>
                <w:r w:rsidRPr="004B4D8D">
                  <w:t xml:space="preserve"> suggest the influence of </w:t>
                </w:r>
                <w:proofErr w:type="spellStart"/>
                <w:r w:rsidRPr="004B4D8D">
                  <w:t>Brechtian</w:t>
                </w:r>
                <w:proofErr w:type="spellEnd"/>
                <w:r w:rsidRPr="004B4D8D">
                  <w:t xml:space="preserve"> modernism, gained through </w:t>
                </w:r>
                <w:r>
                  <w:t xml:space="preserve">seminars given at the Dramatic Workshop of the New School for Social Research, under the directorship of Erwin </w:t>
                </w:r>
                <w:proofErr w:type="spellStart"/>
                <w:r>
                  <w:t>Piscator</w:t>
                </w:r>
                <w:proofErr w:type="spellEnd"/>
                <w:r>
                  <w:t>, and silent films.</w:t>
                </w:r>
                <w:r w:rsidRPr="004B4D8D">
                  <w:t xml:space="preserve"> Magic-lantern slides</w:t>
                </w:r>
                <w:r>
                  <w:t>—</w:t>
                </w:r>
                <w:r w:rsidRPr="004B4D8D">
                  <w:t>dispensed with by many productions</w:t>
                </w:r>
                <w:r>
                  <w:t>—</w:t>
                </w:r>
                <w:r w:rsidRPr="004B4D8D">
                  <w:t>are intended to project images and titles onto screens to clarify the writing and the episodic plot. Both lighting and music, tailored</w:t>
                </w:r>
                <w:r>
                  <w:t xml:space="preserve"> </w:t>
                </w:r>
                <w:r w:rsidRPr="004B4D8D">
                  <w:t xml:space="preserve">to each character and freighted with meaning, add to the sculptural effect or plasticity of </w:t>
                </w:r>
                <w:r>
                  <w:t>the</w:t>
                </w:r>
                <w:r w:rsidRPr="004B4D8D">
                  <w:t xml:space="preserve"> </w:t>
                </w:r>
                <w:r>
                  <w:t>play, combining realism and expressionism.</w:t>
                </w:r>
              </w:p>
              <w:p w:rsidR="00080EC4" w:rsidRPr="004B4D8D" w:rsidRDefault="00080EC4" w:rsidP="00080EC4">
                <w:pPr>
                  <w:contextualSpacing/>
                </w:pPr>
              </w:p>
              <w:p w:rsidR="00080EC4" w:rsidRDefault="00080EC4" w:rsidP="00080EC4">
                <w:pPr>
                  <w:contextualSpacing/>
                </w:pPr>
                <w:r w:rsidRPr="004B4D8D">
                  <w:t xml:space="preserve">Williams followed up the success of </w:t>
                </w:r>
                <w:r w:rsidRPr="004B4D8D">
                  <w:rPr>
                    <w:i/>
                  </w:rPr>
                  <w:t>The Glass Menagerie</w:t>
                </w:r>
                <w:r w:rsidRPr="004B4D8D">
                  <w:t xml:space="preserve"> with </w:t>
                </w:r>
                <w:r w:rsidRPr="004B4D8D">
                  <w:rPr>
                    <w:i/>
                  </w:rPr>
                  <w:t xml:space="preserve">A Streetcar Named Desire </w:t>
                </w:r>
                <w:r w:rsidRPr="004B4D8D">
                  <w:t>(1947), a play that</w:t>
                </w:r>
                <w:r>
                  <w:t xml:space="preserve"> continued his method of mixing realism and expressionism</w:t>
                </w:r>
                <w:r w:rsidRPr="004B4D8D">
                  <w:t xml:space="preserve">. Set in New Orleans, a city that increasingly became Williams’ spiritual home following his first visit there at the end of 1938, </w:t>
                </w:r>
                <w:r w:rsidRPr="004B4D8D">
                  <w:rPr>
                    <w:i/>
                  </w:rPr>
                  <w:t xml:space="preserve">Streetcar </w:t>
                </w:r>
                <w:r w:rsidRPr="004B4D8D">
                  <w:t xml:space="preserve">charts the decline of Blanche </w:t>
                </w:r>
                <w:proofErr w:type="spellStart"/>
                <w:r w:rsidRPr="004B4D8D">
                  <w:t>DuBois</w:t>
                </w:r>
                <w:proofErr w:type="spellEnd"/>
                <w:r w:rsidRPr="004B4D8D">
                  <w:t xml:space="preserve">, a faded southern belle who comes up against the </w:t>
                </w:r>
                <w:proofErr w:type="spellStart"/>
                <w:r w:rsidRPr="004B4D8D">
                  <w:t>Lawrentian</w:t>
                </w:r>
                <w:proofErr w:type="spellEnd"/>
                <w:r w:rsidRPr="004B4D8D">
                  <w:t xml:space="preserve"> antagonist Stanley Kowalski, memorably played by a young Marlon Brando in both the Broadway premiere and the film adaptation of 1951. Williams’ </w:t>
                </w:r>
                <w:r>
                  <w:t xml:space="preserve">descriptions of the </w:t>
                </w:r>
                <w:r w:rsidRPr="004B4D8D">
                  <w:t>set evoke the French Quarter’s lyricism, and a medley of sounds</w:t>
                </w:r>
                <w:r>
                  <w:t>—</w:t>
                </w:r>
                <w:r w:rsidRPr="004B4D8D">
                  <w:t xml:space="preserve">‘blue’ piano music, the </w:t>
                </w:r>
                <w:proofErr w:type="spellStart"/>
                <w:r w:rsidRPr="004B4D8D">
                  <w:t>Varsouviana</w:t>
                </w:r>
                <w:proofErr w:type="spellEnd"/>
                <w:r w:rsidRPr="004B4D8D">
                  <w:t xml:space="preserve"> polka tune, jungle cries</w:t>
                </w:r>
                <w:r>
                  <w:t>,</w:t>
                </w:r>
                <w:r w:rsidRPr="004B4D8D">
                  <w:t xml:space="preserve"> and an approaching locomotive</w:t>
                </w:r>
                <w:r>
                  <w:t>—</w:t>
                </w:r>
                <w:r w:rsidRPr="004B4D8D">
                  <w:t xml:space="preserve">captures mood and reflects Blanche’s nervousness as she continues to be haunted by the memory of her husband’s suicide and is mentally and emotionally destroyed by Stanley. </w:t>
                </w:r>
              </w:p>
              <w:p w:rsidR="00080EC4" w:rsidRPr="004B4D8D" w:rsidRDefault="00080EC4" w:rsidP="00080EC4">
                <w:pPr>
                  <w:contextualSpacing/>
                </w:pPr>
              </w:p>
              <w:p w:rsidR="00080EC4" w:rsidRPr="004B4D8D" w:rsidRDefault="00080EC4" w:rsidP="00080EC4">
                <w:pPr>
                  <w:contextualSpacing/>
                </w:pPr>
                <w:r w:rsidRPr="004B4D8D">
                  <w:t xml:space="preserve">The success of </w:t>
                </w:r>
                <w:r w:rsidRPr="004B4D8D">
                  <w:rPr>
                    <w:i/>
                  </w:rPr>
                  <w:t>Streetcar</w:t>
                </w:r>
                <w:r w:rsidRPr="004B4D8D">
                  <w:t xml:space="preserve"> (855 performances on Broadway) would not be repeated, though </w:t>
                </w:r>
                <w:r w:rsidRPr="004B4D8D">
                  <w:rPr>
                    <w:i/>
                  </w:rPr>
                  <w:t>Cat on a Hot Tin Roof</w:t>
                </w:r>
                <w:r w:rsidRPr="004B4D8D">
                  <w:t xml:space="preserve"> (1955)</w:t>
                </w:r>
                <w:r w:rsidRPr="004B4D8D">
                  <w:rPr>
                    <w:i/>
                  </w:rPr>
                  <w:t xml:space="preserve"> </w:t>
                </w:r>
                <w:r w:rsidRPr="004B4D8D">
                  <w:t xml:space="preserve">earned the playwright a second Pulitzer Prize. In between, Williams’ career stalled with </w:t>
                </w:r>
                <w:r w:rsidRPr="004B4D8D">
                  <w:rPr>
                    <w:i/>
                  </w:rPr>
                  <w:t xml:space="preserve">Camino Real </w:t>
                </w:r>
                <w:r w:rsidRPr="004B4D8D">
                  <w:t>(1953). Coming at the very end of the modernist era, this play e</w:t>
                </w:r>
                <w:r>
                  <w:t>xhibits several characteristics of the movement’s</w:t>
                </w:r>
                <w:r w:rsidRPr="004B4D8D">
                  <w:t xml:space="preserve"> writing: gratuitous violence and an uncharted wasteland; characters drawn from history, literature</w:t>
                </w:r>
                <w:r>
                  <w:t>,</w:t>
                </w:r>
                <w:r w:rsidRPr="004B4D8D">
                  <w:t xml:space="preserve"> and myth; and no obvious central plot, only episodic scenes or ‘blocks’. Audiences were baffled by its surrealism and its veiled attack on McCarthyism.</w:t>
                </w:r>
              </w:p>
              <w:p w:rsidR="00080EC4" w:rsidRPr="004B4D8D" w:rsidRDefault="00080EC4" w:rsidP="00080EC4">
                <w:pPr>
                  <w:contextualSpacing/>
                </w:pPr>
              </w:p>
              <w:p w:rsidR="00080EC4" w:rsidRPr="004B4D8D" w:rsidRDefault="00080EC4" w:rsidP="00080EC4">
                <w:pPr>
                  <w:contextualSpacing/>
                </w:pPr>
                <w:r w:rsidRPr="004B4D8D">
                  <w:t xml:space="preserve">Williams’ symbolism, evident in </w:t>
                </w:r>
                <w:r w:rsidRPr="004B4D8D">
                  <w:rPr>
                    <w:i/>
                  </w:rPr>
                  <w:t xml:space="preserve">Camino Real </w:t>
                </w:r>
                <w:r w:rsidRPr="004B4D8D">
                  <w:t xml:space="preserve">and the plays before it, would also be a feature of his writing in the </w:t>
                </w:r>
                <w:r>
                  <w:t>1950s</w:t>
                </w:r>
                <w:r w:rsidRPr="004B4D8D">
                  <w:t xml:space="preserve"> as he explored key themes like mendacity, lost youth, violence</w:t>
                </w:r>
                <w:r>
                  <w:t>,</w:t>
                </w:r>
                <w:r w:rsidRPr="004B4D8D">
                  <w:t xml:space="preserve"> and homosexuality and continued to create his ‘fugitive kind’</w:t>
                </w:r>
                <w:r>
                  <w:t>—</w:t>
                </w:r>
                <w:r w:rsidRPr="004B4D8D">
                  <w:t xml:space="preserve">bruised individuals fleeing conformity and injustice. In 1957, while writing </w:t>
                </w:r>
                <w:r w:rsidRPr="004B4D8D">
                  <w:rPr>
                    <w:i/>
                  </w:rPr>
                  <w:t xml:space="preserve">Suddenly Last Summer </w:t>
                </w:r>
                <w:r w:rsidRPr="004B4D8D">
                  <w:t xml:space="preserve">and after rewriting </w:t>
                </w:r>
                <w:r w:rsidRPr="004B4D8D">
                  <w:rPr>
                    <w:i/>
                  </w:rPr>
                  <w:t xml:space="preserve">Battle of Angels </w:t>
                </w:r>
                <w:r w:rsidRPr="004B4D8D">
                  <w:t xml:space="preserve">as </w:t>
                </w:r>
                <w:r w:rsidRPr="004B4D8D">
                  <w:rPr>
                    <w:i/>
                  </w:rPr>
                  <w:t>Orpheus Descending</w:t>
                </w:r>
                <w:r w:rsidRPr="004B4D8D">
                  <w:t xml:space="preserve">, Williams underwent psychoanalysis to alleviate clinical depression. </w:t>
                </w:r>
                <w:r>
                  <w:t>This</w:t>
                </w:r>
                <w:r w:rsidRPr="004B4D8D">
                  <w:t xml:space="preserve"> condition would deteriorate in the </w:t>
                </w:r>
                <w:r>
                  <w:t>1960s</w:t>
                </w:r>
                <w:r w:rsidRPr="004B4D8D">
                  <w:t>,</w:t>
                </w:r>
                <w:r>
                  <w:t xml:space="preserve"> however,</w:t>
                </w:r>
                <w:r w:rsidRPr="004B4D8D">
                  <w:t xml:space="preserve"> a period that Williams called his ‘stoned age’, fuelled as it was by a cocktail of prescription drugs and alcohol. </w:t>
                </w:r>
                <w:r w:rsidRPr="004B4D8D">
                  <w:rPr>
                    <w:i/>
                  </w:rPr>
                  <w:t>The Night of the Iguana</w:t>
                </w:r>
                <w:r w:rsidRPr="004B4D8D">
                  <w:t xml:space="preserve"> (1961) marked his last Broadway success.</w:t>
                </w:r>
              </w:p>
              <w:p w:rsidR="00080EC4" w:rsidRPr="004B4D8D" w:rsidRDefault="00080EC4" w:rsidP="00080EC4">
                <w:pPr>
                  <w:contextualSpacing/>
                </w:pPr>
              </w:p>
              <w:p w:rsidR="00080EC4" w:rsidRPr="004B4D8D" w:rsidRDefault="00080EC4" w:rsidP="00080EC4">
                <w:pPr>
                  <w:contextualSpacing/>
                </w:pPr>
                <w:r w:rsidRPr="004B4D8D">
                  <w:t xml:space="preserve">The plays that followed, forming the last phase of his career and commencing with </w:t>
                </w:r>
                <w:r w:rsidRPr="004B4D8D">
                  <w:rPr>
                    <w:i/>
                  </w:rPr>
                  <w:t xml:space="preserve">The Milk Train Doesn’t Stop Here Anymore </w:t>
                </w:r>
                <w:r w:rsidRPr="004B4D8D">
                  <w:t xml:space="preserve">(1963), heralded a new experimentalism. Williams </w:t>
                </w:r>
                <w:r>
                  <w:t>incorporated</w:t>
                </w:r>
                <w:r w:rsidRPr="004B4D8D">
                  <w:t xml:space="preserve"> elements of Japanese </w:t>
                </w:r>
                <w:proofErr w:type="spellStart"/>
                <w:r w:rsidRPr="004B4D8D">
                  <w:t>Nō</w:t>
                </w:r>
                <w:proofErr w:type="spellEnd"/>
                <w:r w:rsidRPr="004B4D8D">
                  <w:t xml:space="preserve"> theatre in </w:t>
                </w:r>
                <w:r w:rsidRPr="004B4D8D">
                  <w:rPr>
                    <w:i/>
                  </w:rPr>
                  <w:t>Milk Train</w:t>
                </w:r>
                <w:r w:rsidRPr="004B4D8D">
                  <w:t xml:space="preserve"> and </w:t>
                </w:r>
                <w:r>
                  <w:t>seems to have been</w:t>
                </w:r>
                <w:r w:rsidRPr="004B4D8D">
                  <w:t xml:space="preserve"> influenced by both the Theatre of Cruelty and the Theatre of the Absurd in one-acts like </w:t>
                </w:r>
                <w:r w:rsidRPr="004B4D8D">
                  <w:rPr>
                    <w:i/>
                  </w:rPr>
                  <w:t xml:space="preserve">The </w:t>
                </w:r>
                <w:proofErr w:type="spellStart"/>
                <w:r w:rsidRPr="004B4D8D">
                  <w:rPr>
                    <w:i/>
                  </w:rPr>
                  <w:t>Gnädiges</w:t>
                </w:r>
                <w:proofErr w:type="spellEnd"/>
                <w:r w:rsidRPr="004B4D8D">
                  <w:rPr>
                    <w:i/>
                  </w:rPr>
                  <w:t xml:space="preserve"> </w:t>
                </w:r>
                <w:proofErr w:type="spellStart"/>
                <w:r w:rsidRPr="004B4D8D">
                  <w:rPr>
                    <w:i/>
                  </w:rPr>
                  <w:t>Fräulein</w:t>
                </w:r>
                <w:proofErr w:type="spellEnd"/>
                <w:r w:rsidRPr="004B4D8D">
                  <w:rPr>
                    <w:i/>
                  </w:rPr>
                  <w:t xml:space="preserve"> </w:t>
                </w:r>
                <w:r w:rsidRPr="004B4D8D">
                  <w:t xml:space="preserve">(1966) and </w:t>
                </w:r>
                <w:r w:rsidRPr="004B4D8D">
                  <w:rPr>
                    <w:i/>
                  </w:rPr>
                  <w:t xml:space="preserve">The Remarkable Rooming-House of </w:t>
                </w:r>
                <w:proofErr w:type="spellStart"/>
                <w:r w:rsidRPr="004B4D8D">
                  <w:rPr>
                    <w:i/>
                  </w:rPr>
                  <w:t>Mme.</w:t>
                </w:r>
                <w:proofErr w:type="spellEnd"/>
                <w:r w:rsidRPr="004B4D8D">
                  <w:rPr>
                    <w:i/>
                  </w:rPr>
                  <w:t xml:space="preserve"> Le Monde </w:t>
                </w:r>
                <w:r w:rsidRPr="004B4D8D">
                  <w:t>(1982)</w:t>
                </w:r>
                <w:r>
                  <w:t>,</w:t>
                </w:r>
                <w:r w:rsidRPr="004B4D8D">
                  <w:rPr>
                    <w:i/>
                  </w:rPr>
                  <w:t xml:space="preserve"> </w:t>
                </w:r>
                <w:r w:rsidRPr="004B4D8D">
                  <w:t xml:space="preserve">with their mix of slapstick and extreme violence. Elsewhere, postmodern features include: fractured, incomplete dialogue in </w:t>
                </w:r>
                <w:r w:rsidRPr="004B4D8D">
                  <w:rPr>
                    <w:i/>
                  </w:rPr>
                  <w:t xml:space="preserve">The Bar of a Tokyo Hotel </w:t>
                </w:r>
                <w:r w:rsidRPr="004B4D8D">
                  <w:t xml:space="preserve">(1969); the </w:t>
                </w:r>
                <w:proofErr w:type="spellStart"/>
                <w:r w:rsidRPr="004B4D8D">
                  <w:t>metatheatre</w:t>
                </w:r>
                <w:proofErr w:type="spellEnd"/>
                <w:r w:rsidRPr="004B4D8D">
                  <w:t xml:space="preserve"> of </w:t>
                </w:r>
                <w:r w:rsidRPr="004B4D8D">
                  <w:rPr>
                    <w:i/>
                  </w:rPr>
                  <w:t xml:space="preserve">Out Cry </w:t>
                </w:r>
                <w:r w:rsidRPr="004B4D8D">
                  <w:t xml:space="preserve">(1971); and the manipulation of memory through a double time frame in </w:t>
                </w:r>
                <w:r w:rsidRPr="004B4D8D">
                  <w:rPr>
                    <w:i/>
                  </w:rPr>
                  <w:t xml:space="preserve">Vieux </w:t>
                </w:r>
                <w:proofErr w:type="spellStart"/>
                <w:r w:rsidRPr="004B4D8D">
                  <w:rPr>
                    <w:i/>
                  </w:rPr>
                  <w:t>Carré</w:t>
                </w:r>
                <w:proofErr w:type="spellEnd"/>
                <w:r w:rsidRPr="004B4D8D">
                  <w:t xml:space="preserve"> (1977)</w:t>
                </w:r>
                <w:r w:rsidRPr="004B4D8D">
                  <w:rPr>
                    <w:i/>
                  </w:rPr>
                  <w:t xml:space="preserve"> </w:t>
                </w:r>
                <w:r w:rsidRPr="004B4D8D">
                  <w:t xml:space="preserve">and </w:t>
                </w:r>
                <w:r w:rsidRPr="004B4D8D">
                  <w:rPr>
                    <w:i/>
                  </w:rPr>
                  <w:t>Something Cloudy, Something Clear</w:t>
                </w:r>
                <w:r w:rsidRPr="004B4D8D">
                  <w:t xml:space="preserve"> (1981). Increasingly performed off-Broadway, the late plays were largely dismissed by critics at the time but have </w:t>
                </w:r>
                <w:r>
                  <w:t xml:space="preserve">since </w:t>
                </w:r>
                <w:r w:rsidRPr="004B4D8D">
                  <w:t>been reappraised by scholars.</w:t>
                </w:r>
              </w:p>
              <w:p w:rsidR="00080EC4" w:rsidRPr="004B4D8D" w:rsidRDefault="00080EC4" w:rsidP="00080EC4">
                <w:pPr>
                  <w:contextualSpacing/>
                </w:pPr>
              </w:p>
              <w:p w:rsidR="00080EC4" w:rsidRPr="004B4D8D" w:rsidRDefault="00080EC4" w:rsidP="00080EC4">
                <w:pPr>
                  <w:pStyle w:val="Heading1"/>
                  <w:outlineLvl w:val="0"/>
                </w:pPr>
                <w:r w:rsidRPr="004B4D8D">
                  <w:t>List of Works</w:t>
                </w:r>
                <w:r>
                  <w:t>:</w:t>
                </w:r>
              </w:p>
              <w:p w:rsidR="00080EC4" w:rsidRPr="004B4D8D" w:rsidRDefault="00080EC4" w:rsidP="00080EC4">
                <w:pPr>
                  <w:contextualSpacing/>
                </w:pPr>
                <w:r w:rsidRPr="004B4D8D">
                  <w:t xml:space="preserve"> </w:t>
                </w:r>
                <w:r w:rsidR="0065201F" w:rsidRPr="004B4D8D">
                  <w:rPr>
                    <w:i/>
                  </w:rPr>
                  <w:t xml:space="preserve">The Theatre of Tennessee Williams, 8 </w:t>
                </w:r>
                <w:r w:rsidR="0065201F">
                  <w:rPr>
                    <w:i/>
                  </w:rPr>
                  <w:t>v</w:t>
                </w:r>
                <w:r w:rsidR="0065201F" w:rsidRPr="004B4D8D">
                  <w:rPr>
                    <w:i/>
                  </w:rPr>
                  <w:t>ols.</w:t>
                </w:r>
                <w:r w:rsidR="0065201F" w:rsidRPr="004B4D8D">
                  <w:t xml:space="preserve"> </w:t>
                </w:r>
                <w:r w:rsidRPr="004B4D8D">
                  <w:t>(1971-1992)</w:t>
                </w:r>
              </w:p>
              <w:p w:rsidR="0065201F" w:rsidRPr="004B4D8D" w:rsidRDefault="00080EC4" w:rsidP="00080EC4">
                <w:pPr>
                  <w:contextualSpacing/>
                </w:pPr>
                <w:r w:rsidRPr="004B4D8D">
                  <w:t xml:space="preserve"> </w:t>
                </w:r>
                <w:r w:rsidR="0065201F" w:rsidRPr="004B4D8D">
                  <w:rPr>
                    <w:i/>
                  </w:rPr>
                  <w:t>Not About Nightingales</w:t>
                </w:r>
                <w:r w:rsidR="0065201F" w:rsidRPr="004B4D8D">
                  <w:t xml:space="preserve"> </w:t>
                </w:r>
                <w:r w:rsidRPr="004B4D8D">
                  <w:t>(1998)</w:t>
                </w:r>
              </w:p>
              <w:p w:rsidR="00080EC4" w:rsidRPr="004B4D8D" w:rsidRDefault="0065201F" w:rsidP="00080EC4">
                <w:pPr>
                  <w:contextualSpacing/>
                </w:pPr>
                <w:r w:rsidRPr="004B4D8D">
                  <w:rPr>
                    <w:i/>
                  </w:rPr>
                  <w:t>Stairs to the Roof</w:t>
                </w:r>
                <w:r w:rsidR="00080EC4" w:rsidRPr="004B4D8D">
                  <w:t xml:space="preserve"> (2000)</w:t>
                </w:r>
              </w:p>
              <w:p w:rsidR="0065201F" w:rsidRDefault="0065201F" w:rsidP="0065201F">
                <w:pPr>
                  <w:contextualSpacing/>
                </w:pPr>
                <w:r w:rsidRPr="004B4D8D">
                  <w:rPr>
                    <w:i/>
                  </w:rPr>
                  <w:t>Fugitive Kind</w:t>
                </w:r>
                <w:r w:rsidRPr="004B4D8D">
                  <w:t xml:space="preserve"> </w:t>
                </w:r>
                <w:r w:rsidR="00080EC4" w:rsidRPr="004B4D8D">
                  <w:t>(2001)</w:t>
                </w:r>
              </w:p>
              <w:p w:rsidR="003F0D73" w:rsidRDefault="0065201F" w:rsidP="0065201F">
                <w:pPr>
                  <w:contextualSpacing/>
                </w:pPr>
                <w:r w:rsidRPr="004B4D8D">
                  <w:rPr>
                    <w:i/>
                  </w:rPr>
                  <w:t xml:space="preserve">Candles to the </w:t>
                </w:r>
                <w:bookmarkStart w:id="0" w:name="_GoBack"/>
                <w:bookmarkEnd w:id="0"/>
                <w:r w:rsidRPr="004B4D8D">
                  <w:rPr>
                    <w:i/>
                  </w:rPr>
                  <w:t>Sun</w:t>
                </w:r>
                <w:r w:rsidR="00080EC4" w:rsidRPr="004B4D8D">
                  <w:t xml:space="preserve"> (2004)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3E2A01940B17A4A8402D51648442EFC"/>
              </w:placeholder>
            </w:sdtPr>
            <w:sdtEndPr>
              <w:rPr>
                <w:rFonts w:asciiTheme="minorHAnsi" w:eastAsiaTheme="minorHAnsi" w:hAnsiTheme="minorHAnsi" w:cstheme="minorBidi"/>
                <w:sz w:val="22"/>
                <w:szCs w:val="22"/>
                <w:lang w:val="en-GB"/>
              </w:rPr>
            </w:sdtEndPr>
            <w:sdtContent>
              <w:p w:rsidR="00080EC4" w:rsidRDefault="0065201F" w:rsidP="00080EC4">
                <w:pPr>
                  <w:pStyle w:val="NormalWeb"/>
                  <w:spacing w:before="0" w:beforeAutospacing="0" w:after="0" w:afterAutospacing="0"/>
                  <w:contextualSpacing/>
                </w:pPr>
                <w:sdt>
                  <w:sdtPr>
                    <w:id w:val="-583998324"/>
                    <w:citation/>
                  </w:sdtPr>
                  <w:sdtContent>
                    <w:r>
                      <w:fldChar w:fldCharType="begin"/>
                    </w:r>
                    <w:r>
                      <w:rPr>
                        <w:rFonts w:ascii="Calibri" w:hAnsi="Calibri"/>
                        <w:sz w:val="22"/>
                        <w:szCs w:val="22"/>
                      </w:rPr>
                      <w:instrText xml:space="preserve"> CITATION Big00 \l 1033 </w:instrText>
                    </w:r>
                    <w:r>
                      <w:fldChar w:fldCharType="separate"/>
                    </w:r>
                    <w:r>
                      <w:rPr>
                        <w:rFonts w:ascii="Calibri" w:hAnsi="Calibri"/>
                        <w:noProof/>
                        <w:sz w:val="22"/>
                        <w:szCs w:val="22"/>
                      </w:rPr>
                      <w:t xml:space="preserve"> </w:t>
                    </w:r>
                    <w:r w:rsidRPr="0065201F">
                      <w:rPr>
                        <w:rFonts w:ascii="Calibri" w:hAnsi="Calibri"/>
                        <w:noProof/>
                        <w:sz w:val="22"/>
                        <w:szCs w:val="22"/>
                      </w:rPr>
                      <w:t>(Bigsby)</w:t>
                    </w:r>
                    <w:r>
                      <w:fldChar w:fldCharType="end"/>
                    </w:r>
                  </w:sdtContent>
                </w:sdt>
              </w:p>
              <w:p w:rsidR="006A549B" w:rsidRPr="00080EC4" w:rsidRDefault="006A549B" w:rsidP="00080EC4">
                <w:pPr>
                  <w:pStyle w:val="NormalWeb"/>
                  <w:spacing w:before="0" w:beforeAutospacing="0" w:after="0" w:afterAutospacing="0"/>
                  <w:contextualSpacing/>
                  <w:rPr>
                    <w:rFonts w:ascii="Calibri" w:hAnsi="Calibri"/>
                    <w:sz w:val="22"/>
                    <w:szCs w:val="22"/>
                  </w:rPr>
                </w:pPr>
              </w:p>
              <w:p w:rsidR="00080EC4" w:rsidRDefault="0065201F" w:rsidP="00080EC4">
                <w:pPr>
                  <w:contextualSpacing/>
                  <w:rPr>
                    <w:rFonts w:ascii="Calibri" w:hAnsi="Calibri"/>
                  </w:rPr>
                </w:pPr>
                <w:sdt>
                  <w:sdtPr>
                    <w:rPr>
                      <w:rFonts w:ascii="Calibri" w:hAnsi="Calibri"/>
                    </w:rPr>
                    <w:id w:val="421072847"/>
                    <w:citation/>
                  </w:sdtPr>
                  <w:sdtContent>
                    <w:r>
                      <w:rPr>
                        <w:rFonts w:ascii="Calibri" w:hAnsi="Calibri"/>
                      </w:rPr>
                      <w:fldChar w:fldCharType="begin"/>
                    </w:r>
                    <w:r>
                      <w:rPr>
                        <w:rFonts w:ascii="Calibri" w:hAnsi="Calibri"/>
                        <w:lang w:val="en-US"/>
                      </w:rPr>
                      <w:instrText xml:space="preserve"> CITATION Cor77 \l 1033 </w:instrText>
                    </w:r>
                    <w:r>
                      <w:rPr>
                        <w:rFonts w:ascii="Calibri" w:hAnsi="Calibri"/>
                      </w:rPr>
                      <w:fldChar w:fldCharType="separate"/>
                    </w:r>
                    <w:r w:rsidRPr="0065201F">
                      <w:rPr>
                        <w:rFonts w:ascii="Calibri" w:hAnsi="Calibri"/>
                        <w:noProof/>
                        <w:lang w:val="en-US"/>
                      </w:rPr>
                      <w:t>(Corrigan)</w:t>
                    </w:r>
                    <w:r>
                      <w:rPr>
                        <w:rFonts w:ascii="Calibri" w:hAnsi="Calibri"/>
                      </w:rPr>
                      <w:fldChar w:fldCharType="end"/>
                    </w:r>
                  </w:sdtContent>
                </w:sdt>
              </w:p>
              <w:p w:rsidR="006A549B" w:rsidRPr="00080EC4" w:rsidRDefault="006A549B" w:rsidP="00080EC4">
                <w:pPr>
                  <w:contextualSpacing/>
                  <w:rPr>
                    <w:rFonts w:ascii="Calibri" w:hAnsi="Calibri"/>
                  </w:rPr>
                </w:pPr>
              </w:p>
              <w:p w:rsidR="00080EC4" w:rsidRDefault="006A549B" w:rsidP="00080EC4">
                <w:pPr>
                  <w:pStyle w:val="NormalWeb"/>
                  <w:spacing w:before="0" w:beforeAutospacing="0" w:after="0" w:afterAutospacing="0"/>
                  <w:rPr>
                    <w:rFonts w:ascii="Calibri" w:hAnsi="Calibri"/>
                    <w:sz w:val="22"/>
                    <w:szCs w:val="22"/>
                  </w:rPr>
                </w:pPr>
                <w:sdt>
                  <w:sdtPr>
                    <w:rPr>
                      <w:rFonts w:ascii="Calibri" w:hAnsi="Calibri"/>
                      <w:sz w:val="22"/>
                      <w:szCs w:val="22"/>
                    </w:rPr>
                    <w:id w:val="2038536706"/>
                    <w:citation/>
                  </w:sdtPr>
                  <w:sdtContent>
                    <w:r>
                      <w:rPr>
                        <w:rFonts w:ascii="Calibri" w:hAnsi="Calibri"/>
                        <w:sz w:val="22"/>
                        <w:szCs w:val="22"/>
                      </w:rPr>
                      <w:fldChar w:fldCharType="begin"/>
                    </w:r>
                    <w:r>
                      <w:rPr>
                        <w:rFonts w:ascii="Calibri" w:hAnsi="Calibri"/>
                        <w:sz w:val="22"/>
                        <w:szCs w:val="22"/>
                      </w:rPr>
                      <w:instrText xml:space="preserve"> CITATION Hoo12 \l 1033 </w:instrText>
                    </w:r>
                    <w:r>
                      <w:rPr>
                        <w:rFonts w:ascii="Calibri" w:hAnsi="Calibri"/>
                        <w:sz w:val="22"/>
                        <w:szCs w:val="22"/>
                      </w:rPr>
                      <w:fldChar w:fldCharType="separate"/>
                    </w:r>
                    <w:r w:rsidRPr="006A549B">
                      <w:rPr>
                        <w:rFonts w:ascii="Calibri" w:hAnsi="Calibri"/>
                        <w:noProof/>
                        <w:sz w:val="22"/>
                        <w:szCs w:val="22"/>
                      </w:rPr>
                      <w:t>(Hooper)</w:t>
                    </w:r>
                    <w:r>
                      <w:rPr>
                        <w:rFonts w:ascii="Calibri" w:hAnsi="Calibri"/>
                        <w:sz w:val="22"/>
                        <w:szCs w:val="22"/>
                      </w:rPr>
                      <w:fldChar w:fldCharType="end"/>
                    </w:r>
                  </w:sdtContent>
                </w:sdt>
              </w:p>
              <w:p w:rsidR="006A549B" w:rsidRPr="00080EC4" w:rsidRDefault="006A549B" w:rsidP="00080EC4">
                <w:pPr>
                  <w:pStyle w:val="NormalWeb"/>
                  <w:spacing w:before="0" w:beforeAutospacing="0" w:after="0" w:afterAutospacing="0"/>
                  <w:rPr>
                    <w:rFonts w:ascii="Calibri" w:hAnsi="Calibri"/>
                    <w:sz w:val="22"/>
                    <w:szCs w:val="22"/>
                  </w:rPr>
                </w:pPr>
              </w:p>
              <w:p w:rsidR="00080EC4" w:rsidRDefault="006A549B" w:rsidP="00080EC4">
                <w:pPr>
                  <w:pStyle w:val="NormalWeb"/>
                  <w:spacing w:before="0" w:beforeAutospacing="0" w:after="0" w:afterAutospacing="0"/>
                  <w:rPr>
                    <w:rFonts w:ascii="Calibri" w:hAnsi="Calibri"/>
                    <w:sz w:val="22"/>
                    <w:szCs w:val="22"/>
                  </w:rPr>
                </w:pPr>
                <w:sdt>
                  <w:sdtPr>
                    <w:rPr>
                      <w:rFonts w:ascii="Calibri" w:hAnsi="Calibri"/>
                      <w:sz w:val="22"/>
                      <w:szCs w:val="22"/>
                    </w:rPr>
                    <w:id w:val="437419331"/>
                    <w:citation/>
                  </w:sdtPr>
                  <w:sdtContent>
                    <w:r>
                      <w:rPr>
                        <w:rFonts w:ascii="Calibri" w:hAnsi="Calibri"/>
                        <w:sz w:val="22"/>
                        <w:szCs w:val="22"/>
                      </w:rPr>
                      <w:fldChar w:fldCharType="begin"/>
                    </w:r>
                    <w:r>
                      <w:rPr>
                        <w:rFonts w:ascii="Calibri" w:hAnsi="Calibri"/>
                        <w:sz w:val="22"/>
                        <w:szCs w:val="22"/>
                      </w:rPr>
                      <w:instrText xml:space="preserve"> CITATION Kol00 \l 1033 </w:instrText>
                    </w:r>
                    <w:r>
                      <w:rPr>
                        <w:rFonts w:ascii="Calibri" w:hAnsi="Calibri"/>
                        <w:sz w:val="22"/>
                        <w:szCs w:val="22"/>
                      </w:rPr>
                      <w:fldChar w:fldCharType="separate"/>
                    </w:r>
                    <w:r w:rsidRPr="006A549B">
                      <w:rPr>
                        <w:rFonts w:ascii="Calibri" w:hAnsi="Calibri"/>
                        <w:noProof/>
                        <w:sz w:val="22"/>
                        <w:szCs w:val="22"/>
                      </w:rPr>
                      <w:t>(Kolin)</w:t>
                    </w:r>
                    <w:r>
                      <w:rPr>
                        <w:rFonts w:ascii="Calibri" w:hAnsi="Calibri"/>
                        <w:sz w:val="22"/>
                        <w:szCs w:val="22"/>
                      </w:rPr>
                      <w:fldChar w:fldCharType="end"/>
                    </w:r>
                  </w:sdtContent>
                </w:sdt>
              </w:p>
              <w:p w:rsidR="006A549B" w:rsidRPr="00080EC4" w:rsidRDefault="006A549B" w:rsidP="00080EC4">
                <w:pPr>
                  <w:pStyle w:val="NormalWeb"/>
                  <w:spacing w:before="0" w:beforeAutospacing="0" w:after="0" w:afterAutospacing="0"/>
                  <w:rPr>
                    <w:rFonts w:ascii="Calibri" w:hAnsi="Calibri"/>
                    <w:sz w:val="22"/>
                    <w:szCs w:val="22"/>
                  </w:rPr>
                </w:pPr>
              </w:p>
              <w:p w:rsidR="00080EC4" w:rsidRDefault="006A549B" w:rsidP="00080EC4">
                <w:pPr>
                  <w:contextualSpacing/>
                  <w:rPr>
                    <w:rFonts w:ascii="Calibri" w:hAnsi="Calibri"/>
                  </w:rPr>
                </w:pPr>
                <w:sdt>
                  <w:sdtPr>
                    <w:rPr>
                      <w:rFonts w:ascii="Calibri" w:hAnsi="Calibri"/>
                    </w:rPr>
                    <w:id w:val="1165282286"/>
                    <w:citation/>
                  </w:sdtPr>
                  <w:sdtContent>
                    <w:r>
                      <w:rPr>
                        <w:rFonts w:ascii="Calibri" w:hAnsi="Calibri"/>
                      </w:rPr>
                      <w:fldChar w:fldCharType="begin"/>
                    </w:r>
                    <w:r>
                      <w:rPr>
                        <w:rFonts w:ascii="Calibri" w:hAnsi="Calibri"/>
                        <w:lang w:val="en-US"/>
                      </w:rPr>
                      <w:instrText xml:space="preserve"> CITATION Lev95 \l 1033 </w:instrText>
                    </w:r>
                    <w:r>
                      <w:rPr>
                        <w:rFonts w:ascii="Calibri" w:hAnsi="Calibri"/>
                      </w:rPr>
                      <w:fldChar w:fldCharType="separate"/>
                    </w:r>
                    <w:r w:rsidRPr="006A549B">
                      <w:rPr>
                        <w:rFonts w:ascii="Calibri" w:hAnsi="Calibri"/>
                        <w:noProof/>
                        <w:lang w:val="en-US"/>
                      </w:rPr>
                      <w:t>(Leverich)</w:t>
                    </w:r>
                    <w:r>
                      <w:rPr>
                        <w:rFonts w:ascii="Calibri" w:hAnsi="Calibri"/>
                      </w:rPr>
                      <w:fldChar w:fldCharType="end"/>
                    </w:r>
                  </w:sdtContent>
                </w:sdt>
              </w:p>
              <w:p w:rsidR="006A549B" w:rsidRPr="00080EC4" w:rsidRDefault="006A549B" w:rsidP="00080EC4">
                <w:pPr>
                  <w:contextualSpacing/>
                  <w:rPr>
                    <w:rFonts w:ascii="Calibri" w:hAnsi="Calibri"/>
                  </w:rPr>
                </w:pPr>
              </w:p>
              <w:p w:rsidR="00080EC4" w:rsidRDefault="006A549B" w:rsidP="00080EC4">
                <w:pPr>
                  <w:contextualSpacing/>
                  <w:rPr>
                    <w:rFonts w:ascii="Calibri" w:hAnsi="Calibri"/>
                  </w:rPr>
                </w:pPr>
                <w:sdt>
                  <w:sdtPr>
                    <w:rPr>
                      <w:rFonts w:ascii="Calibri" w:hAnsi="Calibri"/>
                    </w:rPr>
                    <w:id w:val="-384180976"/>
                    <w:citation/>
                  </w:sdtPr>
                  <w:sdtContent>
                    <w:r>
                      <w:rPr>
                        <w:rFonts w:ascii="Calibri" w:hAnsi="Calibri"/>
                      </w:rPr>
                      <w:fldChar w:fldCharType="begin"/>
                    </w:r>
                    <w:r>
                      <w:rPr>
                        <w:rFonts w:ascii="Calibri" w:hAnsi="Calibri"/>
                        <w:lang w:val="en-US"/>
                      </w:rPr>
                      <w:instrText xml:space="preserve"> CITATION Mur14 \l 1033 </w:instrText>
                    </w:r>
                    <w:r>
                      <w:rPr>
                        <w:rFonts w:ascii="Calibri" w:hAnsi="Calibri"/>
                      </w:rPr>
                      <w:fldChar w:fldCharType="separate"/>
                    </w:r>
                    <w:r w:rsidRPr="006A549B">
                      <w:rPr>
                        <w:rFonts w:ascii="Calibri" w:hAnsi="Calibri"/>
                        <w:noProof/>
                        <w:lang w:val="en-US"/>
                      </w:rPr>
                      <w:t>(Murphy)</w:t>
                    </w:r>
                    <w:r>
                      <w:rPr>
                        <w:rFonts w:ascii="Calibri" w:hAnsi="Calibri"/>
                      </w:rPr>
                      <w:fldChar w:fldCharType="end"/>
                    </w:r>
                  </w:sdtContent>
                </w:sdt>
              </w:p>
              <w:p w:rsidR="006A549B" w:rsidRPr="00080EC4" w:rsidRDefault="006A549B" w:rsidP="00080EC4">
                <w:pPr>
                  <w:contextualSpacing/>
                  <w:rPr>
                    <w:rFonts w:ascii="Calibri" w:hAnsi="Calibri"/>
                  </w:rPr>
                </w:pPr>
              </w:p>
              <w:p w:rsidR="003235A7" w:rsidRPr="00080EC4" w:rsidRDefault="006A549B" w:rsidP="00FB11DE">
                <w:pPr>
                  <w:contextualSpacing/>
                  <w:rPr>
                    <w:rFonts w:ascii="Calibri" w:hAnsi="Calibri"/>
                  </w:rPr>
                </w:pPr>
                <w:sdt>
                  <w:sdtPr>
                    <w:rPr>
                      <w:rFonts w:ascii="Calibri" w:hAnsi="Calibri"/>
                    </w:rPr>
                    <w:id w:val="-1759519961"/>
                    <w:citation/>
                  </w:sdtPr>
                  <w:sdtContent>
                    <w:r>
                      <w:rPr>
                        <w:rFonts w:ascii="Calibri" w:hAnsi="Calibri"/>
                      </w:rPr>
                      <w:fldChar w:fldCharType="begin"/>
                    </w:r>
                    <w:r>
                      <w:rPr>
                        <w:rFonts w:ascii="Calibri" w:hAnsi="Calibri"/>
                        <w:lang w:val="en-US"/>
                      </w:rPr>
                      <w:instrText xml:space="preserve"> CITATION Sav92 \l 1033 </w:instrText>
                    </w:r>
                    <w:r>
                      <w:rPr>
                        <w:rFonts w:ascii="Calibri" w:hAnsi="Calibri"/>
                      </w:rPr>
                      <w:fldChar w:fldCharType="separate"/>
                    </w:r>
                    <w:r w:rsidRPr="006A549B">
                      <w:rPr>
                        <w:rFonts w:ascii="Calibri" w:hAnsi="Calibri"/>
                        <w:noProof/>
                        <w:lang w:val="en-US"/>
                      </w:rPr>
                      <w:t>(Savran)</w:t>
                    </w:r>
                    <w:r>
                      <w:rPr>
                        <w:rFonts w:ascii="Calibri" w:hAnsi="Calibri"/>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49B" w:rsidRDefault="006A549B" w:rsidP="007A0D55">
      <w:pPr>
        <w:spacing w:after="0" w:line="240" w:lineRule="auto"/>
      </w:pPr>
      <w:r>
        <w:separator/>
      </w:r>
    </w:p>
  </w:endnote>
  <w:endnote w:type="continuationSeparator" w:id="0">
    <w:p w:rsidR="006A549B" w:rsidRDefault="006A54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49B" w:rsidRDefault="006A549B" w:rsidP="007A0D55">
      <w:pPr>
        <w:spacing w:after="0" w:line="240" w:lineRule="auto"/>
      </w:pPr>
      <w:r>
        <w:separator/>
      </w:r>
    </w:p>
  </w:footnote>
  <w:footnote w:type="continuationSeparator" w:id="0">
    <w:p w:rsidR="006A549B" w:rsidRDefault="006A54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49B" w:rsidRDefault="006A54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A549B" w:rsidRDefault="006A54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EC4"/>
    <w:rsid w:val="00032559"/>
    <w:rsid w:val="00052040"/>
    <w:rsid w:val="00080EC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201F"/>
    <w:rsid w:val="006A549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2519"/>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0E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EC4"/>
    <w:rPr>
      <w:rFonts w:ascii="Lucida Grande" w:hAnsi="Lucida Grande" w:cs="Lucida Grande"/>
      <w:sz w:val="18"/>
      <w:szCs w:val="18"/>
    </w:rPr>
  </w:style>
  <w:style w:type="paragraph" w:styleId="NormalWeb">
    <w:name w:val="Normal (Web)"/>
    <w:basedOn w:val="Normal"/>
    <w:uiPriority w:val="99"/>
    <w:unhideWhenUsed/>
    <w:rsid w:val="00080EC4"/>
    <w:pPr>
      <w:spacing w:before="100" w:beforeAutospacing="1" w:after="100" w:afterAutospacing="1" w:line="240" w:lineRule="auto"/>
    </w:pPr>
    <w:rPr>
      <w:rFonts w:ascii="Times New Roman" w:eastAsia="Calibri" w:hAnsi="Times New Roman" w:cs="Times New Roman"/>
      <w:sz w:val="24"/>
      <w:szCs w:val="24"/>
      <w:lang w:val="en-US"/>
    </w:rPr>
  </w:style>
  <w:style w:type="character" w:styleId="Emphasis">
    <w:name w:val="Emphasis"/>
    <w:uiPriority w:val="20"/>
    <w:qFormat/>
    <w:rsid w:val="00080EC4"/>
    <w:rPr>
      <w:i/>
      <w:iCs/>
    </w:rPr>
  </w:style>
  <w:style w:type="character" w:styleId="CommentReference">
    <w:name w:val="annotation reference"/>
    <w:rsid w:val="00080EC4"/>
    <w:rPr>
      <w:sz w:val="16"/>
      <w:szCs w:val="16"/>
    </w:rPr>
  </w:style>
  <w:style w:type="paragraph" w:styleId="CommentText">
    <w:name w:val="annotation text"/>
    <w:basedOn w:val="Normal"/>
    <w:link w:val="CommentTextChar"/>
    <w:rsid w:val="00080EC4"/>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rsid w:val="00080EC4"/>
    <w:rPr>
      <w:rFonts w:ascii="Times New Roman" w:eastAsia="Times New Roman" w:hAnsi="Times New Roman" w:cs="Times New Roman"/>
      <w:sz w:val="20"/>
      <w:szCs w:val="20"/>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0E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EC4"/>
    <w:rPr>
      <w:rFonts w:ascii="Lucida Grande" w:hAnsi="Lucida Grande" w:cs="Lucida Grande"/>
      <w:sz w:val="18"/>
      <w:szCs w:val="18"/>
    </w:rPr>
  </w:style>
  <w:style w:type="paragraph" w:styleId="NormalWeb">
    <w:name w:val="Normal (Web)"/>
    <w:basedOn w:val="Normal"/>
    <w:uiPriority w:val="99"/>
    <w:unhideWhenUsed/>
    <w:rsid w:val="00080EC4"/>
    <w:pPr>
      <w:spacing w:before="100" w:beforeAutospacing="1" w:after="100" w:afterAutospacing="1" w:line="240" w:lineRule="auto"/>
    </w:pPr>
    <w:rPr>
      <w:rFonts w:ascii="Times New Roman" w:eastAsia="Calibri" w:hAnsi="Times New Roman" w:cs="Times New Roman"/>
      <w:sz w:val="24"/>
      <w:szCs w:val="24"/>
      <w:lang w:val="en-US"/>
    </w:rPr>
  </w:style>
  <w:style w:type="character" w:styleId="Emphasis">
    <w:name w:val="Emphasis"/>
    <w:uiPriority w:val="20"/>
    <w:qFormat/>
    <w:rsid w:val="00080EC4"/>
    <w:rPr>
      <w:i/>
      <w:iCs/>
    </w:rPr>
  </w:style>
  <w:style w:type="character" w:styleId="CommentReference">
    <w:name w:val="annotation reference"/>
    <w:rsid w:val="00080EC4"/>
    <w:rPr>
      <w:sz w:val="16"/>
      <w:szCs w:val="16"/>
    </w:rPr>
  </w:style>
  <w:style w:type="paragraph" w:styleId="CommentText">
    <w:name w:val="annotation text"/>
    <w:basedOn w:val="Normal"/>
    <w:link w:val="CommentTextChar"/>
    <w:rsid w:val="00080EC4"/>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rsid w:val="00080EC4"/>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7A2C81B575594AAB7C874351FAE211"/>
        <w:category>
          <w:name w:val="General"/>
          <w:gallery w:val="placeholder"/>
        </w:category>
        <w:types>
          <w:type w:val="bbPlcHdr"/>
        </w:types>
        <w:behaviors>
          <w:behavior w:val="content"/>
        </w:behaviors>
        <w:guid w:val="{52B20C19-8B5D-6846-9B60-DCA56C43525F}"/>
      </w:docPartPr>
      <w:docPartBody>
        <w:p w:rsidR="00000000" w:rsidRDefault="004E117A">
          <w:pPr>
            <w:pStyle w:val="8F7A2C81B575594AAB7C874351FAE211"/>
          </w:pPr>
          <w:r w:rsidRPr="00CC586D">
            <w:rPr>
              <w:rStyle w:val="PlaceholderText"/>
              <w:b/>
              <w:color w:val="FFFFFF" w:themeColor="background1"/>
            </w:rPr>
            <w:t>[Salutation]</w:t>
          </w:r>
        </w:p>
      </w:docPartBody>
    </w:docPart>
    <w:docPart>
      <w:docPartPr>
        <w:name w:val="FFEEDCE2098ED44DB5E981CD98AD6F72"/>
        <w:category>
          <w:name w:val="General"/>
          <w:gallery w:val="placeholder"/>
        </w:category>
        <w:types>
          <w:type w:val="bbPlcHdr"/>
        </w:types>
        <w:behaviors>
          <w:behavior w:val="content"/>
        </w:behaviors>
        <w:guid w:val="{BAF37D67-C2D2-1541-B7E7-6BA9EBECD80E}"/>
      </w:docPartPr>
      <w:docPartBody>
        <w:p w:rsidR="00000000" w:rsidRDefault="004E117A">
          <w:pPr>
            <w:pStyle w:val="FFEEDCE2098ED44DB5E981CD98AD6F72"/>
          </w:pPr>
          <w:r>
            <w:rPr>
              <w:rStyle w:val="PlaceholderText"/>
            </w:rPr>
            <w:t>[First name]</w:t>
          </w:r>
        </w:p>
      </w:docPartBody>
    </w:docPart>
    <w:docPart>
      <w:docPartPr>
        <w:name w:val="68EA3084286D614DB1D9E3037FBAE06E"/>
        <w:category>
          <w:name w:val="General"/>
          <w:gallery w:val="placeholder"/>
        </w:category>
        <w:types>
          <w:type w:val="bbPlcHdr"/>
        </w:types>
        <w:behaviors>
          <w:behavior w:val="content"/>
        </w:behaviors>
        <w:guid w:val="{87034ACF-3357-2442-A5A1-AF54A5BB1BFE}"/>
      </w:docPartPr>
      <w:docPartBody>
        <w:p w:rsidR="00000000" w:rsidRDefault="004E117A">
          <w:pPr>
            <w:pStyle w:val="68EA3084286D614DB1D9E3037FBAE06E"/>
          </w:pPr>
          <w:r>
            <w:rPr>
              <w:rStyle w:val="PlaceholderText"/>
            </w:rPr>
            <w:t>[Middle name]</w:t>
          </w:r>
        </w:p>
      </w:docPartBody>
    </w:docPart>
    <w:docPart>
      <w:docPartPr>
        <w:name w:val="F5A26FFD254BA449BFCB58E206E10C8C"/>
        <w:category>
          <w:name w:val="General"/>
          <w:gallery w:val="placeholder"/>
        </w:category>
        <w:types>
          <w:type w:val="bbPlcHdr"/>
        </w:types>
        <w:behaviors>
          <w:behavior w:val="content"/>
        </w:behaviors>
        <w:guid w:val="{7B5B7FE4-0BB4-7F45-9252-B3D1F83EC637}"/>
      </w:docPartPr>
      <w:docPartBody>
        <w:p w:rsidR="00000000" w:rsidRDefault="004E117A">
          <w:pPr>
            <w:pStyle w:val="F5A26FFD254BA449BFCB58E206E10C8C"/>
          </w:pPr>
          <w:r>
            <w:rPr>
              <w:rStyle w:val="PlaceholderText"/>
            </w:rPr>
            <w:t>[Last name]</w:t>
          </w:r>
        </w:p>
      </w:docPartBody>
    </w:docPart>
    <w:docPart>
      <w:docPartPr>
        <w:name w:val="26795C75B5F6B14C9EFB5E281836C3E1"/>
        <w:category>
          <w:name w:val="General"/>
          <w:gallery w:val="placeholder"/>
        </w:category>
        <w:types>
          <w:type w:val="bbPlcHdr"/>
        </w:types>
        <w:behaviors>
          <w:behavior w:val="content"/>
        </w:behaviors>
        <w:guid w:val="{E83A905F-D77C-1B44-B1D6-A8D900842EA0}"/>
      </w:docPartPr>
      <w:docPartBody>
        <w:p w:rsidR="00000000" w:rsidRDefault="004E117A">
          <w:pPr>
            <w:pStyle w:val="26795C75B5F6B14C9EFB5E281836C3E1"/>
          </w:pPr>
          <w:r>
            <w:rPr>
              <w:rStyle w:val="PlaceholderText"/>
            </w:rPr>
            <w:t>[Enter your biography]</w:t>
          </w:r>
        </w:p>
      </w:docPartBody>
    </w:docPart>
    <w:docPart>
      <w:docPartPr>
        <w:name w:val="1D29DD93B79343459ED0123862A93D6F"/>
        <w:category>
          <w:name w:val="General"/>
          <w:gallery w:val="placeholder"/>
        </w:category>
        <w:types>
          <w:type w:val="bbPlcHdr"/>
        </w:types>
        <w:behaviors>
          <w:behavior w:val="content"/>
        </w:behaviors>
        <w:guid w:val="{0BC1582A-223C-F241-BE6F-AA1801DAD0EE}"/>
      </w:docPartPr>
      <w:docPartBody>
        <w:p w:rsidR="00000000" w:rsidRDefault="004E117A">
          <w:pPr>
            <w:pStyle w:val="1D29DD93B79343459ED0123862A93D6F"/>
          </w:pPr>
          <w:r>
            <w:rPr>
              <w:rStyle w:val="PlaceholderText"/>
            </w:rPr>
            <w:t>[Enter the institution with which you are affiliated]</w:t>
          </w:r>
        </w:p>
      </w:docPartBody>
    </w:docPart>
    <w:docPart>
      <w:docPartPr>
        <w:name w:val="396F28298DDE9C44819C4D78FCB1DB0B"/>
        <w:category>
          <w:name w:val="General"/>
          <w:gallery w:val="placeholder"/>
        </w:category>
        <w:types>
          <w:type w:val="bbPlcHdr"/>
        </w:types>
        <w:behaviors>
          <w:behavior w:val="content"/>
        </w:behaviors>
        <w:guid w:val="{A4CEC850-7A4E-2542-92FF-BFF2CABC607E}"/>
      </w:docPartPr>
      <w:docPartBody>
        <w:p w:rsidR="00000000" w:rsidRDefault="004E117A">
          <w:pPr>
            <w:pStyle w:val="396F28298DDE9C44819C4D78FCB1DB0B"/>
          </w:pPr>
          <w:r w:rsidRPr="00EF74F7">
            <w:rPr>
              <w:b/>
              <w:color w:val="808080" w:themeColor="background1" w:themeShade="80"/>
            </w:rPr>
            <w:t>[Enter the headword for your article]</w:t>
          </w:r>
        </w:p>
      </w:docPartBody>
    </w:docPart>
    <w:docPart>
      <w:docPartPr>
        <w:name w:val="B7DFDC0358F23F4F8552A98AD6646CC3"/>
        <w:category>
          <w:name w:val="General"/>
          <w:gallery w:val="placeholder"/>
        </w:category>
        <w:types>
          <w:type w:val="bbPlcHdr"/>
        </w:types>
        <w:behaviors>
          <w:behavior w:val="content"/>
        </w:behaviors>
        <w:guid w:val="{646A35C5-C27B-8343-8BDF-514F44563CE9}"/>
      </w:docPartPr>
      <w:docPartBody>
        <w:p w:rsidR="00000000" w:rsidRDefault="004E117A">
          <w:pPr>
            <w:pStyle w:val="B7DFDC0358F23F4F8552A98AD6646CC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2F34FB6E09D849A7BE7913ABD2ED82"/>
        <w:category>
          <w:name w:val="General"/>
          <w:gallery w:val="placeholder"/>
        </w:category>
        <w:types>
          <w:type w:val="bbPlcHdr"/>
        </w:types>
        <w:behaviors>
          <w:behavior w:val="content"/>
        </w:behaviors>
        <w:guid w:val="{B6E965B0-3585-F54E-9C73-5B93DC9811D9}"/>
      </w:docPartPr>
      <w:docPartBody>
        <w:p w:rsidR="00000000" w:rsidRDefault="004E117A">
          <w:pPr>
            <w:pStyle w:val="D52F34FB6E09D849A7BE7913ABD2ED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19976AB2A3734BAAEC1431FFFB1027"/>
        <w:category>
          <w:name w:val="General"/>
          <w:gallery w:val="placeholder"/>
        </w:category>
        <w:types>
          <w:type w:val="bbPlcHdr"/>
        </w:types>
        <w:behaviors>
          <w:behavior w:val="content"/>
        </w:behaviors>
        <w:guid w:val="{9F30FB80-3D4C-C242-B180-AC55A8611B29}"/>
      </w:docPartPr>
      <w:docPartBody>
        <w:p w:rsidR="00000000" w:rsidRDefault="004E117A">
          <w:pPr>
            <w:pStyle w:val="D819976AB2A3734BAAEC1431FFFB10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E2A01940B17A4A8402D51648442EFC"/>
        <w:category>
          <w:name w:val="General"/>
          <w:gallery w:val="placeholder"/>
        </w:category>
        <w:types>
          <w:type w:val="bbPlcHdr"/>
        </w:types>
        <w:behaviors>
          <w:behavior w:val="content"/>
        </w:behaviors>
        <w:guid w:val="{58C5A764-8439-894B-BEA3-8FE8573FFBA4}"/>
      </w:docPartPr>
      <w:docPartBody>
        <w:p w:rsidR="00000000" w:rsidRDefault="004E117A">
          <w:pPr>
            <w:pStyle w:val="23E2A01940B17A4A8402D51648442E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7A2C81B575594AAB7C874351FAE211">
    <w:name w:val="8F7A2C81B575594AAB7C874351FAE211"/>
  </w:style>
  <w:style w:type="paragraph" w:customStyle="1" w:styleId="FFEEDCE2098ED44DB5E981CD98AD6F72">
    <w:name w:val="FFEEDCE2098ED44DB5E981CD98AD6F72"/>
  </w:style>
  <w:style w:type="paragraph" w:customStyle="1" w:styleId="68EA3084286D614DB1D9E3037FBAE06E">
    <w:name w:val="68EA3084286D614DB1D9E3037FBAE06E"/>
  </w:style>
  <w:style w:type="paragraph" w:customStyle="1" w:styleId="F5A26FFD254BA449BFCB58E206E10C8C">
    <w:name w:val="F5A26FFD254BA449BFCB58E206E10C8C"/>
  </w:style>
  <w:style w:type="paragraph" w:customStyle="1" w:styleId="26795C75B5F6B14C9EFB5E281836C3E1">
    <w:name w:val="26795C75B5F6B14C9EFB5E281836C3E1"/>
  </w:style>
  <w:style w:type="paragraph" w:customStyle="1" w:styleId="1D29DD93B79343459ED0123862A93D6F">
    <w:name w:val="1D29DD93B79343459ED0123862A93D6F"/>
  </w:style>
  <w:style w:type="paragraph" w:customStyle="1" w:styleId="396F28298DDE9C44819C4D78FCB1DB0B">
    <w:name w:val="396F28298DDE9C44819C4D78FCB1DB0B"/>
  </w:style>
  <w:style w:type="paragraph" w:customStyle="1" w:styleId="B7DFDC0358F23F4F8552A98AD6646CC3">
    <w:name w:val="B7DFDC0358F23F4F8552A98AD6646CC3"/>
  </w:style>
  <w:style w:type="paragraph" w:customStyle="1" w:styleId="D52F34FB6E09D849A7BE7913ABD2ED82">
    <w:name w:val="D52F34FB6E09D849A7BE7913ABD2ED82"/>
  </w:style>
  <w:style w:type="paragraph" w:customStyle="1" w:styleId="D819976AB2A3734BAAEC1431FFFB1027">
    <w:name w:val="D819976AB2A3734BAAEC1431FFFB1027"/>
  </w:style>
  <w:style w:type="paragraph" w:customStyle="1" w:styleId="23E2A01940B17A4A8402D51648442EFC">
    <w:name w:val="23E2A01940B17A4A8402D51648442E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7A2C81B575594AAB7C874351FAE211">
    <w:name w:val="8F7A2C81B575594AAB7C874351FAE211"/>
  </w:style>
  <w:style w:type="paragraph" w:customStyle="1" w:styleId="FFEEDCE2098ED44DB5E981CD98AD6F72">
    <w:name w:val="FFEEDCE2098ED44DB5E981CD98AD6F72"/>
  </w:style>
  <w:style w:type="paragraph" w:customStyle="1" w:styleId="68EA3084286D614DB1D9E3037FBAE06E">
    <w:name w:val="68EA3084286D614DB1D9E3037FBAE06E"/>
  </w:style>
  <w:style w:type="paragraph" w:customStyle="1" w:styleId="F5A26FFD254BA449BFCB58E206E10C8C">
    <w:name w:val="F5A26FFD254BA449BFCB58E206E10C8C"/>
  </w:style>
  <w:style w:type="paragraph" w:customStyle="1" w:styleId="26795C75B5F6B14C9EFB5E281836C3E1">
    <w:name w:val="26795C75B5F6B14C9EFB5E281836C3E1"/>
  </w:style>
  <w:style w:type="paragraph" w:customStyle="1" w:styleId="1D29DD93B79343459ED0123862A93D6F">
    <w:name w:val="1D29DD93B79343459ED0123862A93D6F"/>
  </w:style>
  <w:style w:type="paragraph" w:customStyle="1" w:styleId="396F28298DDE9C44819C4D78FCB1DB0B">
    <w:name w:val="396F28298DDE9C44819C4D78FCB1DB0B"/>
  </w:style>
  <w:style w:type="paragraph" w:customStyle="1" w:styleId="B7DFDC0358F23F4F8552A98AD6646CC3">
    <w:name w:val="B7DFDC0358F23F4F8552A98AD6646CC3"/>
  </w:style>
  <w:style w:type="paragraph" w:customStyle="1" w:styleId="D52F34FB6E09D849A7BE7913ABD2ED82">
    <w:name w:val="D52F34FB6E09D849A7BE7913ABD2ED82"/>
  </w:style>
  <w:style w:type="paragraph" w:customStyle="1" w:styleId="D819976AB2A3734BAAEC1431FFFB1027">
    <w:name w:val="D819976AB2A3734BAAEC1431FFFB1027"/>
  </w:style>
  <w:style w:type="paragraph" w:customStyle="1" w:styleId="23E2A01940B17A4A8402D51648442EFC">
    <w:name w:val="23E2A01940B17A4A8402D51648442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Big00</b:Tag>
    <b:SourceType>Book</b:SourceType>
    <b:Guid>{1B4C290C-E8A6-CF49-BC14-0A4C6A59E0DA}</b:Guid>
    <b:Author>
      <b:Author>
        <b:NameList>
          <b:Person>
            <b:Last>Bigsby</b:Last>
            <b:First>C.</b:First>
            <b:Middle>W. E.</b:Middle>
          </b:Person>
        </b:NameList>
      </b:Author>
    </b:Author>
    <b:Title>Modern American Drama, 1945-2000</b:Title>
    <b:City>Cambridge</b:City>
    <b:Publisher>Cambridge University Press</b:Publisher>
    <b:Year>2000</b:Year>
    <b:RefOrder>1</b:RefOrder>
  </b:Source>
  <b:Source>
    <b:Tag>Cor77</b:Tag>
    <b:SourceType>BookSection</b:SourceType>
    <b:Guid>{EC38C55E-F966-C541-93AD-3A3AF7EBC685}</b:Guid>
    <b:Title>Beyond Verisimilitude: Echoes of Expressionism in Williams’ Plays</b:Title>
    <b:City>Jackson</b:City>
    <b:Publisher>University Press of Mississippi</b:Publisher>
    <b:Year>1977</b:Year>
    <b:Author>
      <b:Author>
        <b:NameList>
          <b:Person>
            <b:Last>Corrigan</b:Last>
            <b:First>Mary</b:First>
            <b:Middle>Ann</b:Middle>
          </b:Person>
        </b:NameList>
      </b:Author>
      <b:Editor>
        <b:NameList>
          <b:Person>
            <b:Last>Tharpe</b:Last>
            <b:First>Jac</b:First>
          </b:Person>
        </b:NameList>
      </b:Editor>
    </b:Author>
    <b:BookTitle>Tennessee Williams: A Tribute</b:BookTitle>
    <b:RefOrder>2</b:RefOrder>
  </b:Source>
  <b:Source>
    <b:Tag>Hoo12</b:Tag>
    <b:SourceType>BookSection</b:SourceType>
    <b:Guid>{FB0F60F8-B935-B045-81FE-04823154E1E1}</b:Guid>
    <b:Author>
      <b:Author>
        <b:NameList>
          <b:Person>
            <b:Last>Hooper</b:Last>
            <b:First>Michael</b:First>
            <b:Middle>S. D.</b:Middle>
          </b:Person>
        </b:NameList>
      </b:Author>
    </b:Author>
    <b:Title>Sexual Politics in the Work of Tennessee Williams: Desire Over Protest</b:Title>
    <b:City>Cambridge</b:City>
    <b:Publisher>Cambridge University Press</b:Publisher>
    <b:Year>2012</b:Year>
    <b:RefOrder>3</b:RefOrder>
  </b:Source>
  <b:Source>
    <b:Tag>Kol00</b:Tag>
    <b:SourceType>Book</b:SourceType>
    <b:Guid>{A1A6DC52-FD81-FE43-B47F-DCCDFAD1C271}</b:Guid>
    <b:Author>
      <b:Author>
        <b:NameList>
          <b:Person>
            <b:Last>Kolin</b:Last>
            <b:First>Philip</b:First>
            <b:Middle>C.</b:Middle>
          </b:Person>
        </b:NameList>
      </b:Author>
    </b:Author>
    <b:Title>A Streetcar Named Desire</b:Title>
    <b:City>Cambridge</b:City>
    <b:Publisher>Cambridge University Press</b:Publisher>
    <b:Year>2000</b:Year>
    <b:RefOrder>4</b:RefOrder>
  </b:Source>
  <b:Source>
    <b:Tag>Lev95</b:Tag>
    <b:SourceType>Book</b:SourceType>
    <b:Guid>{52589859-E105-DF42-9C5C-339A38400472}</b:Guid>
    <b:Author>
      <b:Author>
        <b:NameList>
          <b:Person>
            <b:Last>Leverich</b:Last>
            <b:First>Lyle</b:First>
          </b:Person>
        </b:NameList>
      </b:Author>
    </b:Author>
    <b:Title>Tom: The Unknown Tennessee Williams</b:Title>
    <b:City>New York</b:City>
    <b:Publisher>W.W. Norton</b:Publisher>
    <b:Year>1995</b:Year>
    <b:RefOrder>5</b:RefOrder>
  </b:Source>
  <b:Source>
    <b:Tag>Mur14</b:Tag>
    <b:SourceType>Book</b:SourceType>
    <b:Guid>{E03C4124-9B28-6142-8B71-CB369FC614F3}</b:Guid>
    <b:Author>
      <b:Author>
        <b:NameList>
          <b:Person>
            <b:Last>Murphy</b:Last>
            <b:First>Brenda</b:First>
          </b:Person>
        </b:NameList>
      </b:Author>
    </b:Author>
    <b:Title>The Theatre of Tennessee Williams</b:Title>
    <b:City>London</b:City>
    <b:Publisher>Bloomsbury</b:Publisher>
    <b:Year>2014</b:Year>
    <b:RefOrder>6</b:RefOrder>
  </b:Source>
  <b:Source>
    <b:Tag>Sav92</b:Tag>
    <b:SourceType>Book</b:SourceType>
    <b:Guid>{822A5CA0-F088-364D-9D5E-A845D2014150}</b:Guid>
    <b:Author>
      <b:Author>
        <b:NameList>
          <b:Person>
            <b:Last>Savran</b:Last>
            <b:First>David</b:First>
          </b:Person>
        </b:NameList>
      </b:Author>
    </b:Author>
    <b:Title>Communists, Cowboys, and Queers: The Politics of Masculinity in the Works of Arthur Miller and Tennessee Williams</b:Title>
    <b:City>Minneapolis</b:City>
    <b:Publisher>University of Minnesota Press</b:Publisher>
    <b:Year>1992</b:Year>
    <b:RefOrder>7</b:RefOrder>
  </b:Source>
</b:Sources>
</file>

<file path=customXml/itemProps1.xml><?xml version="1.0" encoding="utf-8"?>
<ds:datastoreItem xmlns:ds="http://schemas.openxmlformats.org/officeDocument/2006/customXml" ds:itemID="{E6BCECFF-4421-E747-9CCB-B5BA7673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81</TotalTime>
  <Pages>3</Pages>
  <Words>1104</Words>
  <Characters>6294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2015-08-27T20:10:00Z</dcterms:created>
  <dcterms:modified xsi:type="dcterms:W3CDTF">2015-08-27T22:10:00Z</dcterms:modified>
</cp:coreProperties>
</file>