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5013" w:rsidRPr="00F748C5" w:rsidRDefault="00F748C5">
      <w:pPr>
        <w:pStyle w:val="normal0"/>
        <w:rPr>
          <w:rFonts w:ascii="Times New Roman" w:hAnsi="Times New Roman" w:cs="Times New Roman"/>
          <w:sz w:val="24"/>
        </w:rPr>
      </w:pPr>
      <w:r w:rsidRPr="00F748C5">
        <w:rPr>
          <w:rFonts w:ascii="Times New Roman" w:hAnsi="Times New Roman" w:cs="Times New Roman"/>
          <w:b/>
          <w:i/>
          <w:sz w:val="24"/>
        </w:rPr>
        <w:t>The Expressionism Debate</w:t>
      </w:r>
      <w:r w:rsidRPr="00F748C5">
        <w:rPr>
          <w:rFonts w:ascii="Times New Roman" w:hAnsi="Times New Roman" w:cs="Times New Roman"/>
          <w:sz w:val="24"/>
        </w:rPr>
        <w:t xml:space="preserve"> may ref</w:t>
      </w:r>
      <w:r w:rsidRPr="00F748C5">
        <w:rPr>
          <w:rFonts w:ascii="Times New Roman" w:hAnsi="Times New Roman" w:cs="Times New Roman"/>
          <w:sz w:val="24"/>
        </w:rPr>
        <w:t xml:space="preserve">er either to a series of articles / essays written by anti-fascist Marxist writers, philosophers, and theorists in </w:t>
      </w:r>
      <w:r w:rsidRPr="00F748C5">
        <w:rPr>
          <w:rFonts w:ascii="Times New Roman" w:hAnsi="Times New Roman" w:cs="Times New Roman"/>
          <w:i/>
          <w:sz w:val="24"/>
        </w:rPr>
        <w:t xml:space="preserve">Das </w:t>
      </w:r>
      <w:proofErr w:type="spellStart"/>
      <w:r w:rsidRPr="00F748C5">
        <w:rPr>
          <w:rFonts w:ascii="Times New Roman" w:hAnsi="Times New Roman" w:cs="Times New Roman"/>
          <w:i/>
          <w:sz w:val="24"/>
        </w:rPr>
        <w:t>Wort</w:t>
      </w:r>
      <w:proofErr w:type="spellEnd"/>
      <w:r w:rsidRPr="00F748C5">
        <w:rPr>
          <w:rFonts w:ascii="Times New Roman" w:hAnsi="Times New Roman" w:cs="Times New Roman"/>
          <w:sz w:val="24"/>
        </w:rPr>
        <w:t xml:space="preserve">, a literary journal associated with the German </w:t>
      </w:r>
      <w:proofErr w:type="spellStart"/>
      <w:r w:rsidRPr="00F748C5">
        <w:rPr>
          <w:rFonts w:ascii="Times New Roman" w:hAnsi="Times New Roman" w:cs="Times New Roman"/>
          <w:i/>
          <w:sz w:val="24"/>
        </w:rPr>
        <w:t>Volksfront</w:t>
      </w:r>
      <w:proofErr w:type="spellEnd"/>
      <w:r w:rsidRPr="00F748C5">
        <w:rPr>
          <w:rFonts w:ascii="Times New Roman" w:hAnsi="Times New Roman" w:cs="Times New Roman"/>
          <w:i/>
          <w:sz w:val="24"/>
        </w:rPr>
        <w:t xml:space="preserve"> </w:t>
      </w:r>
      <w:proofErr w:type="spellStart"/>
      <w:r w:rsidRPr="00F748C5">
        <w:rPr>
          <w:rFonts w:ascii="Times New Roman" w:hAnsi="Times New Roman" w:cs="Times New Roman"/>
          <w:i/>
          <w:sz w:val="24"/>
        </w:rPr>
        <w:t>für</w:t>
      </w:r>
      <w:proofErr w:type="spellEnd"/>
      <w:r w:rsidRPr="00F748C5">
        <w:rPr>
          <w:rFonts w:ascii="Times New Roman" w:hAnsi="Times New Roman" w:cs="Times New Roman"/>
          <w:i/>
          <w:sz w:val="24"/>
        </w:rPr>
        <w:t xml:space="preserve"> </w:t>
      </w:r>
      <w:proofErr w:type="spellStart"/>
      <w:r w:rsidRPr="00F748C5">
        <w:rPr>
          <w:rFonts w:ascii="Times New Roman" w:hAnsi="Times New Roman" w:cs="Times New Roman"/>
          <w:i/>
          <w:sz w:val="24"/>
        </w:rPr>
        <w:t>Frieden</w:t>
      </w:r>
      <w:proofErr w:type="spellEnd"/>
      <w:r w:rsidRPr="00F748C5">
        <w:rPr>
          <w:rFonts w:ascii="Times New Roman" w:hAnsi="Times New Roman" w:cs="Times New Roman"/>
          <w:i/>
          <w:sz w:val="24"/>
        </w:rPr>
        <w:t xml:space="preserve">, </w:t>
      </w:r>
      <w:proofErr w:type="spellStart"/>
      <w:r w:rsidRPr="00F748C5">
        <w:rPr>
          <w:rFonts w:ascii="Times New Roman" w:hAnsi="Times New Roman" w:cs="Times New Roman"/>
          <w:i/>
          <w:sz w:val="24"/>
        </w:rPr>
        <w:t>Freiheit</w:t>
      </w:r>
      <w:proofErr w:type="spellEnd"/>
      <w:r w:rsidRPr="00F748C5">
        <w:rPr>
          <w:rFonts w:ascii="Times New Roman" w:hAnsi="Times New Roman" w:cs="Times New Roman"/>
          <w:i/>
          <w:sz w:val="24"/>
        </w:rPr>
        <w:t xml:space="preserve"> und </w:t>
      </w:r>
      <w:proofErr w:type="spellStart"/>
      <w:r w:rsidRPr="00F748C5">
        <w:rPr>
          <w:rFonts w:ascii="Times New Roman" w:hAnsi="Times New Roman" w:cs="Times New Roman"/>
          <w:i/>
          <w:sz w:val="24"/>
        </w:rPr>
        <w:t>Brot</w:t>
      </w:r>
      <w:proofErr w:type="spellEnd"/>
      <w:r w:rsidRPr="00F748C5">
        <w:rPr>
          <w:rFonts w:ascii="Times New Roman" w:hAnsi="Times New Roman" w:cs="Times New Roman"/>
          <w:sz w:val="24"/>
        </w:rPr>
        <w:t xml:space="preserve"> initiative headed by Heinrich Mann and published in Moscow between 1936 and 1939, or to the larger debate about the ideological underpinnings of an Expressionist (and, more broadly, modernist) aesthetic through the early twentieth century.</w:t>
      </w:r>
    </w:p>
    <w:p w:rsidR="00FB5013" w:rsidRPr="00F748C5" w:rsidRDefault="00FB5013">
      <w:pPr>
        <w:pStyle w:val="normal0"/>
        <w:rPr>
          <w:rFonts w:ascii="Times New Roman" w:hAnsi="Times New Roman" w:cs="Times New Roman"/>
          <w:sz w:val="24"/>
        </w:rPr>
      </w:pPr>
    </w:p>
    <w:p w:rsidR="00FB5013" w:rsidRPr="00F748C5" w:rsidRDefault="00F748C5">
      <w:pPr>
        <w:pStyle w:val="normal0"/>
        <w:rPr>
          <w:rFonts w:ascii="Times New Roman" w:hAnsi="Times New Roman" w:cs="Times New Roman"/>
          <w:sz w:val="24"/>
        </w:rPr>
      </w:pPr>
      <w:r w:rsidRPr="00F748C5">
        <w:rPr>
          <w:rFonts w:ascii="Times New Roman" w:hAnsi="Times New Roman" w:cs="Times New Roman"/>
          <w:sz w:val="24"/>
        </w:rPr>
        <w:t>In 1934, Georg</w:t>
      </w:r>
      <w:r w:rsidRPr="00F748C5">
        <w:rPr>
          <w:rFonts w:ascii="Times New Roman" w:hAnsi="Times New Roman" w:cs="Times New Roman"/>
          <w:sz w:val="24"/>
        </w:rPr>
        <w:t xml:space="preserve"> </w:t>
      </w:r>
      <w:proofErr w:type="spellStart"/>
      <w:r w:rsidRPr="00F748C5">
        <w:rPr>
          <w:rFonts w:ascii="Times New Roman" w:hAnsi="Times New Roman" w:cs="Times New Roman"/>
          <w:sz w:val="24"/>
        </w:rPr>
        <w:t>Luckács</w:t>
      </w:r>
      <w:proofErr w:type="spellEnd"/>
      <w:r w:rsidRPr="00F748C5">
        <w:rPr>
          <w:rFonts w:ascii="Times New Roman" w:hAnsi="Times New Roman" w:cs="Times New Roman"/>
          <w:sz w:val="24"/>
        </w:rPr>
        <w:t xml:space="preserve"> published ‘“</w:t>
      </w:r>
      <w:proofErr w:type="spellStart"/>
      <w:r w:rsidRPr="00F748C5">
        <w:rPr>
          <w:rFonts w:ascii="Times New Roman" w:hAnsi="Times New Roman" w:cs="Times New Roman"/>
          <w:sz w:val="24"/>
        </w:rPr>
        <w:t>Grösse</w:t>
      </w:r>
      <w:proofErr w:type="spellEnd"/>
      <w:r w:rsidRPr="00F748C5">
        <w:rPr>
          <w:rFonts w:ascii="Times New Roman" w:hAnsi="Times New Roman" w:cs="Times New Roman"/>
          <w:sz w:val="24"/>
        </w:rPr>
        <w:t>” und “</w:t>
      </w:r>
      <w:proofErr w:type="spellStart"/>
      <w:r w:rsidRPr="00F748C5">
        <w:rPr>
          <w:rFonts w:ascii="Times New Roman" w:hAnsi="Times New Roman" w:cs="Times New Roman"/>
          <w:sz w:val="24"/>
        </w:rPr>
        <w:t>Verfall</w:t>
      </w:r>
      <w:proofErr w:type="spellEnd"/>
      <w:r w:rsidRPr="00F748C5">
        <w:rPr>
          <w:rFonts w:ascii="Times New Roman" w:hAnsi="Times New Roman" w:cs="Times New Roman"/>
          <w:sz w:val="24"/>
        </w:rPr>
        <w:t xml:space="preserve">” des </w:t>
      </w:r>
      <w:proofErr w:type="spellStart"/>
      <w:r w:rsidRPr="00F748C5">
        <w:rPr>
          <w:rFonts w:ascii="Times New Roman" w:hAnsi="Times New Roman" w:cs="Times New Roman"/>
          <w:sz w:val="24"/>
        </w:rPr>
        <w:t>Expressionismus</w:t>
      </w:r>
      <w:proofErr w:type="spellEnd"/>
      <w:r w:rsidRPr="00F748C5">
        <w:rPr>
          <w:rFonts w:ascii="Times New Roman" w:hAnsi="Times New Roman" w:cs="Times New Roman"/>
          <w:sz w:val="24"/>
        </w:rPr>
        <w:t xml:space="preserve">’ (The “Greatness” and “Decline” of Expressionism) in the January edition of </w:t>
      </w:r>
      <w:proofErr w:type="spellStart"/>
      <w:r w:rsidRPr="00F748C5">
        <w:rPr>
          <w:rFonts w:ascii="Times New Roman" w:hAnsi="Times New Roman" w:cs="Times New Roman"/>
          <w:i/>
          <w:sz w:val="24"/>
        </w:rPr>
        <w:t>Internationale</w:t>
      </w:r>
      <w:proofErr w:type="spellEnd"/>
      <w:r w:rsidRPr="00F748C5">
        <w:rPr>
          <w:rFonts w:ascii="Times New Roman" w:hAnsi="Times New Roman" w:cs="Times New Roman"/>
          <w:i/>
          <w:sz w:val="24"/>
        </w:rPr>
        <w:t xml:space="preserve"> </w:t>
      </w:r>
      <w:proofErr w:type="spellStart"/>
      <w:r w:rsidRPr="00F748C5">
        <w:rPr>
          <w:rFonts w:ascii="Times New Roman" w:hAnsi="Times New Roman" w:cs="Times New Roman"/>
          <w:i/>
          <w:sz w:val="24"/>
        </w:rPr>
        <w:t>Literatur</w:t>
      </w:r>
      <w:proofErr w:type="spellEnd"/>
      <w:r w:rsidRPr="00F748C5">
        <w:rPr>
          <w:rFonts w:ascii="Times New Roman" w:hAnsi="Times New Roman" w:cs="Times New Roman"/>
          <w:sz w:val="24"/>
        </w:rPr>
        <w:t>, associating Expressionist art and literature with the ‘parasitism’ of fundamentally imperia</w:t>
      </w:r>
      <w:r w:rsidRPr="00F748C5">
        <w:rPr>
          <w:rFonts w:ascii="Times New Roman" w:hAnsi="Times New Roman" w:cs="Times New Roman"/>
          <w:sz w:val="24"/>
        </w:rPr>
        <w:t>list notions. He suggested that fascism was an inevitable derivative or outgrowth of Expressionism’s dissociative aesthetics of stylization, which estrange an abstract notion of expression from political socioeconomic reality. Over the next few years, arti</w:t>
      </w:r>
      <w:r w:rsidRPr="00F748C5">
        <w:rPr>
          <w:rFonts w:ascii="Times New Roman" w:hAnsi="Times New Roman" w:cs="Times New Roman"/>
          <w:sz w:val="24"/>
        </w:rPr>
        <w:t xml:space="preserve">sts and intellectuals such as Gustav von </w:t>
      </w:r>
      <w:proofErr w:type="spellStart"/>
      <w:r w:rsidRPr="00F748C5">
        <w:rPr>
          <w:rFonts w:ascii="Times New Roman" w:hAnsi="Times New Roman" w:cs="Times New Roman"/>
          <w:sz w:val="24"/>
        </w:rPr>
        <w:t>Wangenheim</w:t>
      </w:r>
      <w:proofErr w:type="spellEnd"/>
      <w:r w:rsidRPr="00F748C5">
        <w:rPr>
          <w:rFonts w:ascii="Times New Roman" w:hAnsi="Times New Roman" w:cs="Times New Roman"/>
          <w:sz w:val="24"/>
        </w:rPr>
        <w:t xml:space="preserve">, Adolf </w:t>
      </w:r>
      <w:proofErr w:type="spellStart"/>
      <w:r w:rsidRPr="00F748C5">
        <w:rPr>
          <w:rFonts w:ascii="Times New Roman" w:hAnsi="Times New Roman" w:cs="Times New Roman"/>
          <w:sz w:val="24"/>
        </w:rPr>
        <w:t>Leschnitzer</w:t>
      </w:r>
      <w:proofErr w:type="spellEnd"/>
      <w:r w:rsidRPr="00F748C5">
        <w:rPr>
          <w:rFonts w:ascii="Times New Roman" w:hAnsi="Times New Roman" w:cs="Times New Roman"/>
          <w:sz w:val="24"/>
        </w:rPr>
        <w:t xml:space="preserve">, </w:t>
      </w:r>
      <w:proofErr w:type="spellStart"/>
      <w:r w:rsidRPr="00F748C5">
        <w:rPr>
          <w:rFonts w:ascii="Times New Roman" w:hAnsi="Times New Roman" w:cs="Times New Roman"/>
          <w:sz w:val="24"/>
        </w:rPr>
        <w:t>Herwarth</w:t>
      </w:r>
      <w:proofErr w:type="spellEnd"/>
      <w:r w:rsidRPr="00F748C5">
        <w:rPr>
          <w:rFonts w:ascii="Times New Roman" w:hAnsi="Times New Roman" w:cs="Times New Roman"/>
          <w:sz w:val="24"/>
        </w:rPr>
        <w:t xml:space="preserve"> Walden, and </w:t>
      </w:r>
      <w:proofErr w:type="spellStart"/>
      <w:r w:rsidRPr="00F748C5">
        <w:rPr>
          <w:rFonts w:ascii="Times New Roman" w:hAnsi="Times New Roman" w:cs="Times New Roman"/>
          <w:sz w:val="24"/>
        </w:rPr>
        <w:t>Bela</w:t>
      </w:r>
      <w:proofErr w:type="spellEnd"/>
      <w:r w:rsidRPr="00F748C5">
        <w:rPr>
          <w:rFonts w:ascii="Times New Roman" w:hAnsi="Times New Roman" w:cs="Times New Roman"/>
          <w:sz w:val="24"/>
        </w:rPr>
        <w:t xml:space="preserve"> </w:t>
      </w:r>
      <w:proofErr w:type="spellStart"/>
      <w:r w:rsidRPr="00F748C5">
        <w:rPr>
          <w:rFonts w:ascii="Times New Roman" w:hAnsi="Times New Roman" w:cs="Times New Roman"/>
          <w:sz w:val="24"/>
        </w:rPr>
        <w:t>Balazs</w:t>
      </w:r>
      <w:proofErr w:type="spellEnd"/>
      <w:r w:rsidRPr="00F748C5">
        <w:rPr>
          <w:rFonts w:ascii="Times New Roman" w:hAnsi="Times New Roman" w:cs="Times New Roman"/>
          <w:sz w:val="24"/>
        </w:rPr>
        <w:t xml:space="preserve"> repudiated </w:t>
      </w:r>
      <w:proofErr w:type="spellStart"/>
      <w:r w:rsidRPr="00F748C5">
        <w:rPr>
          <w:rFonts w:ascii="Times New Roman" w:hAnsi="Times New Roman" w:cs="Times New Roman"/>
          <w:sz w:val="24"/>
        </w:rPr>
        <w:t>Luckács’s</w:t>
      </w:r>
      <w:proofErr w:type="spellEnd"/>
      <w:r w:rsidRPr="00F748C5">
        <w:rPr>
          <w:rFonts w:ascii="Times New Roman" w:hAnsi="Times New Roman" w:cs="Times New Roman"/>
          <w:sz w:val="24"/>
        </w:rPr>
        <w:t xml:space="preserve"> views; in the September 1937 issue of </w:t>
      </w:r>
      <w:r w:rsidRPr="00F748C5">
        <w:rPr>
          <w:rFonts w:ascii="Times New Roman" w:hAnsi="Times New Roman" w:cs="Times New Roman"/>
          <w:i/>
          <w:sz w:val="24"/>
        </w:rPr>
        <w:t xml:space="preserve">Das </w:t>
      </w:r>
      <w:proofErr w:type="spellStart"/>
      <w:r w:rsidRPr="00F748C5">
        <w:rPr>
          <w:rFonts w:ascii="Times New Roman" w:hAnsi="Times New Roman" w:cs="Times New Roman"/>
          <w:i/>
          <w:sz w:val="24"/>
        </w:rPr>
        <w:t>Wort</w:t>
      </w:r>
      <w:proofErr w:type="spellEnd"/>
      <w:r w:rsidRPr="00F748C5">
        <w:rPr>
          <w:rFonts w:ascii="Times New Roman" w:hAnsi="Times New Roman" w:cs="Times New Roman"/>
          <w:sz w:val="24"/>
        </w:rPr>
        <w:t xml:space="preserve"> Klaus Mann wrote an article condemning Gottfried Benn’s support of the Nazis as wel</w:t>
      </w:r>
      <w:r w:rsidRPr="00F748C5">
        <w:rPr>
          <w:rFonts w:ascii="Times New Roman" w:hAnsi="Times New Roman" w:cs="Times New Roman"/>
          <w:sz w:val="24"/>
        </w:rPr>
        <w:t xml:space="preserve">l as a betrayal of Expressionist thought. Alfred </w:t>
      </w:r>
      <w:proofErr w:type="spellStart"/>
      <w:r w:rsidRPr="00F748C5">
        <w:rPr>
          <w:rFonts w:ascii="Times New Roman" w:hAnsi="Times New Roman" w:cs="Times New Roman"/>
          <w:sz w:val="24"/>
        </w:rPr>
        <w:t>Kurella</w:t>
      </w:r>
      <w:proofErr w:type="spellEnd"/>
      <w:r w:rsidRPr="00F748C5">
        <w:rPr>
          <w:rFonts w:ascii="Times New Roman" w:hAnsi="Times New Roman" w:cs="Times New Roman"/>
          <w:sz w:val="24"/>
        </w:rPr>
        <w:t xml:space="preserve"> of the </w:t>
      </w:r>
      <w:proofErr w:type="spellStart"/>
      <w:r w:rsidRPr="00F748C5">
        <w:rPr>
          <w:rFonts w:ascii="Times New Roman" w:hAnsi="Times New Roman" w:cs="Times New Roman"/>
          <w:i/>
          <w:sz w:val="24"/>
          <w:highlight w:val="white"/>
        </w:rPr>
        <w:t>Sozialistische</w:t>
      </w:r>
      <w:proofErr w:type="spellEnd"/>
      <w:r w:rsidRPr="00F748C5">
        <w:rPr>
          <w:rFonts w:ascii="Times New Roman" w:hAnsi="Times New Roman" w:cs="Times New Roman"/>
          <w:i/>
          <w:sz w:val="24"/>
          <w:highlight w:val="white"/>
        </w:rPr>
        <w:t xml:space="preserve"> </w:t>
      </w:r>
      <w:proofErr w:type="spellStart"/>
      <w:r w:rsidRPr="00F748C5">
        <w:rPr>
          <w:rFonts w:ascii="Times New Roman" w:hAnsi="Times New Roman" w:cs="Times New Roman"/>
          <w:i/>
          <w:sz w:val="24"/>
          <w:highlight w:val="white"/>
        </w:rPr>
        <w:t>Einheitspartei</w:t>
      </w:r>
      <w:proofErr w:type="spellEnd"/>
      <w:r w:rsidRPr="00F748C5">
        <w:rPr>
          <w:rFonts w:ascii="Times New Roman" w:hAnsi="Times New Roman" w:cs="Times New Roman"/>
          <w:i/>
          <w:sz w:val="24"/>
          <w:highlight w:val="white"/>
        </w:rPr>
        <w:t xml:space="preserve"> </w:t>
      </w:r>
      <w:proofErr w:type="spellStart"/>
      <w:r w:rsidRPr="00F748C5">
        <w:rPr>
          <w:rFonts w:ascii="Times New Roman" w:hAnsi="Times New Roman" w:cs="Times New Roman"/>
          <w:i/>
          <w:sz w:val="24"/>
          <w:highlight w:val="white"/>
        </w:rPr>
        <w:t>Deutschlands</w:t>
      </w:r>
      <w:proofErr w:type="spellEnd"/>
      <w:r w:rsidRPr="00F748C5">
        <w:rPr>
          <w:rFonts w:ascii="Times New Roman" w:hAnsi="Times New Roman" w:cs="Times New Roman"/>
          <w:sz w:val="24"/>
          <w:highlight w:val="white"/>
        </w:rPr>
        <w:t xml:space="preserve">, on the other hand, agreed with </w:t>
      </w:r>
      <w:proofErr w:type="spellStart"/>
      <w:r w:rsidRPr="00F748C5">
        <w:rPr>
          <w:rFonts w:ascii="Times New Roman" w:hAnsi="Times New Roman" w:cs="Times New Roman"/>
          <w:sz w:val="24"/>
        </w:rPr>
        <w:t>Luckács</w:t>
      </w:r>
      <w:proofErr w:type="spellEnd"/>
      <w:r w:rsidRPr="00F748C5">
        <w:rPr>
          <w:rFonts w:ascii="Times New Roman" w:hAnsi="Times New Roman" w:cs="Times New Roman"/>
          <w:sz w:val="24"/>
        </w:rPr>
        <w:t xml:space="preserve"> and </w:t>
      </w:r>
      <w:r w:rsidRPr="00F748C5">
        <w:rPr>
          <w:rFonts w:ascii="Times New Roman" w:hAnsi="Times New Roman" w:cs="Times New Roman"/>
          <w:sz w:val="24"/>
          <w:highlight w:val="white"/>
        </w:rPr>
        <w:t>asserted that Expressionism was the ‘spiritual child’ of untrammelled capitalism and a forerunner to fasc</w:t>
      </w:r>
      <w:r w:rsidRPr="00F748C5">
        <w:rPr>
          <w:rFonts w:ascii="Times New Roman" w:hAnsi="Times New Roman" w:cs="Times New Roman"/>
          <w:sz w:val="24"/>
          <w:highlight w:val="white"/>
        </w:rPr>
        <w:t>ism.</w:t>
      </w:r>
      <w:r w:rsidRPr="00F748C5">
        <w:rPr>
          <w:rFonts w:ascii="Times New Roman" w:hAnsi="Times New Roman" w:cs="Times New Roman"/>
          <w:sz w:val="24"/>
        </w:rPr>
        <w:t xml:space="preserve"> In his 1938 essay ‘Discussing Expressionism’ Ernst Bloch articulated a specific and sustained critique of </w:t>
      </w:r>
      <w:proofErr w:type="spellStart"/>
      <w:r w:rsidRPr="00F748C5">
        <w:rPr>
          <w:rFonts w:ascii="Times New Roman" w:hAnsi="Times New Roman" w:cs="Times New Roman"/>
          <w:sz w:val="24"/>
        </w:rPr>
        <w:t>Luckács’s</w:t>
      </w:r>
      <w:proofErr w:type="spellEnd"/>
      <w:r w:rsidRPr="00F748C5">
        <w:rPr>
          <w:rFonts w:ascii="Times New Roman" w:hAnsi="Times New Roman" w:cs="Times New Roman"/>
          <w:sz w:val="24"/>
        </w:rPr>
        <w:t xml:space="preserve"> essay, challenging its conclusions and methodology. </w:t>
      </w:r>
      <w:proofErr w:type="spellStart"/>
      <w:r w:rsidRPr="00F748C5">
        <w:rPr>
          <w:rFonts w:ascii="Times New Roman" w:hAnsi="Times New Roman" w:cs="Times New Roman"/>
          <w:sz w:val="24"/>
        </w:rPr>
        <w:t>Luckács</w:t>
      </w:r>
      <w:proofErr w:type="spellEnd"/>
      <w:r w:rsidRPr="00F748C5">
        <w:rPr>
          <w:rFonts w:ascii="Times New Roman" w:hAnsi="Times New Roman" w:cs="Times New Roman"/>
          <w:sz w:val="24"/>
        </w:rPr>
        <w:t xml:space="preserve"> responded with ‘Realism in the Balance’, arguing in </w:t>
      </w:r>
      <w:proofErr w:type="spellStart"/>
      <w:r w:rsidRPr="00F748C5">
        <w:rPr>
          <w:rFonts w:ascii="Times New Roman" w:hAnsi="Times New Roman" w:cs="Times New Roman"/>
          <w:sz w:val="24"/>
        </w:rPr>
        <w:t>favour</w:t>
      </w:r>
      <w:proofErr w:type="spellEnd"/>
      <w:r w:rsidRPr="00F748C5">
        <w:rPr>
          <w:rFonts w:ascii="Times New Roman" w:hAnsi="Times New Roman" w:cs="Times New Roman"/>
          <w:sz w:val="24"/>
        </w:rPr>
        <w:t xml:space="preserve"> of the realist’s</w:t>
      </w:r>
      <w:r w:rsidRPr="00F748C5">
        <w:rPr>
          <w:rFonts w:ascii="Times New Roman" w:hAnsi="Times New Roman" w:cs="Times New Roman"/>
          <w:sz w:val="24"/>
        </w:rPr>
        <w:t xml:space="preserve"> commitment to interpreting (not just depicting or re-creating) fragmentary experience, of perceiving and re-creating instead the ‘true significance’ or ‘totality’ of social reality. </w:t>
      </w:r>
      <w:proofErr w:type="spellStart"/>
      <w:r w:rsidRPr="00F748C5">
        <w:rPr>
          <w:rFonts w:ascii="Times New Roman" w:hAnsi="Times New Roman" w:cs="Times New Roman"/>
          <w:sz w:val="24"/>
        </w:rPr>
        <w:t>Luckács</w:t>
      </w:r>
      <w:proofErr w:type="spellEnd"/>
      <w:r w:rsidRPr="00F748C5">
        <w:rPr>
          <w:rFonts w:ascii="Times New Roman" w:hAnsi="Times New Roman" w:cs="Times New Roman"/>
          <w:sz w:val="24"/>
        </w:rPr>
        <w:t xml:space="preserve"> thus shifted the terms of the debate from art in general to liter</w:t>
      </w:r>
      <w:r w:rsidRPr="00F748C5">
        <w:rPr>
          <w:rFonts w:ascii="Times New Roman" w:hAnsi="Times New Roman" w:cs="Times New Roman"/>
          <w:sz w:val="24"/>
        </w:rPr>
        <w:t xml:space="preserve">ature and from Expressionism to modernism by contrasting ‘avant-garde literature </w:t>
      </w:r>
      <w:proofErr w:type="gramStart"/>
      <w:r w:rsidRPr="00F748C5">
        <w:rPr>
          <w:rFonts w:ascii="Times New Roman" w:hAnsi="Times New Roman" w:cs="Times New Roman"/>
          <w:sz w:val="24"/>
        </w:rPr>
        <w:t>[.</w:t>
      </w:r>
      <w:proofErr w:type="gramEnd"/>
      <w:r w:rsidRPr="00F748C5">
        <w:rPr>
          <w:rFonts w:ascii="Times New Roman" w:hAnsi="Times New Roman" w:cs="Times New Roman"/>
          <w:sz w:val="24"/>
        </w:rPr>
        <w:t xml:space="preserve"> . .] from Naturalism to Surrealism’ that rejected tradition and the Classics––experimental modernism––with the work of writers such as Maxim Gorky, Thomas Mann, and </w:t>
      </w:r>
      <w:proofErr w:type="spellStart"/>
      <w:r w:rsidRPr="00F748C5">
        <w:rPr>
          <w:rFonts w:ascii="Times New Roman" w:hAnsi="Times New Roman" w:cs="Times New Roman"/>
          <w:sz w:val="24"/>
        </w:rPr>
        <w:t>Romain</w:t>
      </w:r>
      <w:proofErr w:type="spellEnd"/>
      <w:r w:rsidRPr="00F748C5">
        <w:rPr>
          <w:rFonts w:ascii="Times New Roman" w:hAnsi="Times New Roman" w:cs="Times New Roman"/>
          <w:sz w:val="24"/>
        </w:rPr>
        <w:t xml:space="preserve"> </w:t>
      </w:r>
      <w:r w:rsidRPr="00F748C5">
        <w:rPr>
          <w:rFonts w:ascii="Times New Roman" w:hAnsi="Times New Roman" w:cs="Times New Roman"/>
          <w:sz w:val="24"/>
        </w:rPr>
        <w:t>Rolland.</w:t>
      </w:r>
    </w:p>
    <w:p w:rsidR="00FB5013" w:rsidRPr="00F748C5" w:rsidRDefault="00FB5013">
      <w:pPr>
        <w:pStyle w:val="normal0"/>
        <w:rPr>
          <w:rFonts w:ascii="Times New Roman" w:hAnsi="Times New Roman" w:cs="Times New Roman"/>
          <w:sz w:val="24"/>
        </w:rPr>
      </w:pPr>
    </w:p>
    <w:p w:rsidR="00FB5013" w:rsidRPr="00F748C5" w:rsidRDefault="00F748C5">
      <w:pPr>
        <w:pStyle w:val="normal0"/>
        <w:rPr>
          <w:rFonts w:ascii="Times New Roman" w:hAnsi="Times New Roman" w:cs="Times New Roman"/>
          <w:sz w:val="24"/>
        </w:rPr>
      </w:pPr>
      <w:r w:rsidRPr="00F748C5">
        <w:rPr>
          <w:rFonts w:ascii="Times New Roman" w:hAnsi="Times New Roman" w:cs="Times New Roman"/>
          <w:sz w:val="24"/>
        </w:rPr>
        <w:t xml:space="preserve">Bertolt Brecht’s critique of </w:t>
      </w:r>
      <w:proofErr w:type="spellStart"/>
      <w:r w:rsidRPr="00F748C5">
        <w:rPr>
          <w:rFonts w:ascii="Times New Roman" w:hAnsi="Times New Roman" w:cs="Times New Roman"/>
          <w:sz w:val="24"/>
        </w:rPr>
        <w:t>Luckács’s</w:t>
      </w:r>
      <w:proofErr w:type="spellEnd"/>
      <w:r w:rsidRPr="00F748C5">
        <w:rPr>
          <w:rFonts w:ascii="Times New Roman" w:hAnsi="Times New Roman" w:cs="Times New Roman"/>
          <w:sz w:val="24"/>
        </w:rPr>
        <w:t xml:space="preserve"> argument interrogated its dependence on bourgeois 19</w:t>
      </w:r>
      <w:r w:rsidRPr="00F748C5">
        <w:rPr>
          <w:rFonts w:ascii="Times New Roman" w:hAnsi="Times New Roman" w:cs="Times New Roman"/>
          <w:sz w:val="24"/>
          <w:vertAlign w:val="superscript"/>
        </w:rPr>
        <w:t>th</w:t>
      </w:r>
      <w:r w:rsidRPr="00F748C5">
        <w:rPr>
          <w:rFonts w:ascii="Times New Roman" w:hAnsi="Times New Roman" w:cs="Times New Roman"/>
          <w:sz w:val="24"/>
        </w:rPr>
        <w:t xml:space="preserve"> century techniques or novelists, and drew heavily on his own work as a popular playwright to </w:t>
      </w:r>
      <w:proofErr w:type="spellStart"/>
      <w:r w:rsidRPr="00F748C5">
        <w:rPr>
          <w:rFonts w:ascii="Times New Roman" w:hAnsi="Times New Roman" w:cs="Times New Roman"/>
          <w:sz w:val="24"/>
        </w:rPr>
        <w:t>emphasise</w:t>
      </w:r>
      <w:proofErr w:type="spellEnd"/>
      <w:r w:rsidRPr="00F748C5">
        <w:rPr>
          <w:rFonts w:ascii="Times New Roman" w:hAnsi="Times New Roman" w:cs="Times New Roman"/>
          <w:sz w:val="24"/>
        </w:rPr>
        <w:t xml:space="preserve"> the writer’s critical and ideological obligation </w:t>
      </w:r>
      <w:r w:rsidRPr="00F748C5">
        <w:rPr>
          <w:rFonts w:ascii="Times New Roman" w:hAnsi="Times New Roman" w:cs="Times New Roman"/>
          <w:sz w:val="24"/>
        </w:rPr>
        <w:t xml:space="preserve">to engage, and engage with, his living and present audience, to create ‘a living and combative literature [and] keep step with the rapid development of reality’. Theodor Adorno likewise took issue with the ‘absolute idealism’ and ‘dogmatic’ nature of </w:t>
      </w:r>
      <w:proofErr w:type="spellStart"/>
      <w:r w:rsidRPr="00F748C5">
        <w:rPr>
          <w:rFonts w:ascii="Times New Roman" w:hAnsi="Times New Roman" w:cs="Times New Roman"/>
          <w:sz w:val="24"/>
        </w:rPr>
        <w:t>Lucká</w:t>
      </w:r>
      <w:r w:rsidRPr="00F748C5">
        <w:rPr>
          <w:rFonts w:ascii="Times New Roman" w:hAnsi="Times New Roman" w:cs="Times New Roman"/>
          <w:sz w:val="24"/>
        </w:rPr>
        <w:t>cs’s</w:t>
      </w:r>
      <w:proofErr w:type="spellEnd"/>
      <w:r w:rsidRPr="00F748C5">
        <w:rPr>
          <w:rFonts w:ascii="Times New Roman" w:hAnsi="Times New Roman" w:cs="Times New Roman"/>
          <w:sz w:val="24"/>
        </w:rPr>
        <w:t xml:space="preserve"> paradigm; but his essays on </w:t>
      </w:r>
      <w:proofErr w:type="spellStart"/>
      <w:r w:rsidRPr="00F748C5">
        <w:rPr>
          <w:rFonts w:ascii="Times New Roman" w:hAnsi="Times New Roman" w:cs="Times New Roman"/>
          <w:sz w:val="24"/>
        </w:rPr>
        <w:t>Luckács</w:t>
      </w:r>
      <w:proofErr w:type="spellEnd"/>
      <w:r w:rsidRPr="00F748C5">
        <w:rPr>
          <w:rFonts w:ascii="Times New Roman" w:hAnsi="Times New Roman" w:cs="Times New Roman"/>
          <w:sz w:val="24"/>
        </w:rPr>
        <w:t xml:space="preserve"> and Brecht became part of a broader project on art and ideology through the later twentieth century. Both Brecht and Adorno developed their ideas in part through their correspondence with Walter Benjamin, whose essa</w:t>
      </w:r>
      <w:r w:rsidRPr="00F748C5">
        <w:rPr>
          <w:rFonts w:ascii="Times New Roman" w:hAnsi="Times New Roman" w:cs="Times New Roman"/>
          <w:sz w:val="24"/>
        </w:rPr>
        <w:t xml:space="preserve">y on ‘The Work of Art in the Age of Mechanical Reproduction’ (1936) and posthumously published unfinished </w:t>
      </w:r>
      <w:r w:rsidRPr="00F748C5">
        <w:rPr>
          <w:rFonts w:ascii="Times New Roman" w:hAnsi="Times New Roman" w:cs="Times New Roman"/>
          <w:i/>
          <w:sz w:val="24"/>
        </w:rPr>
        <w:t>Arcades</w:t>
      </w:r>
      <w:r w:rsidRPr="00F748C5">
        <w:rPr>
          <w:rFonts w:ascii="Times New Roman" w:hAnsi="Times New Roman" w:cs="Times New Roman"/>
          <w:sz w:val="24"/>
        </w:rPr>
        <w:t xml:space="preserve"> project (1927-40) explored the aesthetic and political context and implications of commercial-popular art.</w:t>
      </w:r>
    </w:p>
    <w:p w:rsidR="00FB5013" w:rsidRPr="00F748C5" w:rsidRDefault="00FB5013">
      <w:pPr>
        <w:pStyle w:val="normal0"/>
        <w:rPr>
          <w:rFonts w:ascii="Times New Roman" w:hAnsi="Times New Roman" w:cs="Times New Roman"/>
          <w:sz w:val="24"/>
        </w:rPr>
      </w:pPr>
    </w:p>
    <w:p w:rsidR="00FB5013" w:rsidRPr="00F748C5" w:rsidRDefault="00F748C5">
      <w:pPr>
        <w:pStyle w:val="normal0"/>
        <w:rPr>
          <w:rFonts w:ascii="Times New Roman" w:hAnsi="Times New Roman" w:cs="Times New Roman"/>
          <w:sz w:val="24"/>
        </w:rPr>
      </w:pPr>
      <w:r w:rsidRPr="00F748C5">
        <w:rPr>
          <w:rFonts w:ascii="Times New Roman" w:hAnsi="Times New Roman" w:cs="Times New Roman"/>
          <w:sz w:val="24"/>
        </w:rPr>
        <w:lastRenderedPageBreak/>
        <w:t xml:space="preserve">The </w:t>
      </w:r>
      <w:r w:rsidRPr="00F748C5">
        <w:rPr>
          <w:rFonts w:ascii="Times New Roman" w:hAnsi="Times New Roman" w:cs="Times New Roman"/>
          <w:i/>
          <w:sz w:val="24"/>
        </w:rPr>
        <w:t>Expressionism Debate</w:t>
      </w:r>
      <w:r w:rsidRPr="00F748C5">
        <w:rPr>
          <w:rFonts w:ascii="Times New Roman" w:hAnsi="Times New Roman" w:cs="Times New Roman"/>
          <w:sz w:val="24"/>
        </w:rPr>
        <w:t xml:space="preserve"> therefore</w:t>
      </w:r>
      <w:r w:rsidRPr="00F748C5">
        <w:rPr>
          <w:rFonts w:ascii="Times New Roman" w:hAnsi="Times New Roman" w:cs="Times New Roman"/>
          <w:sz w:val="24"/>
        </w:rPr>
        <w:t xml:space="preserve"> constitutes a </w:t>
      </w:r>
      <w:proofErr w:type="spellStart"/>
      <w:r w:rsidRPr="00F748C5">
        <w:rPr>
          <w:rFonts w:ascii="Times New Roman" w:hAnsi="Times New Roman" w:cs="Times New Roman"/>
          <w:sz w:val="24"/>
        </w:rPr>
        <w:t>heteroglot</w:t>
      </w:r>
      <w:proofErr w:type="spellEnd"/>
      <w:r w:rsidRPr="00F748C5">
        <w:rPr>
          <w:rFonts w:ascii="Times New Roman" w:hAnsi="Times New Roman" w:cs="Times New Roman"/>
          <w:sz w:val="24"/>
        </w:rPr>
        <w:t xml:space="preserve"> body of oft-contradictory, sometimes sweeping, occasionally rough-hewed, pungent, nuanced and discursive analyses on the merits and value of modernism as a literary, artistic, political and practical ideology, marking a still curr</w:t>
      </w:r>
      <w:r w:rsidRPr="00F748C5">
        <w:rPr>
          <w:rFonts w:ascii="Times New Roman" w:hAnsi="Times New Roman" w:cs="Times New Roman"/>
          <w:sz w:val="24"/>
        </w:rPr>
        <w:t>ent critical epoch that prioritizes the dialogue between aesthetics and historicity to either.</w:t>
      </w:r>
    </w:p>
    <w:p w:rsidR="00FB5013" w:rsidRPr="00F748C5" w:rsidRDefault="00FB5013">
      <w:pPr>
        <w:pStyle w:val="normal0"/>
        <w:rPr>
          <w:rFonts w:ascii="Times New Roman" w:hAnsi="Times New Roman" w:cs="Times New Roman"/>
          <w:sz w:val="24"/>
        </w:rPr>
      </w:pPr>
    </w:p>
    <w:p w:rsidR="00FB5013" w:rsidRPr="00F748C5" w:rsidRDefault="00FB5013">
      <w:pPr>
        <w:pStyle w:val="normal0"/>
        <w:rPr>
          <w:rFonts w:ascii="Times New Roman" w:hAnsi="Times New Roman" w:cs="Times New Roman"/>
          <w:sz w:val="24"/>
        </w:rPr>
      </w:pPr>
    </w:p>
    <w:p w:rsidR="00FB5013" w:rsidRPr="00F748C5" w:rsidRDefault="00FB5013">
      <w:pPr>
        <w:pStyle w:val="normal0"/>
        <w:rPr>
          <w:rFonts w:ascii="Times New Roman" w:hAnsi="Times New Roman" w:cs="Times New Roman"/>
          <w:sz w:val="24"/>
        </w:rPr>
      </w:pPr>
    </w:p>
    <w:p w:rsidR="00FB5013" w:rsidRPr="00F748C5" w:rsidRDefault="00F748C5">
      <w:pPr>
        <w:pStyle w:val="normal0"/>
        <w:jc w:val="center"/>
        <w:rPr>
          <w:rFonts w:ascii="Times New Roman" w:hAnsi="Times New Roman" w:cs="Times New Roman"/>
          <w:sz w:val="24"/>
        </w:rPr>
      </w:pPr>
      <w:r w:rsidRPr="00F748C5">
        <w:rPr>
          <w:rFonts w:ascii="Times New Roman" w:hAnsi="Times New Roman" w:cs="Times New Roman"/>
          <w:b/>
          <w:sz w:val="24"/>
        </w:rPr>
        <w:t>References and Further Reading</w:t>
      </w:r>
    </w:p>
    <w:p w:rsidR="00FB5013" w:rsidRPr="00F748C5" w:rsidRDefault="00FB5013">
      <w:pPr>
        <w:pStyle w:val="normal0"/>
        <w:rPr>
          <w:rFonts w:ascii="Times New Roman" w:hAnsi="Times New Roman" w:cs="Times New Roman"/>
          <w:sz w:val="24"/>
        </w:rPr>
      </w:pPr>
      <w:bookmarkStart w:id="0" w:name="_GoBack"/>
      <w:bookmarkEnd w:id="0"/>
    </w:p>
    <w:p w:rsidR="00FB5013" w:rsidRPr="00F748C5" w:rsidRDefault="00F748C5">
      <w:pPr>
        <w:pStyle w:val="normal0"/>
        <w:ind w:left="630" w:hanging="629"/>
        <w:rPr>
          <w:rFonts w:ascii="Times New Roman" w:hAnsi="Times New Roman" w:cs="Times New Roman"/>
          <w:sz w:val="24"/>
        </w:rPr>
      </w:pPr>
      <w:proofErr w:type="gramStart"/>
      <w:r w:rsidRPr="00F748C5">
        <w:rPr>
          <w:rFonts w:ascii="Times New Roman" w:hAnsi="Times New Roman" w:cs="Times New Roman"/>
          <w:sz w:val="24"/>
        </w:rPr>
        <w:t xml:space="preserve">Benjamin, W. (1977) </w:t>
      </w:r>
      <w:r w:rsidRPr="00F748C5">
        <w:rPr>
          <w:rFonts w:ascii="Times New Roman" w:hAnsi="Times New Roman" w:cs="Times New Roman"/>
          <w:i/>
          <w:sz w:val="24"/>
        </w:rPr>
        <w:t>The Origins of German Tragic Drama</w:t>
      </w:r>
      <w:r w:rsidRPr="00F748C5">
        <w:rPr>
          <w:rFonts w:ascii="Times New Roman" w:hAnsi="Times New Roman" w:cs="Times New Roman"/>
          <w:sz w:val="24"/>
        </w:rPr>
        <w:t>.</w:t>
      </w:r>
      <w:proofErr w:type="gramEnd"/>
      <w:r w:rsidRPr="00F748C5">
        <w:rPr>
          <w:rFonts w:ascii="Times New Roman" w:hAnsi="Times New Roman" w:cs="Times New Roman"/>
          <w:sz w:val="24"/>
        </w:rPr>
        <w:t xml:space="preserve"> </w:t>
      </w:r>
      <w:proofErr w:type="spellStart"/>
      <w:r w:rsidRPr="00F748C5">
        <w:rPr>
          <w:rFonts w:ascii="Times New Roman" w:hAnsi="Times New Roman" w:cs="Times New Roman"/>
          <w:sz w:val="24"/>
        </w:rPr>
        <w:t>Introd</w:t>
      </w:r>
      <w:proofErr w:type="spellEnd"/>
      <w:r w:rsidRPr="00F748C5">
        <w:rPr>
          <w:rFonts w:ascii="Times New Roman" w:hAnsi="Times New Roman" w:cs="Times New Roman"/>
          <w:sz w:val="24"/>
        </w:rPr>
        <w:t xml:space="preserve">. G Steiner. </w:t>
      </w:r>
      <w:proofErr w:type="gramStart"/>
      <w:r w:rsidRPr="00F748C5">
        <w:rPr>
          <w:rFonts w:ascii="Times New Roman" w:hAnsi="Times New Roman" w:cs="Times New Roman"/>
          <w:sz w:val="24"/>
        </w:rPr>
        <w:t>Trans. J Osborne.</w:t>
      </w:r>
      <w:proofErr w:type="gramEnd"/>
      <w:r w:rsidRPr="00F748C5">
        <w:rPr>
          <w:rFonts w:ascii="Times New Roman" w:hAnsi="Times New Roman" w:cs="Times New Roman"/>
          <w:sz w:val="24"/>
        </w:rPr>
        <w:t xml:space="preserve"> London &amp; NY: Verso.</w:t>
      </w:r>
    </w:p>
    <w:p w:rsidR="00FB5013" w:rsidRPr="00F748C5" w:rsidRDefault="00F748C5">
      <w:pPr>
        <w:pStyle w:val="normal0"/>
        <w:ind w:left="630" w:hanging="629"/>
        <w:rPr>
          <w:rFonts w:ascii="Times New Roman" w:hAnsi="Times New Roman" w:cs="Times New Roman"/>
          <w:sz w:val="24"/>
        </w:rPr>
      </w:pPr>
      <w:r w:rsidRPr="00F748C5">
        <w:rPr>
          <w:rFonts w:ascii="Times New Roman" w:hAnsi="Times New Roman" w:cs="Times New Roman"/>
          <w:sz w:val="24"/>
        </w:rPr>
        <w:t xml:space="preserve">Bloch, E, G </w:t>
      </w:r>
      <w:proofErr w:type="spellStart"/>
      <w:r w:rsidRPr="00F748C5">
        <w:rPr>
          <w:rFonts w:ascii="Times New Roman" w:hAnsi="Times New Roman" w:cs="Times New Roman"/>
          <w:sz w:val="24"/>
        </w:rPr>
        <w:t>Lukács</w:t>
      </w:r>
      <w:proofErr w:type="spellEnd"/>
      <w:r w:rsidRPr="00F748C5">
        <w:rPr>
          <w:rFonts w:ascii="Times New Roman" w:hAnsi="Times New Roman" w:cs="Times New Roman"/>
          <w:sz w:val="24"/>
        </w:rPr>
        <w:t xml:space="preserve">, B Brecht, W Benjamin, T Adorno. (1977) </w:t>
      </w:r>
      <w:r w:rsidRPr="00F748C5">
        <w:rPr>
          <w:rFonts w:ascii="Times New Roman" w:hAnsi="Times New Roman" w:cs="Times New Roman"/>
          <w:i/>
          <w:sz w:val="24"/>
        </w:rPr>
        <w:t>Aesthetics and Politics</w:t>
      </w:r>
      <w:r w:rsidRPr="00F748C5">
        <w:rPr>
          <w:rFonts w:ascii="Times New Roman" w:hAnsi="Times New Roman" w:cs="Times New Roman"/>
          <w:sz w:val="24"/>
        </w:rPr>
        <w:t xml:space="preserve">. </w:t>
      </w:r>
      <w:proofErr w:type="gramStart"/>
      <w:r w:rsidRPr="00F748C5">
        <w:rPr>
          <w:rFonts w:ascii="Times New Roman" w:hAnsi="Times New Roman" w:cs="Times New Roman"/>
          <w:sz w:val="24"/>
        </w:rPr>
        <w:t>Afterword by F Jameson.</w:t>
      </w:r>
      <w:proofErr w:type="gramEnd"/>
      <w:r w:rsidRPr="00F748C5">
        <w:rPr>
          <w:rFonts w:ascii="Times New Roman" w:hAnsi="Times New Roman" w:cs="Times New Roman"/>
          <w:sz w:val="24"/>
        </w:rPr>
        <w:t xml:space="preserve"> Tr</w:t>
      </w:r>
      <w:r w:rsidRPr="00F748C5">
        <w:rPr>
          <w:rFonts w:ascii="Times New Roman" w:hAnsi="Times New Roman" w:cs="Times New Roman"/>
          <w:sz w:val="24"/>
        </w:rPr>
        <w:t xml:space="preserve">ans. R Livingstone </w:t>
      </w:r>
      <w:proofErr w:type="gramStart"/>
      <w:r w:rsidRPr="00F748C5">
        <w:rPr>
          <w:rFonts w:ascii="Times New Roman" w:hAnsi="Times New Roman" w:cs="Times New Roman"/>
          <w:sz w:val="24"/>
        </w:rPr>
        <w:t>et</w:t>
      </w:r>
      <w:proofErr w:type="gramEnd"/>
      <w:r w:rsidRPr="00F748C5">
        <w:rPr>
          <w:rFonts w:ascii="Times New Roman" w:hAnsi="Times New Roman" w:cs="Times New Roman"/>
          <w:sz w:val="24"/>
        </w:rPr>
        <w:t xml:space="preserve">. </w:t>
      </w:r>
      <w:proofErr w:type="gramStart"/>
      <w:r w:rsidRPr="00F748C5">
        <w:rPr>
          <w:rFonts w:ascii="Times New Roman" w:hAnsi="Times New Roman" w:cs="Times New Roman"/>
          <w:sz w:val="24"/>
        </w:rPr>
        <w:t>al</w:t>
      </w:r>
      <w:proofErr w:type="gramEnd"/>
      <w:r w:rsidRPr="00F748C5">
        <w:rPr>
          <w:rFonts w:ascii="Times New Roman" w:hAnsi="Times New Roman" w:cs="Times New Roman"/>
          <w:sz w:val="24"/>
        </w:rPr>
        <w:t>. Trans. Ed. R Taylor. London &amp; NY: Verso.</w:t>
      </w:r>
    </w:p>
    <w:p w:rsidR="00FB5013" w:rsidRPr="00F748C5" w:rsidRDefault="00F748C5">
      <w:pPr>
        <w:pStyle w:val="normal0"/>
        <w:ind w:left="630" w:hanging="629"/>
        <w:rPr>
          <w:rFonts w:ascii="Times New Roman" w:hAnsi="Times New Roman" w:cs="Times New Roman"/>
          <w:sz w:val="24"/>
        </w:rPr>
      </w:pPr>
      <w:r w:rsidRPr="00F748C5">
        <w:rPr>
          <w:rFonts w:ascii="Times New Roman" w:hAnsi="Times New Roman" w:cs="Times New Roman"/>
          <w:sz w:val="24"/>
        </w:rPr>
        <w:t xml:space="preserve">Bonner, S. (2002) ‘Political Aesthetics in the 1930s.’ </w:t>
      </w:r>
      <w:r w:rsidRPr="00F748C5">
        <w:rPr>
          <w:rFonts w:ascii="Times New Roman" w:hAnsi="Times New Roman" w:cs="Times New Roman"/>
          <w:i/>
          <w:sz w:val="24"/>
        </w:rPr>
        <w:t>Of Critical Theory and Its Theorists</w:t>
      </w:r>
      <w:r w:rsidRPr="00F748C5">
        <w:rPr>
          <w:rFonts w:ascii="Times New Roman" w:hAnsi="Times New Roman" w:cs="Times New Roman"/>
          <w:sz w:val="24"/>
        </w:rPr>
        <w:t>. 2</w:t>
      </w:r>
      <w:r w:rsidRPr="00F748C5">
        <w:rPr>
          <w:rFonts w:ascii="Times New Roman" w:hAnsi="Times New Roman" w:cs="Times New Roman"/>
          <w:sz w:val="24"/>
          <w:vertAlign w:val="superscript"/>
        </w:rPr>
        <w:t>nd</w:t>
      </w:r>
      <w:r w:rsidRPr="00F748C5">
        <w:rPr>
          <w:rFonts w:ascii="Times New Roman" w:hAnsi="Times New Roman" w:cs="Times New Roman"/>
          <w:sz w:val="24"/>
        </w:rPr>
        <w:t xml:space="preserve"> ed. London &amp; NY: </w:t>
      </w:r>
      <w:proofErr w:type="spellStart"/>
      <w:r w:rsidRPr="00F748C5">
        <w:rPr>
          <w:rFonts w:ascii="Times New Roman" w:hAnsi="Times New Roman" w:cs="Times New Roman"/>
          <w:sz w:val="24"/>
        </w:rPr>
        <w:t>Routledge</w:t>
      </w:r>
      <w:proofErr w:type="spellEnd"/>
      <w:r w:rsidRPr="00F748C5">
        <w:rPr>
          <w:rFonts w:ascii="Times New Roman" w:hAnsi="Times New Roman" w:cs="Times New Roman"/>
          <w:sz w:val="24"/>
        </w:rPr>
        <w:t>. 127-47.</w:t>
      </w:r>
    </w:p>
    <w:p w:rsidR="00FB5013" w:rsidRPr="00F748C5" w:rsidRDefault="00F748C5">
      <w:pPr>
        <w:pStyle w:val="normal0"/>
        <w:ind w:left="630" w:hanging="629"/>
        <w:rPr>
          <w:rFonts w:ascii="Times New Roman" w:hAnsi="Times New Roman" w:cs="Times New Roman"/>
          <w:sz w:val="24"/>
        </w:rPr>
      </w:pPr>
      <w:r w:rsidRPr="00F748C5">
        <w:rPr>
          <w:rFonts w:ascii="Times New Roman" w:hAnsi="Times New Roman" w:cs="Times New Roman"/>
          <w:sz w:val="24"/>
        </w:rPr>
        <w:t xml:space="preserve">Boucher, G. (2013) </w:t>
      </w:r>
      <w:r w:rsidRPr="00F748C5">
        <w:rPr>
          <w:rFonts w:ascii="Times New Roman" w:hAnsi="Times New Roman" w:cs="Times New Roman"/>
          <w:i/>
          <w:sz w:val="24"/>
        </w:rPr>
        <w:t>Adorno Reframed: Interpreting Key Th</w:t>
      </w:r>
      <w:r w:rsidRPr="00F748C5">
        <w:rPr>
          <w:rFonts w:ascii="Times New Roman" w:hAnsi="Times New Roman" w:cs="Times New Roman"/>
          <w:i/>
          <w:sz w:val="24"/>
        </w:rPr>
        <w:t>inkers</w:t>
      </w:r>
      <w:r w:rsidRPr="00F748C5">
        <w:rPr>
          <w:rFonts w:ascii="Times New Roman" w:hAnsi="Times New Roman" w:cs="Times New Roman"/>
          <w:sz w:val="24"/>
        </w:rPr>
        <w:t xml:space="preserve">. London &amp; NY: IB </w:t>
      </w:r>
      <w:proofErr w:type="spellStart"/>
      <w:r w:rsidRPr="00F748C5">
        <w:rPr>
          <w:rFonts w:ascii="Times New Roman" w:hAnsi="Times New Roman" w:cs="Times New Roman"/>
          <w:sz w:val="24"/>
        </w:rPr>
        <w:t>Tauris</w:t>
      </w:r>
      <w:proofErr w:type="spellEnd"/>
      <w:r w:rsidRPr="00F748C5">
        <w:rPr>
          <w:rFonts w:ascii="Times New Roman" w:hAnsi="Times New Roman" w:cs="Times New Roman"/>
          <w:sz w:val="24"/>
        </w:rPr>
        <w:t>.</w:t>
      </w:r>
    </w:p>
    <w:p w:rsidR="00FB5013" w:rsidRPr="00F748C5" w:rsidRDefault="00F748C5">
      <w:pPr>
        <w:pStyle w:val="normal0"/>
        <w:ind w:left="630" w:hanging="629"/>
        <w:rPr>
          <w:rFonts w:ascii="Times New Roman" w:hAnsi="Times New Roman" w:cs="Times New Roman"/>
          <w:sz w:val="24"/>
        </w:rPr>
      </w:pPr>
      <w:r w:rsidRPr="00F748C5">
        <w:rPr>
          <w:rFonts w:ascii="Times New Roman" w:hAnsi="Times New Roman" w:cs="Times New Roman"/>
          <w:sz w:val="24"/>
        </w:rPr>
        <w:t xml:space="preserve">Freeman, J. (2006) ‘Ernst Bloch and Hugo Ball: toward </w:t>
      </w:r>
      <w:proofErr w:type="gramStart"/>
      <w:r w:rsidRPr="00F748C5">
        <w:rPr>
          <w:rFonts w:ascii="Times New Roman" w:hAnsi="Times New Roman" w:cs="Times New Roman"/>
          <w:sz w:val="24"/>
        </w:rPr>
        <w:t>an ontology</w:t>
      </w:r>
      <w:proofErr w:type="gramEnd"/>
      <w:r w:rsidRPr="00F748C5">
        <w:rPr>
          <w:rFonts w:ascii="Times New Roman" w:hAnsi="Times New Roman" w:cs="Times New Roman"/>
          <w:sz w:val="24"/>
        </w:rPr>
        <w:t xml:space="preserve"> of the avant-garde.’ </w:t>
      </w:r>
      <w:proofErr w:type="gramStart"/>
      <w:r w:rsidRPr="00F748C5">
        <w:rPr>
          <w:rFonts w:ascii="Times New Roman" w:hAnsi="Times New Roman" w:cs="Times New Roman"/>
          <w:sz w:val="24"/>
        </w:rPr>
        <w:t>Philosophy, Theory and the Avant-Garde.</w:t>
      </w:r>
      <w:proofErr w:type="gramEnd"/>
      <w:r w:rsidRPr="00F748C5">
        <w:rPr>
          <w:rFonts w:ascii="Times New Roman" w:hAnsi="Times New Roman" w:cs="Times New Roman"/>
          <w:sz w:val="24"/>
        </w:rPr>
        <w:t xml:space="preserve"> </w:t>
      </w:r>
      <w:r w:rsidRPr="00F748C5">
        <w:rPr>
          <w:rFonts w:ascii="Times New Roman" w:hAnsi="Times New Roman" w:cs="Times New Roman"/>
          <w:i/>
          <w:sz w:val="24"/>
        </w:rPr>
        <w:t>Dada Culture: Critical Texts on the Avant-Garde</w:t>
      </w:r>
      <w:r w:rsidRPr="00F748C5">
        <w:rPr>
          <w:rFonts w:ascii="Times New Roman" w:hAnsi="Times New Roman" w:cs="Times New Roman"/>
          <w:sz w:val="24"/>
        </w:rPr>
        <w:t xml:space="preserve">. Ed </w:t>
      </w:r>
      <w:proofErr w:type="spellStart"/>
      <w:r w:rsidRPr="00F748C5">
        <w:rPr>
          <w:rFonts w:ascii="Times New Roman" w:hAnsi="Times New Roman" w:cs="Times New Roman"/>
          <w:sz w:val="24"/>
        </w:rPr>
        <w:t>Dafydd</w:t>
      </w:r>
      <w:proofErr w:type="spellEnd"/>
      <w:r w:rsidRPr="00F748C5">
        <w:rPr>
          <w:rFonts w:ascii="Times New Roman" w:hAnsi="Times New Roman" w:cs="Times New Roman"/>
          <w:sz w:val="24"/>
        </w:rPr>
        <w:t xml:space="preserve"> Jones. Amsterdam &amp; London: </w:t>
      </w:r>
      <w:proofErr w:type="spellStart"/>
      <w:r w:rsidRPr="00F748C5">
        <w:rPr>
          <w:rFonts w:ascii="Times New Roman" w:hAnsi="Times New Roman" w:cs="Times New Roman"/>
          <w:sz w:val="24"/>
        </w:rPr>
        <w:t>Rodopi</w:t>
      </w:r>
      <w:proofErr w:type="spellEnd"/>
      <w:r w:rsidRPr="00F748C5">
        <w:rPr>
          <w:rFonts w:ascii="Times New Roman" w:hAnsi="Times New Roman" w:cs="Times New Roman"/>
          <w:sz w:val="24"/>
        </w:rPr>
        <w:t>.</w:t>
      </w:r>
    </w:p>
    <w:p w:rsidR="00FB5013" w:rsidRPr="00F748C5" w:rsidRDefault="00F748C5">
      <w:pPr>
        <w:pStyle w:val="normal0"/>
        <w:ind w:left="630" w:hanging="629"/>
        <w:rPr>
          <w:rFonts w:ascii="Times New Roman" w:hAnsi="Times New Roman" w:cs="Times New Roman"/>
          <w:sz w:val="24"/>
        </w:rPr>
      </w:pPr>
      <w:proofErr w:type="spellStart"/>
      <w:r w:rsidRPr="00F748C5">
        <w:rPr>
          <w:rFonts w:ascii="Times New Roman" w:hAnsi="Times New Roman" w:cs="Times New Roman"/>
          <w:sz w:val="24"/>
        </w:rPr>
        <w:t>Jha</w:t>
      </w:r>
      <w:proofErr w:type="spellEnd"/>
      <w:r w:rsidRPr="00F748C5">
        <w:rPr>
          <w:rFonts w:ascii="Times New Roman" w:hAnsi="Times New Roman" w:cs="Times New Roman"/>
          <w:sz w:val="24"/>
        </w:rPr>
        <w:t>, P. (30 Oct 1982) “</w:t>
      </w:r>
      <w:hyperlink r:id="rId6">
        <w:r w:rsidRPr="00F748C5">
          <w:rPr>
            <w:rFonts w:ascii="Times New Roman" w:hAnsi="Times New Roman" w:cs="Times New Roman"/>
            <w:color w:val="1155CC"/>
            <w:sz w:val="24"/>
            <w:u w:val="single"/>
          </w:rPr>
          <w:t>Western Marxism and Literary Modernism</w:t>
        </w:r>
      </w:hyperlink>
      <w:r w:rsidRPr="00F748C5">
        <w:rPr>
          <w:rFonts w:ascii="Times New Roman" w:hAnsi="Times New Roman" w:cs="Times New Roman"/>
          <w:sz w:val="24"/>
        </w:rPr>
        <w:t xml:space="preserve">.” </w:t>
      </w:r>
      <w:r w:rsidRPr="00F748C5">
        <w:rPr>
          <w:rFonts w:ascii="Times New Roman" w:hAnsi="Times New Roman" w:cs="Times New Roman"/>
          <w:i/>
          <w:sz w:val="24"/>
        </w:rPr>
        <w:t>Economic and Political Weekly</w:t>
      </w:r>
      <w:r w:rsidRPr="00F748C5">
        <w:rPr>
          <w:rFonts w:ascii="Times New Roman" w:hAnsi="Times New Roman" w:cs="Times New Roman"/>
          <w:sz w:val="24"/>
        </w:rPr>
        <w:t>. 17 (44): 1787-92.</w:t>
      </w:r>
    </w:p>
    <w:p w:rsidR="00FB5013" w:rsidRPr="00F748C5" w:rsidRDefault="00F748C5">
      <w:pPr>
        <w:pStyle w:val="normal0"/>
        <w:ind w:left="630" w:hanging="629"/>
        <w:rPr>
          <w:rFonts w:ascii="Times New Roman" w:hAnsi="Times New Roman" w:cs="Times New Roman"/>
          <w:sz w:val="24"/>
        </w:rPr>
      </w:pPr>
      <w:proofErr w:type="spellStart"/>
      <w:r w:rsidRPr="00F748C5">
        <w:rPr>
          <w:rFonts w:ascii="Times New Roman" w:hAnsi="Times New Roman" w:cs="Times New Roman"/>
          <w:sz w:val="24"/>
        </w:rPr>
        <w:t>Lukács</w:t>
      </w:r>
      <w:proofErr w:type="spellEnd"/>
      <w:r w:rsidRPr="00F748C5">
        <w:rPr>
          <w:rFonts w:ascii="Times New Roman" w:hAnsi="Times New Roman" w:cs="Times New Roman"/>
          <w:sz w:val="24"/>
        </w:rPr>
        <w:t xml:space="preserve">, G. (1971) ‘Preface.’ </w:t>
      </w:r>
      <w:r w:rsidRPr="00F748C5">
        <w:rPr>
          <w:rFonts w:ascii="Times New Roman" w:hAnsi="Times New Roman" w:cs="Times New Roman"/>
          <w:i/>
          <w:sz w:val="24"/>
        </w:rPr>
        <w:t xml:space="preserve">The Theory of the Novel: A Historical-Philosophical Essay </w:t>
      </w:r>
      <w:r w:rsidRPr="00F748C5">
        <w:rPr>
          <w:rFonts w:ascii="Times New Roman" w:hAnsi="Times New Roman" w:cs="Times New Roman"/>
          <w:i/>
          <w:sz w:val="24"/>
        </w:rPr>
        <w:t>on the Forms of Great Epic Literature</w:t>
      </w:r>
      <w:r w:rsidRPr="00F748C5">
        <w:rPr>
          <w:rFonts w:ascii="Times New Roman" w:hAnsi="Times New Roman" w:cs="Times New Roman"/>
          <w:sz w:val="24"/>
        </w:rPr>
        <w:t xml:space="preserve">. Trans. Anna </w:t>
      </w:r>
      <w:proofErr w:type="spellStart"/>
      <w:r w:rsidRPr="00F748C5">
        <w:rPr>
          <w:rFonts w:ascii="Times New Roman" w:hAnsi="Times New Roman" w:cs="Times New Roman"/>
          <w:sz w:val="24"/>
        </w:rPr>
        <w:t>Bostock</w:t>
      </w:r>
      <w:proofErr w:type="spellEnd"/>
      <w:r w:rsidRPr="00F748C5">
        <w:rPr>
          <w:rFonts w:ascii="Times New Roman" w:hAnsi="Times New Roman" w:cs="Times New Roman"/>
          <w:sz w:val="24"/>
        </w:rPr>
        <w:t>. Cambridge, MA: MIT P. 11-23.</w:t>
      </w:r>
    </w:p>
    <w:p w:rsidR="00FB5013" w:rsidRPr="00F748C5" w:rsidRDefault="00F748C5">
      <w:pPr>
        <w:pStyle w:val="normal0"/>
        <w:ind w:left="630" w:hanging="629"/>
        <w:rPr>
          <w:rFonts w:ascii="Times New Roman" w:hAnsi="Times New Roman" w:cs="Times New Roman"/>
          <w:sz w:val="24"/>
        </w:rPr>
      </w:pPr>
      <w:proofErr w:type="spellStart"/>
      <w:r w:rsidRPr="00F748C5">
        <w:rPr>
          <w:rFonts w:ascii="Times New Roman" w:hAnsi="Times New Roman" w:cs="Times New Roman"/>
          <w:sz w:val="24"/>
        </w:rPr>
        <w:t>Lunn</w:t>
      </w:r>
      <w:proofErr w:type="spellEnd"/>
      <w:r w:rsidRPr="00F748C5">
        <w:rPr>
          <w:rFonts w:ascii="Times New Roman" w:hAnsi="Times New Roman" w:cs="Times New Roman"/>
          <w:sz w:val="24"/>
        </w:rPr>
        <w:t xml:space="preserve">, E. (1982) </w:t>
      </w:r>
      <w:r w:rsidRPr="00F748C5">
        <w:rPr>
          <w:rFonts w:ascii="Times New Roman" w:hAnsi="Times New Roman" w:cs="Times New Roman"/>
          <w:i/>
          <w:sz w:val="24"/>
        </w:rPr>
        <w:t xml:space="preserve">Marxism and Modernism: A Study of </w:t>
      </w:r>
      <w:proofErr w:type="spellStart"/>
      <w:r w:rsidRPr="00F748C5">
        <w:rPr>
          <w:rFonts w:ascii="Times New Roman" w:hAnsi="Times New Roman" w:cs="Times New Roman"/>
          <w:i/>
          <w:sz w:val="24"/>
        </w:rPr>
        <w:t>Lukács</w:t>
      </w:r>
      <w:proofErr w:type="spellEnd"/>
      <w:r w:rsidRPr="00F748C5">
        <w:rPr>
          <w:rFonts w:ascii="Times New Roman" w:hAnsi="Times New Roman" w:cs="Times New Roman"/>
          <w:i/>
          <w:sz w:val="24"/>
        </w:rPr>
        <w:t>, Brecht, Benjamin and Adorno</w:t>
      </w:r>
      <w:r w:rsidRPr="00F748C5">
        <w:rPr>
          <w:rFonts w:ascii="Times New Roman" w:hAnsi="Times New Roman" w:cs="Times New Roman"/>
          <w:sz w:val="24"/>
        </w:rPr>
        <w:t>. Berkeley, LA, London: U of California P.</w:t>
      </w:r>
    </w:p>
    <w:p w:rsidR="00FB5013" w:rsidRPr="00F748C5" w:rsidRDefault="00F748C5">
      <w:pPr>
        <w:pStyle w:val="normal0"/>
        <w:ind w:left="630" w:hanging="629"/>
        <w:rPr>
          <w:rFonts w:ascii="Times New Roman" w:hAnsi="Times New Roman" w:cs="Times New Roman"/>
          <w:sz w:val="24"/>
        </w:rPr>
      </w:pPr>
      <w:proofErr w:type="spellStart"/>
      <w:r w:rsidRPr="00F748C5">
        <w:rPr>
          <w:rFonts w:ascii="Times New Roman" w:hAnsi="Times New Roman" w:cs="Times New Roman"/>
          <w:sz w:val="24"/>
        </w:rPr>
        <w:t>Nadal-Melsió</w:t>
      </w:r>
      <w:proofErr w:type="spellEnd"/>
      <w:r w:rsidRPr="00F748C5">
        <w:rPr>
          <w:rFonts w:ascii="Times New Roman" w:hAnsi="Times New Roman" w:cs="Times New Roman"/>
          <w:sz w:val="24"/>
        </w:rPr>
        <w:t>, S. (2004) “</w:t>
      </w:r>
      <w:hyperlink r:id="rId7">
        <w:r w:rsidRPr="00F748C5">
          <w:rPr>
            <w:rFonts w:ascii="Times New Roman" w:hAnsi="Times New Roman" w:cs="Times New Roman"/>
            <w:color w:val="1155CC"/>
            <w:sz w:val="24"/>
            <w:u w:val="single"/>
          </w:rPr>
          <w:t xml:space="preserve">Georg </w:t>
        </w:r>
        <w:proofErr w:type="spellStart"/>
        <w:r w:rsidRPr="00F748C5">
          <w:rPr>
            <w:rFonts w:ascii="Times New Roman" w:hAnsi="Times New Roman" w:cs="Times New Roman"/>
            <w:color w:val="1155CC"/>
            <w:sz w:val="24"/>
            <w:u w:val="single"/>
          </w:rPr>
          <w:t>Lukács</w:t>
        </w:r>
        <w:proofErr w:type="spellEnd"/>
        <w:r w:rsidRPr="00F748C5">
          <w:rPr>
            <w:rFonts w:ascii="Times New Roman" w:hAnsi="Times New Roman" w:cs="Times New Roman"/>
            <w:color w:val="1155CC"/>
            <w:sz w:val="24"/>
            <w:u w:val="single"/>
          </w:rPr>
          <w:t xml:space="preserve">: Magus </w:t>
        </w:r>
        <w:proofErr w:type="spellStart"/>
        <w:r w:rsidRPr="00F748C5">
          <w:rPr>
            <w:rFonts w:ascii="Times New Roman" w:hAnsi="Times New Roman" w:cs="Times New Roman"/>
            <w:color w:val="1155CC"/>
            <w:sz w:val="24"/>
            <w:u w:val="single"/>
          </w:rPr>
          <w:t>Realismus</w:t>
        </w:r>
        <w:proofErr w:type="spellEnd"/>
        <w:r w:rsidRPr="00F748C5">
          <w:rPr>
            <w:rFonts w:ascii="Times New Roman" w:hAnsi="Times New Roman" w:cs="Times New Roman"/>
            <w:color w:val="1155CC"/>
            <w:sz w:val="24"/>
            <w:u w:val="single"/>
          </w:rPr>
          <w:t>?</w:t>
        </w:r>
      </w:hyperlink>
      <w:r w:rsidRPr="00F748C5">
        <w:rPr>
          <w:rFonts w:ascii="Times New Roman" w:hAnsi="Times New Roman" w:cs="Times New Roman"/>
          <w:sz w:val="24"/>
        </w:rPr>
        <w:t xml:space="preserve">” </w:t>
      </w:r>
      <w:r w:rsidRPr="00F748C5">
        <w:rPr>
          <w:rFonts w:ascii="Times New Roman" w:hAnsi="Times New Roman" w:cs="Times New Roman"/>
          <w:i/>
          <w:sz w:val="24"/>
        </w:rPr>
        <w:t>Diacritics</w:t>
      </w:r>
      <w:r w:rsidRPr="00F748C5">
        <w:rPr>
          <w:rFonts w:ascii="Times New Roman" w:hAnsi="Times New Roman" w:cs="Times New Roman"/>
          <w:sz w:val="24"/>
        </w:rPr>
        <w:t>. 34 (2): 62-84.</w:t>
      </w:r>
    </w:p>
    <w:p w:rsidR="00FB5013" w:rsidRPr="00F748C5" w:rsidRDefault="00F748C5">
      <w:pPr>
        <w:pStyle w:val="normal0"/>
        <w:ind w:left="630" w:hanging="629"/>
        <w:rPr>
          <w:rFonts w:ascii="Times New Roman" w:hAnsi="Times New Roman" w:cs="Times New Roman"/>
          <w:sz w:val="24"/>
        </w:rPr>
      </w:pPr>
      <w:r w:rsidRPr="00F748C5">
        <w:rPr>
          <w:rFonts w:ascii="Times New Roman" w:hAnsi="Times New Roman" w:cs="Times New Roman"/>
          <w:sz w:val="24"/>
        </w:rPr>
        <w:t xml:space="preserve">Stephan, I. (1993) ‘German Literature Written in Exile.’ </w:t>
      </w:r>
      <w:r w:rsidRPr="00F748C5">
        <w:rPr>
          <w:rFonts w:ascii="Times New Roman" w:hAnsi="Times New Roman" w:cs="Times New Roman"/>
          <w:i/>
          <w:sz w:val="24"/>
        </w:rPr>
        <w:t>A History of German Literature: From the Beginnings to the Present Day</w:t>
      </w:r>
      <w:r w:rsidRPr="00F748C5">
        <w:rPr>
          <w:rFonts w:ascii="Times New Roman" w:hAnsi="Times New Roman" w:cs="Times New Roman"/>
          <w:sz w:val="24"/>
        </w:rPr>
        <w:t xml:space="preserve">. Trans. Clare </w:t>
      </w:r>
      <w:proofErr w:type="spellStart"/>
      <w:r w:rsidRPr="00F748C5">
        <w:rPr>
          <w:rFonts w:ascii="Times New Roman" w:hAnsi="Times New Roman" w:cs="Times New Roman"/>
          <w:sz w:val="24"/>
        </w:rPr>
        <w:t>Krojzl</w:t>
      </w:r>
      <w:proofErr w:type="spellEnd"/>
      <w:r w:rsidRPr="00F748C5">
        <w:rPr>
          <w:rFonts w:ascii="Times New Roman" w:hAnsi="Times New Roman" w:cs="Times New Roman"/>
          <w:sz w:val="24"/>
        </w:rPr>
        <w:t>. London</w:t>
      </w:r>
      <w:r w:rsidRPr="00F748C5">
        <w:rPr>
          <w:rFonts w:ascii="Times New Roman" w:hAnsi="Times New Roman" w:cs="Times New Roman"/>
          <w:sz w:val="24"/>
        </w:rPr>
        <w:t xml:space="preserve"> &amp; NY: </w:t>
      </w:r>
      <w:proofErr w:type="spellStart"/>
      <w:r w:rsidRPr="00F748C5">
        <w:rPr>
          <w:rFonts w:ascii="Times New Roman" w:hAnsi="Times New Roman" w:cs="Times New Roman"/>
          <w:sz w:val="24"/>
        </w:rPr>
        <w:t>Routledge</w:t>
      </w:r>
      <w:proofErr w:type="spellEnd"/>
      <w:r w:rsidRPr="00F748C5">
        <w:rPr>
          <w:rFonts w:ascii="Times New Roman" w:hAnsi="Times New Roman" w:cs="Times New Roman"/>
          <w:sz w:val="24"/>
        </w:rPr>
        <w:t>. 430-55.</w:t>
      </w:r>
    </w:p>
    <w:p w:rsidR="00FB5013" w:rsidRPr="00F748C5" w:rsidRDefault="00F748C5">
      <w:pPr>
        <w:pStyle w:val="normal0"/>
        <w:ind w:left="630" w:hanging="629"/>
        <w:rPr>
          <w:rFonts w:ascii="Times New Roman" w:hAnsi="Times New Roman" w:cs="Times New Roman"/>
          <w:sz w:val="24"/>
        </w:rPr>
      </w:pPr>
      <w:proofErr w:type="spellStart"/>
      <w:r w:rsidRPr="00F748C5">
        <w:rPr>
          <w:rFonts w:ascii="Times New Roman" w:hAnsi="Times New Roman" w:cs="Times New Roman"/>
          <w:sz w:val="24"/>
        </w:rPr>
        <w:t>Zusi</w:t>
      </w:r>
      <w:proofErr w:type="spellEnd"/>
      <w:r w:rsidRPr="00F748C5">
        <w:rPr>
          <w:rFonts w:ascii="Times New Roman" w:hAnsi="Times New Roman" w:cs="Times New Roman"/>
          <w:sz w:val="24"/>
        </w:rPr>
        <w:t>, Peter. (2004) ‘</w:t>
      </w:r>
      <w:proofErr w:type="spellStart"/>
      <w:r w:rsidRPr="00F748C5">
        <w:rPr>
          <w:rFonts w:ascii="Times New Roman" w:hAnsi="Times New Roman" w:cs="Times New Roman"/>
          <w:sz w:val="24"/>
        </w:rPr>
        <w:fldChar w:fldCharType="begin"/>
      </w:r>
      <w:r w:rsidRPr="00F748C5">
        <w:rPr>
          <w:rFonts w:ascii="Times New Roman" w:hAnsi="Times New Roman" w:cs="Times New Roman"/>
          <w:sz w:val="24"/>
        </w:rPr>
        <w:instrText xml:space="preserve"> HYPERLINK "http://www.jstor.org/stable/pdfplus/4125384.pdf" \h </w:instrText>
      </w:r>
      <w:r w:rsidRPr="00F748C5">
        <w:rPr>
          <w:rFonts w:ascii="Times New Roman" w:hAnsi="Times New Roman" w:cs="Times New Roman"/>
          <w:sz w:val="24"/>
        </w:rPr>
        <w:fldChar w:fldCharType="separate"/>
      </w:r>
      <w:r w:rsidRPr="00F748C5">
        <w:rPr>
          <w:rFonts w:ascii="Times New Roman" w:hAnsi="Times New Roman" w:cs="Times New Roman"/>
          <w:color w:val="1155CC"/>
          <w:sz w:val="24"/>
          <w:u w:val="single"/>
        </w:rPr>
        <w:t>Echos</w:t>
      </w:r>
      <w:proofErr w:type="spellEnd"/>
      <w:r w:rsidRPr="00F748C5">
        <w:rPr>
          <w:rFonts w:ascii="Times New Roman" w:hAnsi="Times New Roman" w:cs="Times New Roman"/>
          <w:color w:val="1155CC"/>
          <w:sz w:val="24"/>
          <w:u w:val="single"/>
        </w:rPr>
        <w:t xml:space="preserve"> of the Epochal: Historicism and the Realism Debate</w:t>
      </w:r>
      <w:r w:rsidRPr="00F748C5">
        <w:rPr>
          <w:rFonts w:ascii="Times New Roman" w:hAnsi="Times New Roman" w:cs="Times New Roman"/>
          <w:color w:val="1155CC"/>
          <w:sz w:val="24"/>
          <w:u w:val="single"/>
        </w:rPr>
        <w:fldChar w:fldCharType="end"/>
      </w:r>
      <w:r w:rsidRPr="00F748C5">
        <w:rPr>
          <w:rFonts w:ascii="Times New Roman" w:hAnsi="Times New Roman" w:cs="Times New Roman"/>
          <w:sz w:val="24"/>
        </w:rPr>
        <w:t xml:space="preserve">.’ </w:t>
      </w:r>
      <w:r w:rsidRPr="00F748C5">
        <w:rPr>
          <w:rFonts w:ascii="Times New Roman" w:hAnsi="Times New Roman" w:cs="Times New Roman"/>
          <w:i/>
          <w:sz w:val="24"/>
        </w:rPr>
        <w:t>Comparative Literature</w:t>
      </w:r>
      <w:r w:rsidRPr="00F748C5">
        <w:rPr>
          <w:rFonts w:ascii="Times New Roman" w:hAnsi="Times New Roman" w:cs="Times New Roman"/>
          <w:sz w:val="24"/>
        </w:rPr>
        <w:t>. 56 (3): 207-26.</w:t>
      </w:r>
    </w:p>
    <w:sectPr w:rsidR="00FB5013" w:rsidRPr="00F748C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21FB1"/>
    <w:multiLevelType w:val="hybridMultilevel"/>
    <w:tmpl w:val="FCCE200A"/>
    <w:lvl w:ilvl="0" w:tplc="79787A6C">
      <w:numFmt w:val="bullet"/>
      <w:lvlText w:val=""/>
      <w:lvlJc w:val="left"/>
      <w:pPr>
        <w:ind w:left="720"/>
      </w:pPr>
    </w:lvl>
    <w:lvl w:ilvl="1" w:tplc="061A9446">
      <w:numFmt w:val="bullet"/>
      <w:lvlText w:val="o"/>
      <w:lvlJc w:val="left"/>
      <w:pPr>
        <w:ind w:left="1440"/>
      </w:pPr>
    </w:lvl>
    <w:lvl w:ilvl="2" w:tplc="D35AE21E">
      <w:numFmt w:val="bullet"/>
      <w:lvlText w:val=""/>
      <w:lvlJc w:val="left"/>
      <w:pPr>
        <w:ind w:left="2160"/>
      </w:pPr>
    </w:lvl>
    <w:lvl w:ilvl="3" w:tplc="4314CE48">
      <w:numFmt w:val="bullet"/>
      <w:lvlText w:val=""/>
      <w:lvlJc w:val="left"/>
      <w:pPr>
        <w:ind w:left="2880"/>
      </w:pPr>
    </w:lvl>
    <w:lvl w:ilvl="4" w:tplc="561CF414">
      <w:numFmt w:val="bullet"/>
      <w:lvlText w:val="o"/>
      <w:lvlJc w:val="left"/>
      <w:pPr>
        <w:ind w:left="3600"/>
      </w:pPr>
    </w:lvl>
    <w:lvl w:ilvl="5" w:tplc="2BC6C010">
      <w:numFmt w:val="bullet"/>
      <w:lvlText w:val=""/>
      <w:lvlJc w:val="left"/>
      <w:pPr>
        <w:ind w:left="4320"/>
      </w:pPr>
    </w:lvl>
    <w:lvl w:ilvl="6" w:tplc="BD70FB4E">
      <w:numFmt w:val="bullet"/>
      <w:lvlText w:val=""/>
      <w:lvlJc w:val="left"/>
      <w:pPr>
        <w:ind w:left="5040"/>
      </w:pPr>
    </w:lvl>
    <w:lvl w:ilvl="7" w:tplc="9C6A32D0">
      <w:numFmt w:val="bullet"/>
      <w:lvlText w:val="o"/>
      <w:lvlJc w:val="left"/>
      <w:pPr>
        <w:ind w:left="5760"/>
      </w:pPr>
    </w:lvl>
    <w:lvl w:ilvl="8" w:tplc="B1129F9C">
      <w:numFmt w:val="bullet"/>
      <w:lvlText w:val=""/>
      <w:lvlJc w:val="left"/>
      <w:pPr>
        <w:ind w:left="6480"/>
      </w:pPr>
    </w:lvl>
  </w:abstractNum>
  <w:abstractNum w:abstractNumId="1">
    <w:nsid w:val="5E4E20E9"/>
    <w:multiLevelType w:val="hybridMultilevel"/>
    <w:tmpl w:val="8774E0D0"/>
    <w:lvl w:ilvl="0" w:tplc="2D207798">
      <w:start w:val="1"/>
      <w:numFmt w:val="decimal"/>
      <w:lvlText w:val="%1."/>
      <w:lvlJc w:val="left"/>
      <w:pPr>
        <w:ind w:left="720"/>
      </w:pPr>
    </w:lvl>
    <w:lvl w:ilvl="1" w:tplc="99F61114">
      <w:start w:val="1"/>
      <w:numFmt w:val="decimal"/>
      <w:lvlText w:val="%2."/>
      <w:lvlJc w:val="left"/>
      <w:pPr>
        <w:ind w:left="1440"/>
      </w:pPr>
    </w:lvl>
    <w:lvl w:ilvl="2" w:tplc="A7087334">
      <w:start w:val="1"/>
      <w:numFmt w:val="decimal"/>
      <w:lvlText w:val="%3."/>
      <w:lvlJc w:val="left"/>
      <w:pPr>
        <w:ind w:left="2160"/>
      </w:pPr>
    </w:lvl>
    <w:lvl w:ilvl="3" w:tplc="F3FCA9C4">
      <w:start w:val="1"/>
      <w:numFmt w:val="decimal"/>
      <w:lvlText w:val="%4."/>
      <w:lvlJc w:val="left"/>
      <w:pPr>
        <w:ind w:left="2880"/>
      </w:pPr>
    </w:lvl>
    <w:lvl w:ilvl="4" w:tplc="372E4D90">
      <w:start w:val="1"/>
      <w:numFmt w:val="decimal"/>
      <w:lvlText w:val="%5."/>
      <w:lvlJc w:val="left"/>
      <w:pPr>
        <w:ind w:left="3600"/>
      </w:pPr>
    </w:lvl>
    <w:lvl w:ilvl="5" w:tplc="F5847E42">
      <w:start w:val="1"/>
      <w:numFmt w:val="decimal"/>
      <w:lvlText w:val="%6."/>
      <w:lvlJc w:val="left"/>
      <w:pPr>
        <w:ind w:left="4320"/>
      </w:pPr>
    </w:lvl>
    <w:lvl w:ilvl="6" w:tplc="28721CC2">
      <w:start w:val="1"/>
      <w:numFmt w:val="decimal"/>
      <w:lvlText w:val="%7."/>
      <w:lvlJc w:val="left"/>
      <w:pPr>
        <w:ind w:left="5040"/>
      </w:pPr>
    </w:lvl>
    <w:lvl w:ilvl="7" w:tplc="A058FCC2">
      <w:start w:val="1"/>
      <w:numFmt w:val="decimal"/>
      <w:lvlText w:val="%8."/>
      <w:lvlJc w:val="left"/>
      <w:pPr>
        <w:ind w:left="5760"/>
      </w:pPr>
    </w:lvl>
    <w:lvl w:ilvl="8" w:tplc="2E1C76B8">
      <w:start w:val="1"/>
      <w:numFmt w:val="decimal"/>
      <w:lvlText w:val="%9."/>
      <w:lvlJc w:val="left"/>
      <w:pPr>
        <w:ind w:left="6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B5013"/>
    <w:rsid w:val="00F748C5"/>
    <w:rsid w:val="00FB50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Calibri" w:eastAsia="Calibri" w:hAnsi="Calibri" w:cs="Calibri"/>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Calibri" w:eastAsia="Calibri" w:hAnsi="Calibri" w:cs="Calibri"/>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jstor.org/stable/4371528/" TargetMode="External"/><Relationship Id="rId7" Type="http://schemas.openxmlformats.org/officeDocument/2006/relationships/hyperlink" Target="http://www.jstor.org/stable/3805817"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808</Words>
  <Characters>4607</Characters>
  <Application>Microsoft Macintosh Word</Application>
  <DocSecurity>0</DocSecurity>
  <Lines>38</Lines>
  <Paragraphs>10</Paragraphs>
  <ScaleCrop>false</ScaleCrop>
  <Company>University of Notre Dame</Company>
  <LinksUpToDate>false</LinksUpToDate>
  <CharactersWithSpaces>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REM_The Expressionism Debate_Vashist_5-11-2013.docx</dc:title>
  <cp:lastModifiedBy>Tobias Boes</cp:lastModifiedBy>
  <cp:revision>2</cp:revision>
  <dcterms:created xsi:type="dcterms:W3CDTF">2013-11-06T15:10:00Z</dcterms:created>
  <dcterms:modified xsi:type="dcterms:W3CDTF">2013-11-06T15:10:00Z</dcterms:modified>
</cp:coreProperties>
</file>