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68" w:rsidRDefault="00692B68">
      <w:pPr>
        <w:spacing w:line="480" w:lineRule="auto"/>
        <w:rPr>
          <w:b/>
        </w:rPr>
      </w:pPr>
      <w:r>
        <w:rPr>
          <w:b/>
        </w:rPr>
        <w:t>Tönnies, Ferdinand (1855</w:t>
      </w:r>
      <w:r w:rsidR="009C4C44">
        <w:rPr>
          <w:b/>
        </w:rPr>
        <w:t>-</w:t>
      </w:r>
      <w:r>
        <w:rPr>
          <w:b/>
        </w:rPr>
        <w:t>1936)</w:t>
      </w:r>
    </w:p>
    <w:p w:rsidR="00692B68" w:rsidRDefault="00692B68" w:rsidP="0016604E">
      <w:pPr>
        <w:spacing w:line="480" w:lineRule="auto"/>
      </w:pPr>
      <w:r>
        <w:t xml:space="preserve">Ferdinand Tönnies was central to the professionalization of European sociology, co-founding the </w:t>
      </w:r>
      <w:r w:rsidR="009121E0" w:rsidRPr="00FD3C12">
        <w:rPr>
          <w:rStyle w:val="st"/>
          <w:i/>
        </w:rPr>
        <w:t>Deutsche Gesellschaft für Soziologie</w:t>
      </w:r>
      <w:r w:rsidR="009121E0" w:rsidRPr="00FD3C12">
        <w:t xml:space="preserve"> </w:t>
      </w:r>
      <w:r w:rsidR="009121E0">
        <w:t>(</w:t>
      </w:r>
      <w:r>
        <w:t>German Society for Sociology</w:t>
      </w:r>
      <w:r w:rsidR="009121E0">
        <w:t>)</w:t>
      </w:r>
      <w:r>
        <w:t xml:space="preserve"> in 1909, along with Max Weber and Georg Simmel (Adair-Toteff 2005). He was born in 1855 in rural Schleswig (present-day Germany) to a family of Lutheran pastors and cattle breeders; he died in urban Kiel, Germany, in 1936. He is best known for </w:t>
      </w:r>
      <w:r w:rsidR="00F54782">
        <w:t>proposing</w:t>
      </w:r>
      <w:r w:rsidR="001513B7">
        <w:t xml:space="preserve"> that</w:t>
      </w:r>
      <w:r>
        <w:t xml:space="preserve"> </w:t>
      </w:r>
      <w:r>
        <w:rPr>
          <w:i/>
          <w:iCs/>
        </w:rPr>
        <w:t xml:space="preserve">Gemeinschaft </w:t>
      </w:r>
      <w:r w:rsidR="00F54782" w:rsidRPr="00F54782">
        <w:rPr>
          <w:iCs/>
        </w:rPr>
        <w:t>and</w:t>
      </w:r>
      <w:r>
        <w:rPr>
          <w:i/>
          <w:iCs/>
        </w:rPr>
        <w:t xml:space="preserve"> Gesellschaft</w:t>
      </w:r>
      <w:r w:rsidR="0066361B">
        <w:t xml:space="preserve"> </w:t>
      </w:r>
      <w:r w:rsidR="00F54782">
        <w:t>form a co</w:t>
      </w:r>
      <w:r w:rsidR="001513B7">
        <w:t>nstitutive binary of modernity (Tönnies 1957)</w:t>
      </w:r>
      <w:r>
        <w:t xml:space="preserve">. </w:t>
      </w:r>
      <w:r>
        <w:rPr>
          <w:i/>
        </w:rPr>
        <w:t>Gemeinschaft</w:t>
      </w:r>
      <w:r>
        <w:t xml:space="preserve"> (community) is an organic social form typified by village life historically and family life generally, where people are bound </w:t>
      </w:r>
      <w:r w:rsidR="0066361B">
        <w:t>in</w:t>
      </w:r>
      <w:r>
        <w:t xml:space="preserve"> mutual dependency, custom, and shared experience. In contrast, </w:t>
      </w:r>
      <w:r>
        <w:rPr>
          <w:i/>
        </w:rPr>
        <w:t>Gesellschaft</w:t>
      </w:r>
      <w:r>
        <w:t xml:space="preserve"> </w:t>
      </w:r>
      <w:r w:rsidR="00F54782">
        <w:t>(</w:t>
      </w:r>
      <w:r>
        <w:t>society) is an artificial social form where individuals enter and exit associations frequently and voluntarily; the city-dweller is famously freed from obligations of blood and tradition, which restrict and support the villager. Tönnies argued that such freedoms carry a cost</w:t>
      </w:r>
      <w:r w:rsidR="001513B7">
        <w:t xml:space="preserve"> to t</w:t>
      </w:r>
      <w:r>
        <w:t>he city-dweller</w:t>
      </w:r>
      <w:r w:rsidR="001513B7">
        <w:t>, who</w:t>
      </w:r>
      <w:r>
        <w:t xml:space="preserve"> is prone to atomization and alienation.</w:t>
      </w:r>
      <w:r w:rsidR="0016604E">
        <w:t xml:space="preserve"> </w:t>
      </w:r>
      <w:r>
        <w:t xml:space="preserve">Tönnies’ portrait of </w:t>
      </w:r>
      <w:r>
        <w:rPr>
          <w:i/>
        </w:rPr>
        <w:t>Gemeinschaft</w:t>
      </w:r>
      <w:r>
        <w:t xml:space="preserve"> served to highlight the shortcomings, even pathological attributes, of modern society (Löwy and Sayre</w:t>
      </w:r>
      <w:r w:rsidR="00F54782">
        <w:t xml:space="preserve"> </w:t>
      </w:r>
      <w:r>
        <w:t xml:space="preserve">2001). Tönnies believed that the movement from </w:t>
      </w:r>
      <w:r>
        <w:rPr>
          <w:i/>
        </w:rPr>
        <w:t>Gemeinschaft</w:t>
      </w:r>
      <w:r>
        <w:t xml:space="preserve"> to </w:t>
      </w:r>
      <w:r>
        <w:rPr>
          <w:i/>
        </w:rPr>
        <w:t>Gesellschaft</w:t>
      </w:r>
      <w:r>
        <w:t xml:space="preserve"> was historically inevitabl</w:t>
      </w:r>
      <w:r w:rsidR="001513B7">
        <w:t xml:space="preserve">e – the </w:t>
      </w:r>
      <w:r>
        <w:t xml:space="preserve">human values of village life were doomed to disappear. </w:t>
      </w:r>
    </w:p>
    <w:p w:rsidR="00692B68" w:rsidRDefault="00692B68">
      <w:pPr>
        <w:spacing w:line="480" w:lineRule="auto"/>
      </w:pPr>
      <w:r>
        <w:rPr>
          <w:i/>
        </w:rPr>
        <w:t>P. S. Moore, Ryerson University and A. J. Paravantes, York University</w:t>
      </w:r>
    </w:p>
    <w:p w:rsidR="00692B68" w:rsidRDefault="00692B68">
      <w:pPr>
        <w:spacing w:line="480" w:lineRule="auto"/>
        <w:rPr>
          <w:b/>
        </w:rPr>
      </w:pPr>
    </w:p>
    <w:p w:rsidR="00692B68" w:rsidRDefault="00692B68">
      <w:pPr>
        <w:spacing w:line="480" w:lineRule="auto"/>
        <w:rPr>
          <w:b/>
        </w:rPr>
      </w:pPr>
      <w:r>
        <w:rPr>
          <w:b/>
        </w:rPr>
        <w:t>List of works</w:t>
      </w:r>
    </w:p>
    <w:p w:rsidR="00692B68" w:rsidRDefault="00692B68">
      <w:pPr>
        <w:spacing w:line="480" w:lineRule="auto"/>
      </w:pPr>
      <w:r>
        <w:t>Tönnies, F. (1</w:t>
      </w:r>
      <w:r w:rsidR="001513B7">
        <w:t>957</w:t>
      </w:r>
      <w:r w:rsidR="00F54782">
        <w:t xml:space="preserve"> [</w:t>
      </w:r>
      <w:r w:rsidR="001513B7">
        <w:t>1887</w:t>
      </w:r>
      <w:r w:rsidR="00F54782">
        <w:t>]</w:t>
      </w:r>
      <w:r>
        <w:t xml:space="preserve">) </w:t>
      </w:r>
      <w:r w:rsidR="00F54782" w:rsidRPr="001513B7">
        <w:rPr>
          <w:i/>
        </w:rPr>
        <w:t xml:space="preserve">Community and Society </w:t>
      </w:r>
      <w:r w:rsidR="009C4C44">
        <w:rPr>
          <w:i/>
        </w:rPr>
        <w:t>(</w:t>
      </w:r>
      <w:r w:rsidRPr="001513B7">
        <w:rPr>
          <w:i/>
          <w:iCs/>
        </w:rPr>
        <w:t>Gemeinschaft und Gesellschaft</w:t>
      </w:r>
      <w:r w:rsidR="009C4C44">
        <w:rPr>
          <w:i/>
          <w:iCs/>
        </w:rPr>
        <w:t>)</w:t>
      </w:r>
      <w:r>
        <w:rPr>
          <w:iCs/>
        </w:rPr>
        <w:t>,</w:t>
      </w:r>
      <w:r w:rsidR="009C4C44">
        <w:rPr>
          <w:iCs/>
        </w:rPr>
        <w:t xml:space="preserve"> ed. and</w:t>
      </w:r>
      <w:r>
        <w:rPr>
          <w:iCs/>
        </w:rPr>
        <w:t xml:space="preserve"> trans. </w:t>
      </w:r>
      <w:r w:rsidR="001513B7">
        <w:t>C. P. Loomis, East Lansing: Michigan State University Press</w:t>
      </w:r>
      <w:r>
        <w:t>.</w:t>
      </w:r>
    </w:p>
    <w:p w:rsidR="00692B68" w:rsidRDefault="001513B7">
      <w:pPr>
        <w:spacing w:line="480" w:lineRule="auto"/>
        <w:rPr>
          <w:iCs/>
        </w:rPr>
      </w:pPr>
      <w:r>
        <w:rPr>
          <w:iCs/>
        </w:rPr>
        <w:t>------ (</w:t>
      </w:r>
      <w:r w:rsidR="001B3C73">
        <w:rPr>
          <w:iCs/>
        </w:rPr>
        <w:t xml:space="preserve">1961 [1909]) </w:t>
      </w:r>
      <w:r w:rsidR="001B3C73" w:rsidRPr="001B3C73">
        <w:rPr>
          <w:i/>
          <w:iCs/>
        </w:rPr>
        <w:t>Custom: An Essay on Social Codes</w:t>
      </w:r>
      <w:r w:rsidR="001B3C73">
        <w:rPr>
          <w:iCs/>
        </w:rPr>
        <w:t xml:space="preserve">, trans. A. Farrell Borenstein, New York: Free Press. </w:t>
      </w:r>
    </w:p>
    <w:p w:rsidR="001B3C73" w:rsidRDefault="001B3C73">
      <w:pPr>
        <w:spacing w:line="480" w:lineRule="auto"/>
        <w:rPr>
          <w:iCs/>
        </w:rPr>
      </w:pPr>
      <w:r>
        <w:rPr>
          <w:iCs/>
        </w:rPr>
        <w:lastRenderedPageBreak/>
        <w:t xml:space="preserve">------ (1974) </w:t>
      </w:r>
      <w:r w:rsidRPr="00A869A6">
        <w:rPr>
          <w:i/>
          <w:iCs/>
        </w:rPr>
        <w:t>On Social Ideas and Ideologies</w:t>
      </w:r>
      <w:r>
        <w:rPr>
          <w:iCs/>
        </w:rPr>
        <w:t>, trans. and ed. E. G. Jacoby, New York: Harper &amp; Row.</w:t>
      </w:r>
    </w:p>
    <w:p w:rsidR="006303D5" w:rsidRDefault="006303D5">
      <w:pPr>
        <w:spacing w:line="480" w:lineRule="auto"/>
        <w:rPr>
          <w:iCs/>
        </w:rPr>
      </w:pPr>
    </w:p>
    <w:p w:rsidR="00692B68" w:rsidRDefault="00692B68">
      <w:pPr>
        <w:spacing w:line="480" w:lineRule="auto"/>
        <w:rPr>
          <w:b/>
        </w:rPr>
      </w:pPr>
      <w:r>
        <w:rPr>
          <w:b/>
        </w:rPr>
        <w:t>References and further reading</w:t>
      </w:r>
    </w:p>
    <w:p w:rsidR="00692B68" w:rsidRDefault="00692B68">
      <w:pPr>
        <w:spacing w:line="480" w:lineRule="auto"/>
      </w:pPr>
      <w:r>
        <w:t xml:space="preserve">Adair-Toteff, C. (2005) </w:t>
      </w:r>
      <w:r>
        <w:rPr>
          <w:i/>
        </w:rPr>
        <w:t>Sociological Beginnings: The First Conference of the German Society for Sociology</w:t>
      </w:r>
      <w:r>
        <w:t>, Liverpool: Liverpool University Press.</w:t>
      </w:r>
    </w:p>
    <w:p w:rsidR="00692B68" w:rsidRDefault="00692B68">
      <w:pPr>
        <w:spacing w:line="480" w:lineRule="auto"/>
      </w:pPr>
      <w:r>
        <w:t xml:space="preserve">Liebersohn, H. (1988) </w:t>
      </w:r>
      <w:r>
        <w:rPr>
          <w:i/>
        </w:rPr>
        <w:t>Fate and Utopia in German Sociology, 1870-1923</w:t>
      </w:r>
      <w:r>
        <w:t>, Cambridge: MIT Press.</w:t>
      </w:r>
    </w:p>
    <w:p w:rsidR="00692B68" w:rsidRDefault="00C35590">
      <w:pPr>
        <w:spacing w:line="480" w:lineRule="auto"/>
      </w:pPr>
      <w:r w:rsidRPr="00C101E3">
        <w:t>Löwy, M. and Sayre</w:t>
      </w:r>
      <w:r>
        <w:t>,</w:t>
      </w:r>
      <w:r w:rsidRPr="00C101E3">
        <w:t xml:space="preserve"> R. (199</w:t>
      </w:r>
      <w:r>
        <w:t>1</w:t>
      </w:r>
      <w:r w:rsidRPr="00C101E3">
        <w:t xml:space="preserve">) </w:t>
      </w:r>
      <w:r w:rsidRPr="00C35590">
        <w:rPr>
          <w:rStyle w:val="Strong"/>
          <w:b w:val="0"/>
          <w:i/>
        </w:rPr>
        <w:t>Révolte et mélancolie: le romantisme à contre-courant de la modernité</w:t>
      </w:r>
      <w:r w:rsidRPr="00C35590">
        <w:t>,</w:t>
      </w:r>
      <w:r w:rsidRPr="00C35590">
        <w:rPr>
          <w:i/>
          <w:iCs/>
        </w:rPr>
        <w:t xml:space="preserve"> </w:t>
      </w:r>
      <w:r w:rsidRPr="00A96CF7">
        <w:t>t</w:t>
      </w:r>
      <w:r w:rsidRPr="002A4665">
        <w:t>rans. C</w:t>
      </w:r>
      <w:r>
        <w:t>.</w:t>
      </w:r>
      <w:r w:rsidRPr="002A4665">
        <w:t xml:space="preserve"> Porter</w:t>
      </w:r>
      <w:r w:rsidRPr="00C101E3">
        <w:rPr>
          <w:i/>
          <w:iCs/>
        </w:rPr>
        <w:t xml:space="preserve"> </w:t>
      </w:r>
      <w:r>
        <w:rPr>
          <w:iCs/>
        </w:rPr>
        <w:t xml:space="preserve">as </w:t>
      </w:r>
      <w:r w:rsidRPr="00C101E3">
        <w:rPr>
          <w:i/>
          <w:iCs/>
        </w:rPr>
        <w:t>Romanticism Against the Tide o</w:t>
      </w:r>
      <w:r w:rsidRPr="002D7BFE">
        <w:rPr>
          <w:i/>
          <w:iCs/>
        </w:rPr>
        <w:t>f Modernity</w:t>
      </w:r>
      <w:r w:rsidRPr="002A4665">
        <w:t>,</w:t>
      </w:r>
      <w:r>
        <w:t xml:space="preserve"> </w:t>
      </w:r>
      <w:r w:rsidRPr="00AD7AC9">
        <w:t>Durham</w:t>
      </w:r>
      <w:r>
        <w:t>:</w:t>
      </w:r>
      <w:r w:rsidRPr="00AD7AC9">
        <w:t xml:space="preserve"> Duke University Press</w:t>
      </w:r>
      <w:r>
        <w:t>, 2001.</w:t>
      </w:r>
    </w:p>
    <w:sectPr w:rsidR="00692B68" w:rsidSect="0014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20"/>
  <w:drawingGridHorizontalSpacing w:val="120"/>
  <w:displayHorizontalDrawingGridEvery w:val="2"/>
  <w:noPunctuationKerning/>
  <w:characterSpacingControl w:val="doNotCompress"/>
  <w:compat/>
  <w:rsids>
    <w:rsidRoot w:val="0066361B"/>
    <w:rsid w:val="00113D7B"/>
    <w:rsid w:val="00144F41"/>
    <w:rsid w:val="001513B7"/>
    <w:rsid w:val="0016604E"/>
    <w:rsid w:val="001932C2"/>
    <w:rsid w:val="001B3C73"/>
    <w:rsid w:val="001D3B09"/>
    <w:rsid w:val="00202993"/>
    <w:rsid w:val="002F27AD"/>
    <w:rsid w:val="003B5A56"/>
    <w:rsid w:val="003E2162"/>
    <w:rsid w:val="006303D5"/>
    <w:rsid w:val="0066361B"/>
    <w:rsid w:val="00692B68"/>
    <w:rsid w:val="009121E0"/>
    <w:rsid w:val="009C4C44"/>
    <w:rsid w:val="00A869A6"/>
    <w:rsid w:val="00C35590"/>
    <w:rsid w:val="00DD5C6C"/>
    <w:rsid w:val="00F5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41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44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144F41"/>
    <w:rPr>
      <w:rFonts w:ascii="Tahoma" w:hAnsi="Tahoma" w:cs="Tahoma"/>
      <w:sz w:val="16"/>
      <w:szCs w:val="16"/>
      <w:lang w:val="en-CA"/>
    </w:rPr>
  </w:style>
  <w:style w:type="character" w:styleId="CommentReference">
    <w:name w:val="annotation reference"/>
    <w:semiHidden/>
    <w:unhideWhenUsed/>
    <w:rsid w:val="00144F41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144F41"/>
    <w:rPr>
      <w:sz w:val="20"/>
      <w:szCs w:val="20"/>
    </w:rPr>
  </w:style>
  <w:style w:type="character" w:customStyle="1" w:styleId="CommentTextChar">
    <w:name w:val="Comment Text Char"/>
    <w:semiHidden/>
    <w:rsid w:val="00144F41"/>
    <w:rPr>
      <w:lang w:val="en-CA"/>
    </w:rPr>
  </w:style>
  <w:style w:type="paragraph" w:styleId="CommentSubject">
    <w:name w:val="annotation subject"/>
    <w:basedOn w:val="CommentText"/>
    <w:next w:val="CommentText"/>
    <w:semiHidden/>
    <w:unhideWhenUsed/>
    <w:rsid w:val="00144F41"/>
    <w:rPr>
      <w:b/>
      <w:bCs/>
    </w:rPr>
  </w:style>
  <w:style w:type="character" w:customStyle="1" w:styleId="CommentSubjectChar">
    <w:name w:val="Comment Subject Char"/>
    <w:semiHidden/>
    <w:rsid w:val="00144F41"/>
    <w:rPr>
      <w:b/>
      <w:bCs/>
      <w:lang w:val="en-CA"/>
    </w:rPr>
  </w:style>
  <w:style w:type="character" w:styleId="Hyperlink">
    <w:name w:val="Hyperlink"/>
    <w:semiHidden/>
    <w:unhideWhenUsed/>
    <w:rsid w:val="00144F41"/>
    <w:rPr>
      <w:color w:val="0000FF"/>
      <w:u w:val="single"/>
    </w:rPr>
  </w:style>
  <w:style w:type="character" w:styleId="Strong">
    <w:name w:val="Strong"/>
    <w:uiPriority w:val="22"/>
    <w:qFormat/>
    <w:rsid w:val="00C35590"/>
    <w:rPr>
      <w:b/>
      <w:bCs/>
    </w:rPr>
  </w:style>
  <w:style w:type="character" w:customStyle="1" w:styleId="st">
    <w:name w:val="st"/>
    <w:rsid w:val="00912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Tönnies, Ferdinand (1855 – 1936)</vt:lpstr>
    </vt:vector>
  </TitlesOfParts>
  <Company>Ryerson University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Tönnies, Ferdinand (1855 – 1936)</dc:title>
  <dc:creator>parav</dc:creator>
  <cp:lastModifiedBy>artsadmin</cp:lastModifiedBy>
  <cp:revision>2</cp:revision>
  <cp:lastPrinted>2012-07-26T21:45:00Z</cp:lastPrinted>
  <dcterms:created xsi:type="dcterms:W3CDTF">2012-09-26T00:41:00Z</dcterms:created>
  <dcterms:modified xsi:type="dcterms:W3CDTF">2012-09-26T00:41:00Z</dcterms:modified>
</cp:coreProperties>
</file>