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gif" ContentType="image/gif"/>
  <Override PartName="/word/media/image8.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Fonts w:ascii="Cambria" w:hAnsi="Cambria"/>
          <w:sz w:val="28"/>
          <w:szCs w:val="28"/>
        </w:rPr>
        <w:t>Yehoshua, A. B. (1936-</w:t>
      </w:r>
    </w:p>
    <w:p>
      <w:pPr>
        <w:pStyle w:val="style0"/>
      </w:pPr>
      <w:r>
        <w:rPr>
          <w:rFonts w:ascii="Cambria" w:hAnsi="Cambria"/>
          <w:sz w:val="28"/>
          <w:szCs w:val="28"/>
        </w:rPr>
        <w:t>A leading Israeli writer and cultural figure since the 1960s, Avraham B. Yehoshua’s work was recognized already in his twenties as a "new wave" in modern Hebrew literature. His absurd plots and obsessive protagonists signaled a break with the realist style and ideological collectivism characterizing the literature of a generation that had fought to establish the State of Israel in 1948. By contrast, the "new wave" writers moved toward abstract modernism, identity fragmentation, and absurd plots which, in Yehoshua’s case, revolve around dysfunctional families and tensions between nations and generations.</w:t>
      </w:r>
    </w:p>
    <w:p>
      <w:pPr>
        <w:pStyle w:val="style0"/>
      </w:pPr>
      <w:r>
        <w:rPr>
          <w:rFonts w:ascii="Cambria" w:hAnsi="Cambria"/>
          <w:sz w:val="28"/>
          <w:szCs w:val="28"/>
        </w:rPr>
      </w:r>
    </w:p>
    <w:p>
      <w:pPr>
        <w:pStyle w:val="style0"/>
      </w:pPr>
      <w:r>
        <w:rPr/>
        <w:drawing>
          <wp:inline distB="0" distL="0" distR="0" distT="0">
            <wp:extent cx="2424430" cy="3168650"/>
            <wp:effectExtent b="0" l="0" r="0" t="0"/>
            <wp:docPr descr="C:\Documents and Settings\Dani\My Documents\essays and varia\Yehoshua\author_info.asp_files\yehoshuaAB-web-DP.g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Dani\My Documents\essays and varia\Yehoshua\author_info.asp_files\yehoshuaAB-web-DP.gif" id="0" name="Picture"/>
                    <pic:cNvPicPr>
                      <a:picLocks noChangeArrowheads="1" noChangeAspect="1"/>
                    </pic:cNvPicPr>
                  </pic:nvPicPr>
                  <pic:blipFill>
                    <a:blip r:embed="rId2"/>
                    <a:srcRect/>
                    <a:stretch>
                      <a:fillRect/>
                    </a:stretch>
                  </pic:blipFill>
                  <pic:spPr bwMode="auto">
                    <a:xfrm>
                      <a:off x="0" y="0"/>
                      <a:ext cx="2424430" cy="3168650"/>
                    </a:xfrm>
                    <a:prstGeom prst="rect">
                      <a:avLst/>
                    </a:prstGeom>
                    <a:noFill/>
                    <a:ln w="9525">
                      <a:noFill/>
                      <a:miter lim="800000"/>
                      <a:headEnd/>
                      <a:tailEnd/>
                    </a:ln>
                  </pic:spPr>
                </pic:pic>
              </a:graphicData>
            </a:graphic>
          </wp:inline>
        </w:drawing>
      </w:r>
    </w:p>
    <w:p>
      <w:pPr>
        <w:pStyle w:val="style0"/>
      </w:pPr>
      <w:r>
        <w:rPr/>
      </w:r>
    </w:p>
    <w:p>
      <w:pPr>
        <w:pStyle w:val="style0"/>
      </w:pPr>
      <w:r>
        <w:rPr>
          <w:rFonts w:ascii="Cambria" w:hAnsi="Cambria"/>
          <w:sz w:val="28"/>
          <w:szCs w:val="28"/>
        </w:rPr>
        <w:t xml:space="preserve">His first novel, </w:t>
      </w:r>
      <w:r>
        <w:rPr>
          <w:rFonts w:ascii="Cambria" w:hAnsi="Cambria"/>
          <w:i/>
          <w:sz w:val="28"/>
          <w:szCs w:val="28"/>
        </w:rPr>
        <w:t>Ha-Meahev</w:t>
      </w:r>
      <w:r>
        <w:rPr>
          <w:rFonts w:ascii="Cambria" w:hAnsi="Cambria"/>
          <w:sz w:val="28"/>
          <w:szCs w:val="28"/>
        </w:rPr>
        <w:t xml:space="preserve"> (1977, The Lover) surprised readers accustomed to his short stories because here Yehoshua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 </w:t>
      </w:r>
      <w:r>
        <w:rPr>
          <w:rFonts w:ascii="Cambria" w:cs="Arial" w:eastAsia="Times New Roman" w:hAnsi="Cambria"/>
          <w:i/>
          <w:sz w:val="28"/>
          <w:szCs w:val="28"/>
        </w:rPr>
        <w:t>Masah el Tom Ha-Elef</w:t>
      </w:r>
      <w:r>
        <w:rPr>
          <w:rFonts w:ascii="Cambria" w:hAnsi="Cambria"/>
          <w:i/>
          <w:sz w:val="28"/>
          <w:szCs w:val="28"/>
        </w:rPr>
        <w:t xml:space="preserve"> </w:t>
      </w:r>
      <w:r>
        <w:rPr>
          <w:rFonts w:ascii="Cambria" w:hAnsi="Cambria"/>
          <w:sz w:val="28"/>
          <w:szCs w:val="28"/>
        </w:rPr>
        <w:t>(</w:t>
      </w:r>
      <w:r>
        <w:rPr>
          <w:rFonts w:ascii="Cambria" w:cs="Arial" w:eastAsia="Times New Roman" w:hAnsi="Cambria"/>
          <w:sz w:val="28"/>
          <w:szCs w:val="28"/>
        </w:rPr>
        <w:t xml:space="preserve">1997, </w:t>
      </w:r>
      <w:r>
        <w:rPr>
          <w:rFonts w:ascii="Cambria" w:hAnsi="Cambria"/>
          <w:i/>
          <w:sz w:val="28"/>
          <w:szCs w:val="28"/>
        </w:rPr>
        <w:t xml:space="preserve"> </w:t>
      </w:r>
      <w:r>
        <w:rPr>
          <w:rFonts w:ascii="Cambria" w:hAnsi="Cambria"/>
          <w:sz w:val="28"/>
          <w:szCs w:val="28"/>
        </w:rPr>
        <w:t xml:space="preserve">A Journey to the End of the Millennium), set in the Middle Ages, and </w:t>
      </w:r>
      <w:r>
        <w:rPr>
          <w:rFonts w:ascii="Cambria" w:hAnsi="Cambria"/>
          <w:i/>
          <w:sz w:val="28"/>
          <w:szCs w:val="28"/>
        </w:rPr>
        <w:t>Mar Mani</w:t>
      </w:r>
      <w:r>
        <w:rPr>
          <w:rFonts w:ascii="Cambria" w:hAnsi="Cambria"/>
          <w:sz w:val="28"/>
          <w:szCs w:val="28"/>
        </w:rPr>
        <w:t xml:space="preserve"> (1990, Mr. Mani), a postmodern historical novel composed of five complex conversations going backwards in time to cover 200 years of Jewish life around the Mediterranean basin.</w:t>
      </w:r>
    </w:p>
    <w:p>
      <w:pPr>
        <w:pStyle w:val="style0"/>
      </w:pPr>
      <w:r>
        <w:rPr>
          <w:rFonts w:ascii="Cambria" w:hAnsi="Cambria"/>
          <w:sz w:val="28"/>
          <w:szCs w:val="28"/>
        </w:rPr>
      </w:r>
    </w:p>
    <w:p>
      <w:pPr>
        <w:pStyle w:val="style0"/>
      </w:pPr>
      <w:r>
        <w:rPr/>
        <w:drawing>
          <wp:inline distB="0" distL="0" distR="0" distT="0">
            <wp:extent cx="1905000" cy="2895600"/>
            <wp:effectExtent b="0" l="0" r="0" t="0"/>
            <wp:docPr descr="http://i43.tower.com/images/mm100608915/mr-mani-a-b-yehoshua-paperback-cover-art.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i43.tower.com/images/mm100608915/mr-mani-a-b-yehoshua-paperback-cover-art.jpg" id="1" name="Picture"/>
                    <pic:cNvPicPr>
                      <a:picLocks noChangeArrowheads="1" noChangeAspect="1"/>
                    </pic:cNvPicPr>
                  </pic:nvPicPr>
                  <pic:blipFill>
                    <a:blip r:embed="rId3"/>
                    <a:srcRect/>
                    <a:stretch>
                      <a:fillRect/>
                    </a:stretch>
                  </pic:blipFill>
                  <pic:spPr bwMode="auto">
                    <a:xfrm>
                      <a:off x="0" y="0"/>
                      <a:ext cx="1905000" cy="2895600"/>
                    </a:xfrm>
                    <a:prstGeom prst="rect">
                      <a:avLst/>
                    </a:prstGeom>
                    <a:noFill/>
                    <a:ln w="9525">
                      <a:noFill/>
                      <a:miter lim="800000"/>
                      <a:headEnd/>
                      <a:tailEnd/>
                    </a:ln>
                  </pic:spPr>
                </pic:pic>
              </a:graphicData>
            </a:graphic>
          </wp:inline>
        </w:drawing>
      </w:r>
    </w:p>
    <w:p>
      <w:pPr>
        <w:pStyle w:val="style0"/>
      </w:pPr>
      <w:r>
        <w:rPr/>
      </w:r>
    </w:p>
    <w:p>
      <w:pPr>
        <w:pStyle w:val="style0"/>
        <w:spacing w:after="0" w:before="0"/>
        <w:contextualSpacing w:val="false"/>
      </w:pPr>
      <w:r>
        <w:rPr>
          <w:rFonts w:ascii="Cambria" w:hAnsi="Cambria"/>
          <w:sz w:val="28"/>
          <w:szCs w:val="28"/>
        </w:rPr>
        <w:t xml:space="preserve">Yehoshua's masterpiece, </w:t>
      </w:r>
      <w:r>
        <w:rPr>
          <w:rFonts w:ascii="Cambria" w:hAnsi="Cambria"/>
          <w:i/>
          <w:sz w:val="28"/>
          <w:szCs w:val="28"/>
        </w:rPr>
        <w:t>Mr. Mani</w:t>
      </w:r>
      <w:r>
        <w:rPr>
          <w:rFonts w:ascii="Cambria" w:hAnsi="Cambria"/>
          <w:sz w:val="28"/>
          <w:szCs w:val="28"/>
        </w:rPr>
        <w:t xml:space="preserve">, brought to the fore his Sephardic roots as a descendant of Ladino-speaking Jews who lived in Jerusalem and the Mediterranean for many generations. </w:t>
      </w:r>
      <w:r>
        <w:rPr>
          <w:rFonts w:ascii="Cambria" w:hAnsi="Cambria"/>
          <w:b/>
          <w:bCs/>
          <w:sz w:val="28"/>
          <w:szCs w:val="28"/>
        </w:rPr>
        <w:t xml:space="preserve"> </w:t>
      </w:r>
      <w:r>
        <w:rPr>
          <w:rFonts w:ascii="Cambria" w:hAnsi="Cambria"/>
          <w:sz w:val="28"/>
          <w:szCs w:val="28"/>
        </w:rPr>
        <w:t>But instead of using his ethnic identity to present a narrow social perspective, Yehoshua’s sephardism generates a social and religious panorama that includes Sephardic and Ashkenazi Jews as well as Muslims, Christians, and even pagans from different age groups and classes. This panoramic interface enables him to deal provocatively with moral and existential challenges to Israeli identity and survival in the past and in our current time.</w:t>
      </w:r>
    </w:p>
    <w:p>
      <w:pPr>
        <w:pStyle w:val="style0"/>
        <w:spacing w:after="0" w:before="0"/>
        <w:contextualSpacing w:val="false"/>
      </w:pPr>
      <w:r>
        <w:rPr>
          <w:rFonts w:ascii="Cambria" w:hAnsi="Cambria"/>
          <w:sz w:val="28"/>
          <w:szCs w:val="28"/>
        </w:rPr>
      </w:r>
    </w:p>
    <w:p>
      <w:pPr>
        <w:pStyle w:val="style0"/>
        <w:spacing w:after="0" w:before="0"/>
        <w:contextualSpacing w:val="false"/>
      </w:pPr>
      <w:r>
        <w:rPr>
          <w:rFonts w:ascii="Cambria" w:hAnsi="Cambria"/>
          <w:sz w:val="28"/>
          <w:szCs w:val="28"/>
        </w:rPr>
        <w:t xml:space="preserve">As a public intellectual of considerable influence in Israel and abroad, Yehoshua’s preoccupation with what he calls the "diaspora neurosis" never fails to generate heated debates about Jewish identity. One such international debate became known as </w:t>
      </w:r>
      <w:r>
        <w:rPr>
          <w:rFonts w:ascii="Cambria" w:hAnsi="Cambria"/>
          <w:i/>
          <w:sz w:val="28"/>
          <w:szCs w:val="28"/>
        </w:rPr>
        <w:t>The Yehoshua Controversy</w:t>
      </w:r>
      <w:r>
        <w:rPr>
          <w:rFonts w:ascii="Cambria" w:hAnsi="Cambria"/>
          <w:sz w:val="28"/>
          <w:szCs w:val="28"/>
        </w:rPr>
        <w:t xml:space="preserve">: </w:t>
      </w:r>
      <w:hyperlink r:id="rId4">
        <w:r>
          <w:rPr>
            <w:rStyle w:val="style17"/>
            <w:rFonts w:ascii="Cambria" w:hAnsi="Cambria"/>
            <w:sz w:val="28"/>
            <w:szCs w:val="28"/>
          </w:rPr>
          <w:t>http://www.ajc.org/atf/cf/%7B42D75369-D582-4380-8395-D25925B85EAF%7D/Yehoushua_Controversy_2006.pdf</w:t>
        </w:r>
      </w:hyperlink>
      <w:r>
        <w:rPr>
          <w:rFonts w:ascii="Cambria" w:hAnsi="Cambria"/>
          <w:sz w:val="28"/>
          <w:szCs w:val="28"/>
        </w:rPr>
        <w:t xml:space="preserve">. </w:t>
      </w:r>
      <w:r>
        <w:rPr>
          <w:rFonts w:ascii="Cambria" w:hAnsi="Cambria"/>
          <w:sz w:val="28"/>
          <w:szCs w:val="28"/>
          <w:lang w:val="en-GB"/>
        </w:rPr>
        <w:t xml:space="preserve">A frequent guest at cultural events in Israel, Europe, and America, his </w:t>
      </w:r>
      <w:r>
        <w:rPr>
          <w:rFonts w:ascii="Cambria" w:hAnsi="Cambria"/>
          <w:sz w:val="28"/>
          <w:szCs w:val="28"/>
        </w:rPr>
        <w:t>public outreach through lectures, editorials, and essay collections enriches our understanding of the ideological dimensions of his works.</w:t>
      </w:r>
    </w:p>
    <w:p>
      <w:pPr>
        <w:pStyle w:val="style0"/>
        <w:spacing w:after="0" w:before="0"/>
        <w:contextualSpacing w:val="false"/>
      </w:pPr>
      <w:r>
        <w:rPr>
          <w:rFonts w:ascii="Cambria" w:hAnsi="Cambria"/>
          <w:sz w:val="28"/>
          <w:szCs w:val="28"/>
        </w:rPr>
      </w:r>
    </w:p>
    <w:p>
      <w:pPr>
        <w:pStyle w:val="style0"/>
        <w:spacing w:after="0" w:before="0"/>
        <w:contextualSpacing w:val="false"/>
      </w:pPr>
      <w:r>
        <w:rPr>
          <w:rFonts w:ascii="Cambria" w:hAnsi="Cambria"/>
          <w:sz w:val="28"/>
          <w:szCs w:val="28"/>
        </w:rPr>
        <w:t>Stylistically, A.B. Yehoshua is indebted primarily to Faulkner’s fragmentation of multiple points of view and to Agnon’s projection of historiosophic and intertextual references unto a modern plot. However, his brand of psychological realism also owes much to Doestoievsky's focus on what Yehoshua has called “the terrible power of a minor guilt.”</w:t>
      </w:r>
    </w:p>
    <w:p>
      <w:pPr>
        <w:pStyle w:val="style0"/>
        <w:spacing w:after="0" w:before="0"/>
        <w:contextualSpacing w:val="false"/>
      </w:pPr>
      <w:r>
        <w:rPr>
          <w:rFonts w:ascii="Cambria" w:hAnsi="Cambria"/>
          <w:sz w:val="28"/>
          <w:szCs w:val="28"/>
        </w:rPr>
      </w:r>
    </w:p>
    <w:p>
      <w:pPr>
        <w:pStyle w:val="style0"/>
        <w:spacing w:after="0" w:before="0" w:line="100" w:lineRule="atLeast"/>
        <w:contextualSpacing w:val="false"/>
      </w:pPr>
      <w:r>
        <w:rPr>
          <w:rFonts w:ascii="Cambria" w:cs="Times New Roman" w:eastAsia="Times New Roman" w:hAnsi="Cambria"/>
          <w:color w:val="222222"/>
          <w:sz w:val="28"/>
          <w:szCs w:val="28"/>
          <w:shd w:fill="FFFFFF" w:val="clear"/>
        </w:rPr>
        <w:t>Translated into over 28 languages, his novels and short stories have been adapted to film, television, theatre and opera. A Jerusalem native who spent most of his professional life teaching and writing in Haifa, Yehoshua recently moved to Tel Aviv with his wife, the psychologist Dr. Rivka Yehoshua, to live near their children and grandchildren.</w:t>
      </w:r>
    </w:p>
    <w:p>
      <w:pPr>
        <w:pStyle w:val="style0"/>
      </w:pPr>
      <w:bookmarkStart w:id="0" w:name="_GoBack"/>
      <w:bookmarkStart w:id="1" w:name="_GoBack"/>
      <w:bookmarkEnd w:id="1"/>
      <w:r>
        <w:rPr>
          <w:rFonts w:ascii="Cambria" w:hAnsi="Cambria"/>
          <w:sz w:val="28"/>
          <w:szCs w:val="28"/>
          <w:lang w:val="en-GB"/>
        </w:rPr>
      </w:r>
    </w:p>
    <w:p>
      <w:pPr>
        <w:pStyle w:val="style0"/>
      </w:pPr>
      <w:r>
        <w:rPr>
          <w:rFonts w:ascii="Cambria" w:hAnsi="Cambria"/>
          <w:sz w:val="28"/>
          <w:szCs w:val="28"/>
          <w:u w:val="single"/>
          <w:lang w:val="en-GB"/>
        </w:rPr>
        <w:t>REFERENCES AND FUTHER READING</w:t>
      </w:r>
      <w:r>
        <w:rPr>
          <w:rFonts w:ascii="Cambria" w:hAnsi="Cambria"/>
          <w:sz w:val="28"/>
          <w:szCs w:val="28"/>
          <w:lang w:val="en-GB"/>
        </w:rPr>
        <w:t>:</w:t>
      </w:r>
    </w:p>
    <w:p>
      <w:pPr>
        <w:pStyle w:val="style27"/>
        <w:numPr>
          <w:ilvl w:val="0"/>
          <w:numId w:val="1"/>
        </w:numPr>
        <w:spacing w:line="360" w:lineRule="auto"/>
      </w:pPr>
      <w:r>
        <w:rPr>
          <w:rFonts w:ascii="Cambria" w:hAnsi="Cambria"/>
          <w:sz w:val="28"/>
          <w:szCs w:val="28"/>
          <w:lang w:val="en-GB"/>
        </w:rPr>
        <w:t xml:space="preserve">Ben-Dov, Nitza, ed. </w:t>
      </w:r>
      <w:r>
        <w:rPr>
          <w:rFonts w:ascii="Cambria" w:hAnsi="Cambria"/>
          <w:i/>
          <w:sz w:val="28"/>
          <w:szCs w:val="28"/>
          <w:lang w:val="en-GB"/>
        </w:rPr>
        <w:t>In the Opposite Direction: Articles on Mr. Mani</w:t>
      </w:r>
      <w:r>
        <w:rPr>
          <w:rFonts w:ascii="Cambria" w:hAnsi="Cambria"/>
          <w:sz w:val="28"/>
          <w:szCs w:val="28"/>
          <w:lang w:val="en-GB"/>
        </w:rPr>
        <w:t xml:space="preserve"> [Hebrew].  Tel Aviv: HaKibbutz HaMeuhad, 1995.</w:t>
      </w:r>
    </w:p>
    <w:p>
      <w:pPr>
        <w:pStyle w:val="style27"/>
        <w:numPr>
          <w:ilvl w:val="0"/>
          <w:numId w:val="1"/>
        </w:numPr>
        <w:spacing w:line="360" w:lineRule="auto"/>
      </w:pPr>
      <w:r>
        <w:rPr>
          <w:rFonts w:ascii="Cambria" w:hAnsi="Cambria"/>
          <w:sz w:val="28"/>
          <w:szCs w:val="28"/>
          <w:lang w:val="en-GB"/>
        </w:rPr>
        <w:t xml:space="preserve">Halevi-Wise, Yael. “A. B. Yehoshua’s </w:t>
      </w:r>
      <w:r>
        <w:rPr>
          <w:rFonts w:ascii="Cambria" w:hAnsi="Cambria"/>
          <w:i/>
          <w:sz w:val="28"/>
          <w:szCs w:val="28"/>
          <w:lang w:val="en-GB"/>
        </w:rPr>
        <w:t>Mr. Mani</w:t>
      </w:r>
      <w:r>
        <w:rPr>
          <w:rFonts w:ascii="Cambria" w:hAnsi="Cambria"/>
          <w:sz w:val="28"/>
          <w:szCs w:val="28"/>
          <w:lang w:val="en-GB"/>
        </w:rPr>
        <w:t xml:space="preserve"> and the Playful Subjectivity of History,” in </w:t>
      </w:r>
      <w:r>
        <w:rPr>
          <w:rFonts w:ascii="Cambria" w:hAnsi="Cambria"/>
          <w:i/>
          <w:sz w:val="28"/>
          <w:szCs w:val="28"/>
          <w:lang w:val="en-GB"/>
        </w:rPr>
        <w:t>Interactive Fictions: Scenes of Storytelling in the Novel</w:t>
      </w:r>
      <w:r>
        <w:rPr>
          <w:rFonts w:ascii="Cambria" w:hAnsi="Cambria"/>
          <w:sz w:val="28"/>
          <w:szCs w:val="28"/>
          <w:lang w:val="en-GB"/>
        </w:rPr>
        <w:t>. Westport, CT &amp; London: Praeger, 2003. 132-145.</w:t>
      </w:r>
    </w:p>
    <w:p>
      <w:pPr>
        <w:pStyle w:val="style27"/>
        <w:numPr>
          <w:ilvl w:val="0"/>
          <w:numId w:val="1"/>
        </w:numPr>
        <w:spacing w:line="360" w:lineRule="auto"/>
      </w:pPr>
      <w:r>
        <w:rPr>
          <w:rFonts w:ascii="Cambria" w:hAnsi="Cambria"/>
          <w:sz w:val="28"/>
          <w:szCs w:val="28"/>
          <w:lang w:val="en-GB"/>
        </w:rPr>
        <w:t xml:space="preserve">Horn, Bernard. </w:t>
      </w:r>
      <w:r>
        <w:rPr>
          <w:rFonts w:ascii="Cambria" w:hAnsi="Cambria"/>
          <w:i/>
          <w:sz w:val="28"/>
          <w:szCs w:val="28"/>
          <w:lang w:val="en-GB"/>
        </w:rPr>
        <w:t>Facing the Fires: Conversations with A. B. Yehoshua</w:t>
      </w:r>
      <w:r>
        <w:rPr>
          <w:rFonts w:ascii="Cambria" w:hAnsi="Cambria"/>
          <w:sz w:val="28"/>
          <w:szCs w:val="28"/>
          <w:lang w:val="en-GB"/>
        </w:rPr>
        <w:t>. Syracuse, NY: Syracuse UP, 1997.</w:t>
      </w:r>
    </w:p>
    <w:p>
      <w:pPr>
        <w:pStyle w:val="style0"/>
        <w:spacing w:line="360" w:lineRule="auto"/>
      </w:pPr>
      <w:r>
        <w:rPr>
          <w:rFonts w:ascii="Cambria" w:hAnsi="Cambria"/>
          <w:sz w:val="28"/>
          <w:szCs w:val="28"/>
          <w:lang w:val="en-GB"/>
        </w:rPr>
        <w:t xml:space="preserve">---.  “Sephardic Identity and Its Discontents: The Novels of A. B. Yehoshua,” in </w:t>
      </w:r>
      <w:r>
        <w:rPr>
          <w:rFonts w:ascii="Cambria" w:hAnsi="Cambria"/>
          <w:i/>
          <w:sz w:val="28"/>
          <w:szCs w:val="28"/>
          <w:lang w:val="en-GB"/>
        </w:rPr>
        <w:t>Sephardism</w:t>
      </w:r>
      <w:r>
        <w:rPr>
          <w:rFonts w:ascii="Cambria" w:hAnsi="Cambria"/>
          <w:sz w:val="28"/>
          <w:szCs w:val="28"/>
          <w:lang w:val="en-GB"/>
        </w:rPr>
        <w:t>. Ed. Y. Halevi-Wise. Palo Alto, CA: Stanford UP, 2012. 189-210.</w:t>
      </w:r>
    </w:p>
    <w:p>
      <w:pPr>
        <w:pStyle w:val="style27"/>
        <w:numPr>
          <w:ilvl w:val="0"/>
          <w:numId w:val="1"/>
        </w:numPr>
        <w:spacing w:line="360" w:lineRule="auto"/>
      </w:pPr>
      <w:r>
        <w:rPr>
          <w:rFonts w:ascii="Cambria" w:hAnsi="Cambria"/>
          <w:sz w:val="28"/>
          <w:szCs w:val="28"/>
          <w:lang w:val="en-GB"/>
        </w:rPr>
        <w:t>“</w:t>
      </w:r>
      <w:r>
        <w:rPr>
          <w:rFonts w:ascii="Cambria" w:hAnsi="Cambria"/>
          <w:sz w:val="28"/>
          <w:szCs w:val="28"/>
          <w:lang w:val="en-GB"/>
        </w:rPr>
        <w:t xml:space="preserve">Live Shorts,” A. B. Yehoshua in conversation with Paul Holdengräber: </w:t>
      </w:r>
      <w:hyperlink r:id="rId5">
        <w:r>
          <w:rPr>
            <w:rStyle w:val="style17"/>
            <w:rFonts w:ascii="Cambria" w:hAnsi="Cambria"/>
            <w:sz w:val="28"/>
            <w:szCs w:val="28"/>
            <w:lang w:val="en-GB"/>
          </w:rPr>
          <w:t>http://www.youtube.com/watch?v=-x6VHM4Zc4I</w:t>
        </w:r>
      </w:hyperlink>
    </w:p>
    <w:p>
      <w:pPr>
        <w:pStyle w:val="style27"/>
        <w:numPr>
          <w:ilvl w:val="0"/>
          <w:numId w:val="1"/>
        </w:numPr>
        <w:spacing w:line="360" w:lineRule="auto"/>
      </w:pPr>
      <w:r>
        <w:rPr>
          <w:rFonts w:ascii="Cambria" w:hAnsi="Cambria"/>
          <w:sz w:val="28"/>
          <w:szCs w:val="28"/>
          <w:lang w:val="en-GB"/>
        </w:rPr>
        <w:t xml:space="preserve">Morahg, Gilead. "Reality and Symbol in the Fiction of A. B. Yehoshua," </w:t>
      </w:r>
      <w:r>
        <w:rPr>
          <w:rFonts w:ascii="Cambria" w:hAnsi="Cambria"/>
          <w:i/>
          <w:sz w:val="28"/>
          <w:szCs w:val="28"/>
          <w:lang w:val="en-GB"/>
        </w:rPr>
        <w:t>Prooftexts</w:t>
      </w:r>
      <w:r>
        <w:rPr>
          <w:rFonts w:ascii="Cambria" w:hAnsi="Cambria"/>
          <w:sz w:val="28"/>
          <w:szCs w:val="28"/>
          <w:lang w:val="en-GB"/>
        </w:rPr>
        <w:t xml:space="preserve"> 2.2 (1982):  179-196. </w:t>
      </w:r>
    </w:p>
    <w:p>
      <w:pPr>
        <w:pStyle w:val="style27"/>
        <w:numPr>
          <w:ilvl w:val="0"/>
          <w:numId w:val="2"/>
        </w:numPr>
        <w:spacing w:line="360" w:lineRule="auto"/>
      </w:pPr>
      <w:r>
        <w:rPr>
          <w:rFonts w:ascii="Cambria" w:hAnsi="Cambria"/>
          <w:sz w:val="28"/>
          <w:szCs w:val="28"/>
          <w:lang w:val="en-GB"/>
        </w:rPr>
        <w:t xml:space="preserve">Shaked, Gershon. </w:t>
      </w:r>
      <w:r>
        <w:rPr>
          <w:rFonts w:ascii="Cambria" w:hAnsi="Cambria"/>
          <w:i/>
          <w:sz w:val="28"/>
          <w:szCs w:val="28"/>
          <w:lang w:val="en-GB"/>
        </w:rPr>
        <w:t>Modern Hebrew Fiction</w:t>
      </w:r>
      <w:r>
        <w:rPr>
          <w:rFonts w:ascii="Cambria" w:hAnsi="Cambria"/>
          <w:sz w:val="28"/>
          <w:szCs w:val="28"/>
          <w:lang w:val="en-GB"/>
        </w:rPr>
        <w:t>. Bloomington: Indiana UP, 2000.</w:t>
      </w:r>
    </w:p>
    <w:p>
      <w:pPr>
        <w:pStyle w:val="style0"/>
      </w:pPr>
      <w:r>
        <w:rPr>
          <w:rFonts w:ascii="Cambria" w:hAnsi="Cambria"/>
          <w:sz w:val="28"/>
          <w:szCs w:val="28"/>
          <w:u w:val="single"/>
          <w:lang w:val="en-GB"/>
        </w:rPr>
      </w:r>
    </w:p>
    <w:p>
      <w:pPr>
        <w:pStyle w:val="style0"/>
      </w:pPr>
      <w:r>
        <w:rPr>
          <w:rFonts w:ascii="Cambria" w:hAnsi="Cambria"/>
          <w:sz w:val="28"/>
          <w:szCs w:val="28"/>
          <w:u w:val="single"/>
          <w:lang w:val="en-GB"/>
        </w:rPr>
        <w:t>SELECTED WORKS</w:t>
      </w:r>
      <w:r>
        <w:rPr>
          <w:rFonts w:ascii="Cambria" w:hAnsi="Cambria"/>
          <w:sz w:val="28"/>
          <w:szCs w:val="28"/>
          <w:lang w:val="en-GB"/>
        </w:rPr>
        <w:t>:</w:t>
      </w:r>
    </w:p>
    <w:tbl>
      <w:tblPr>
        <w:jc w:val="left"/>
        <w:tblBorders/>
      </w:tblPr>
      <w:tblGrid>
        <w:gridCol w:w="7110"/>
      </w:tblGrid>
      <w:tr>
        <w:trPr>
          <w:cantSplit w:val="false"/>
        </w:trPr>
        <w:tc>
          <w:tcPr>
            <w:tcW w:type="dxa" w:w="7110"/>
            <w:tcBorders/>
            <w:shd w:fill="auto" w:val="clear"/>
            <w:tcMar>
              <w:top w:type="dxa" w:w="0"/>
              <w:left w:type="dxa" w:w="0"/>
              <w:bottom w:type="dxa" w:w="0"/>
              <w:right w:type="dxa" w:w="0"/>
            </w:tcMar>
            <w:vAlign w:val="center"/>
          </w:tcPr>
          <w:p>
            <w:pPr>
              <w:pStyle w:val="style0"/>
              <w:spacing w:after="0" w:before="0" w:line="360" w:lineRule="auto"/>
              <w:ind w:hanging="0" w:left="0" w:right="-1152"/>
              <w:contextualSpacing w:val="false"/>
            </w:pPr>
            <w:r>
              <w:rPr>
                <w:rFonts w:ascii="Cambria" w:cs="Arial" w:eastAsia="Times New Roman" w:hAnsi="Cambria"/>
                <w:sz w:val="28"/>
                <w:szCs w:val="28"/>
                <w:u w:val="single"/>
              </w:rPr>
              <w:t>Short Story Collections:</w:t>
            </w:r>
          </w:p>
          <w:p>
            <w:pPr>
              <w:pStyle w:val="style0"/>
              <w:spacing w:after="0" w:before="0" w:line="360" w:lineRule="auto"/>
              <w:ind w:hanging="0" w:left="0" w:right="-1152"/>
              <w:contextualSpacing w:val="false"/>
            </w:pPr>
            <w:r>
              <w:rPr>
                <w:rStyle w:val="style19"/>
                <w:rFonts w:ascii="Cambria" w:cs="Arial" w:hAnsi="Cambria"/>
                <w:i/>
                <w:iCs/>
                <w:color w:val="000000"/>
                <w:sz w:val="28"/>
                <w:szCs w:val="28"/>
              </w:rPr>
              <w:t>The Death of the Old Man</w:t>
            </w:r>
            <w:r>
              <w:rPr>
                <w:rStyle w:val="style18"/>
                <w:rFonts w:ascii="Cambria" w:cs="Arial" w:hAnsi="Cambria"/>
                <w:color w:val="000000"/>
                <w:sz w:val="28"/>
                <w:szCs w:val="28"/>
              </w:rPr>
              <w:t> </w:t>
            </w:r>
            <w:r>
              <w:rPr>
                <w:rStyle w:val="style19"/>
                <w:rFonts w:ascii="Cambria" w:cs="Arial" w:hAnsi="Cambria"/>
                <w:color w:val="000000"/>
                <w:sz w:val="28"/>
                <w:szCs w:val="28"/>
              </w:rPr>
              <w:t xml:space="preserve">(1962, Mot Ha-Zaken, </w:t>
            </w:r>
            <w:r>
              <w:rPr>
                <w:rFonts w:ascii="Arial" w:cs="Arial" w:hAnsi="Arial"/>
                <w:i/>
                <w:i/>
                <w:sz w:val="28"/>
                <w:sz w:val="28"/>
                <w:szCs w:val="28"/>
                <w:rtl w:val="true"/>
              </w:rPr>
              <w:t>הזקן מות</w:t>
            </w:r>
            <w:r>
              <w:rPr>
                <w:rStyle w:val="style19"/>
                <w:rFonts w:ascii="Cambria" w:cs="Arial" w:hAnsi="Cambria"/>
                <w:color w:val="000000"/>
                <w:sz w:val="28"/>
                <w:szCs w:val="28"/>
              </w:rPr>
              <w:t>)</w:t>
            </w:r>
          </w:p>
          <w:p>
            <w:pPr>
              <w:pStyle w:val="style0"/>
              <w:spacing w:after="0" w:before="0" w:line="360" w:lineRule="auto"/>
              <w:ind w:hanging="0" w:left="0" w:right="-1152"/>
              <w:contextualSpacing w:val="false"/>
            </w:pPr>
            <w:r>
              <w:rPr>
                <w:rFonts w:ascii="Cambria" w:cs="Arial" w:eastAsia="Times New Roman" w:hAnsi="Cambria"/>
                <w:i/>
                <w:iCs/>
                <w:sz w:val="28"/>
                <w:szCs w:val="28"/>
              </w:rPr>
              <w:t>Facing the Forests </w:t>
            </w:r>
            <w:r>
              <w:rPr>
                <w:rFonts w:ascii="Cambria" w:cs="Arial" w:eastAsia="Times New Roman" w:hAnsi="Cambria"/>
                <w:sz w:val="28"/>
                <w:szCs w:val="28"/>
              </w:rPr>
              <w:t xml:space="preserve">(1968, Mul Ha-Ya’arot, </w:t>
            </w:r>
            <w:r>
              <w:rPr>
                <w:rFonts w:ascii="Arial" w:cs="Arial" w:hAnsi="Arial"/>
                <w:i/>
                <w:i/>
                <w:sz w:val="28"/>
                <w:sz w:val="28"/>
                <w:szCs w:val="28"/>
                <w:rtl w:val="true"/>
              </w:rPr>
              <w:t>היערות מול</w:t>
            </w:r>
            <w:r>
              <w:rPr>
                <w:rFonts w:ascii="Cambria" w:cs="Arial" w:eastAsia="Times New Roman" w:hAnsi="Cambria"/>
                <w:sz w:val="28"/>
                <w:szCs w:val="28"/>
              </w:rPr>
              <w:t>)</w:t>
            </w:r>
          </w:p>
          <w:p>
            <w:pPr>
              <w:pStyle w:val="style0"/>
              <w:spacing w:after="0" w:before="0" w:line="360" w:lineRule="auto"/>
              <w:ind w:hanging="0" w:left="0" w:right="-1152"/>
              <w:contextualSpacing w:val="false"/>
            </w:pPr>
            <w:r>
              <w:rPr>
                <w:i/>
                <w:sz w:val="28"/>
                <w:szCs w:val="28"/>
              </w:rPr>
              <w:t>9 Stories</w:t>
            </w:r>
            <w:r>
              <w:rPr>
                <w:sz w:val="28"/>
                <w:szCs w:val="28"/>
              </w:rPr>
              <w:t xml:space="preserve"> (1970, </w:t>
            </w:r>
            <w:r>
              <w:rPr>
                <w:rFonts w:ascii="Arial" w:cs="Arial" w:hAnsi="Arial"/>
                <w:i/>
                <w:i/>
                <w:sz w:val="28"/>
                <w:sz w:val="28"/>
                <w:szCs w:val="28"/>
                <w:rtl w:val="true"/>
              </w:rPr>
              <w:t xml:space="preserve">סיפורים </w:t>
            </w:r>
            <w:r>
              <w:rPr>
                <w:i/>
                <w:i/>
                <w:sz w:val="28"/>
                <w:sz w:val="28"/>
                <w:szCs w:val="28"/>
                <w:rtl w:val="true"/>
              </w:rPr>
              <w:t xml:space="preserve"> </w:t>
            </w:r>
            <w:r>
              <w:rPr>
                <w:i/>
                <w:sz w:val="28"/>
                <w:szCs w:val="28"/>
              </w:rPr>
              <w:t>9</w:t>
            </w:r>
            <w:r>
              <w:rPr>
                <w:sz w:val="28"/>
                <w:szCs w:val="28"/>
              </w:rPr>
              <w:t>)</w:t>
            </w:r>
          </w:p>
        </w:tc>
      </w:tr>
    </w:tbl>
    <w:p>
      <w:pPr>
        <w:pStyle w:val="style0"/>
        <w:spacing w:after="0" w:before="0" w:line="360" w:lineRule="auto"/>
        <w:ind w:hanging="0" w:left="0" w:right="-1152"/>
        <w:contextualSpacing w:val="false"/>
      </w:pPr>
      <w:r>
        <w:rPr>
          <w:rStyle w:val="style19"/>
          <w:rFonts w:ascii="Cambria" w:cs="Arial" w:hAnsi="Cambria"/>
          <w:i/>
          <w:iCs/>
          <w:color w:val="000000"/>
          <w:sz w:val="28"/>
          <w:szCs w:val="28"/>
        </w:rPr>
        <w:t>Early in Summer of 1970</w:t>
      </w:r>
      <w:r>
        <w:rPr>
          <w:rStyle w:val="style18"/>
          <w:rFonts w:ascii="Cambria" w:cs="Arial" w:hAnsi="Cambria"/>
          <w:color w:val="000000"/>
          <w:sz w:val="28"/>
          <w:szCs w:val="28"/>
        </w:rPr>
        <w:t> </w:t>
      </w:r>
      <w:r>
        <w:rPr>
          <w:rStyle w:val="style19"/>
          <w:rFonts w:ascii="Cambria" w:cs="Arial" w:hAnsi="Cambria"/>
          <w:color w:val="000000"/>
          <w:sz w:val="28"/>
          <w:szCs w:val="28"/>
        </w:rPr>
        <w:t xml:space="preserve">(1972, Bi-Thilat Kayitz, </w:t>
      </w:r>
      <w:r>
        <w:rPr>
          <w:rStyle w:val="style19"/>
          <w:rFonts w:ascii="Cambria" w:cs="Arial" w:hAnsi="Cambria"/>
          <w:i/>
          <w:color w:val="000000"/>
          <w:sz w:val="28"/>
          <w:szCs w:val="28"/>
        </w:rPr>
        <w:t xml:space="preserve">1970 </w:t>
      </w:r>
      <w:r>
        <w:rPr>
          <w:rFonts w:ascii="Arial" w:cs="Arial" w:hAnsi="Arial"/>
          <w:i/>
          <w:i/>
          <w:sz w:val="28"/>
          <w:sz w:val="28"/>
          <w:szCs w:val="28"/>
          <w:rtl w:val="true"/>
        </w:rPr>
        <w:t>קיץ</w:t>
      </w:r>
      <w:r>
        <w:rPr>
          <w:i/>
          <w:i/>
          <w:sz w:val="28"/>
          <w:sz w:val="28"/>
          <w:szCs w:val="28"/>
          <w:rtl w:val="true"/>
        </w:rPr>
        <w:t xml:space="preserve"> </w:t>
      </w:r>
      <w:r>
        <w:rPr>
          <w:rFonts w:ascii="Arial" w:cs="Arial" w:hAnsi="Arial"/>
          <w:i/>
          <w:i/>
          <w:sz w:val="28"/>
          <w:sz w:val="28"/>
          <w:szCs w:val="28"/>
          <w:rtl w:val="true"/>
        </w:rPr>
        <w:t>בתחילת</w:t>
      </w:r>
      <w:r>
        <w:rPr>
          <w:rStyle w:val="style19"/>
          <w:rFonts w:ascii="Cambria" w:cs="Arial" w:hAnsi="Cambria"/>
          <w:color w:val="000000"/>
          <w:sz w:val="28"/>
          <w:szCs w:val="28"/>
        </w:rPr>
        <w:t>)</w:t>
      </w:r>
    </w:p>
    <w:p>
      <w:pPr>
        <w:pStyle w:val="style0"/>
        <w:spacing w:after="0" w:before="0" w:line="360" w:lineRule="auto"/>
        <w:ind w:hanging="0" w:left="0" w:right="-1152"/>
        <w:contextualSpacing w:val="false"/>
      </w:pPr>
      <w:r>
        <w:rPr>
          <w:rFonts w:ascii="Cambria" w:cs="Arial" w:eastAsia="Times New Roman" w:hAnsi="Cambria"/>
          <w:i/>
          <w:iCs/>
          <w:sz w:val="28"/>
          <w:szCs w:val="28"/>
        </w:rPr>
        <w:t>The Continuing Silence of a Poet</w:t>
      </w:r>
      <w:r>
        <w:rPr>
          <w:rFonts w:ascii="Cambria" w:cs="Arial" w:eastAsia="Times New Roman" w:hAnsi="Cambria"/>
          <w:sz w:val="28"/>
          <w:szCs w:val="28"/>
        </w:rPr>
        <w:t> (1988)</w:t>
      </w:r>
    </w:p>
    <w:p>
      <w:pPr>
        <w:pStyle w:val="style0"/>
        <w:spacing w:after="0" w:before="0" w:line="360" w:lineRule="auto"/>
        <w:contextualSpacing w:val="false"/>
      </w:pPr>
      <w:r>
        <w:rPr/>
      </w:r>
    </w:p>
    <w:tbl>
      <w:tblPr>
        <w:jc w:val="left"/>
        <w:tblBorders/>
      </w:tblPr>
      <w:tblGrid>
        <w:gridCol w:w="10350"/>
      </w:tblGrid>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u w:val="single"/>
              </w:rPr>
              <w:t>Novels</w:t>
            </w:r>
            <w:r>
              <w:rPr>
                <w:rFonts w:ascii="Cambria" w:cs="Arial" w:eastAsia="Times New Roman" w:hAnsi="Cambria"/>
                <w:i/>
                <w:iCs/>
                <w:sz w:val="28"/>
                <w:szCs w:val="28"/>
              </w:rPr>
              <w:t>:</w:t>
            </w:r>
          </w:p>
          <w:p>
            <w:pPr>
              <w:pStyle w:val="style0"/>
              <w:spacing w:after="0" w:before="0"/>
              <w:contextualSpacing w:val="false"/>
            </w:pPr>
            <w:r>
              <w:rPr>
                <w:rFonts w:ascii="Cambria" w:cs="Arial" w:eastAsia="Times New Roman" w:hAnsi="Cambria"/>
                <w:i/>
                <w:iCs/>
                <w:sz w:val="28"/>
                <w:szCs w:val="28"/>
              </w:rPr>
              <w:t>The Lover</w:t>
            </w:r>
            <w:r>
              <w:rPr>
                <w:rFonts w:ascii="Cambria" w:cs="Arial" w:eastAsia="Times New Roman" w:hAnsi="Cambria"/>
                <w:sz w:val="28"/>
                <w:szCs w:val="28"/>
              </w:rPr>
              <w:t xml:space="preserve"> (1977, Ha-Meahev, </w:t>
            </w:r>
            <w:r>
              <w:rPr>
                <w:rFonts w:ascii="Arial" w:cs="Arial" w:hAnsi="Arial"/>
                <w:i/>
                <w:i/>
                <w:sz w:val="28"/>
                <w:sz w:val="28"/>
                <w:szCs w:val="28"/>
                <w:rtl w:val="true"/>
              </w:rPr>
              <w:t>המאהב</w:t>
            </w:r>
            <w:r>
              <w:rPr>
                <w:rFonts w:ascii="Cambria" w:cs="Arial" w:eastAsia="Times New Roman" w:hAnsi="Cambria"/>
                <w:sz w:val="28"/>
                <w:szCs w:val="28"/>
              </w:rPr>
              <w:t>)</w:t>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Arial" w:eastAsia="Times New Roman" w:hAnsi="Cambria"/>
                <w:i/>
                <w:iCs/>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A Late Divorce</w:t>
            </w:r>
            <w:r>
              <w:rPr>
                <w:rFonts w:ascii="Cambria" w:cs="Arial" w:eastAsia="Times New Roman" w:hAnsi="Cambria"/>
                <w:sz w:val="28"/>
                <w:szCs w:val="28"/>
              </w:rPr>
              <w:t xml:space="preserve"> (1982, Gerushim Meuharim, </w:t>
            </w:r>
            <w:r>
              <w:rPr>
                <w:rFonts w:ascii="Arial" w:cs="Arial" w:hAnsi="Arial"/>
                <w:i/>
                <w:i/>
                <w:sz w:val="28"/>
                <w:sz w:val="28"/>
                <w:szCs w:val="28"/>
                <w:rtl w:val="true"/>
              </w:rPr>
              <w:t>מאוחרים גירושים</w:t>
            </w:r>
            <w:r>
              <w:rPr>
                <w:rFonts w:ascii="Cambria" w:cs="Arial" w:eastAsia="Times New Roman" w:hAnsi="Cambria"/>
                <w:sz w:val="28"/>
                <w:szCs w:val="28"/>
              </w:rPr>
              <w:t>)</w:t>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Times New Roman" w:eastAsia="Times New Roman" w:hAnsi="Cambria"/>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Five Seasons</w:t>
            </w:r>
            <w:r>
              <w:rPr>
                <w:rFonts w:ascii="Cambria" w:cs="Arial" w:eastAsia="Times New Roman" w:hAnsi="Cambria"/>
                <w:sz w:val="28"/>
                <w:szCs w:val="28"/>
              </w:rPr>
              <w:t xml:space="preserve"> (1987, Molcho, </w:t>
            </w:r>
            <w:r>
              <w:rPr>
                <w:rFonts w:ascii="Arial" w:cs="Arial" w:hAnsi="Arial"/>
                <w:i/>
                <w:i/>
                <w:sz w:val="28"/>
                <w:sz w:val="28"/>
                <w:szCs w:val="28"/>
                <w:rtl w:val="true"/>
              </w:rPr>
              <w:t>מולכו</w:t>
            </w:r>
            <w:r>
              <w:rPr>
                <w:rFonts w:ascii="Cambria" w:cs="Arial" w:eastAsia="Times New Roman" w:hAnsi="Cambria"/>
                <w:sz w:val="28"/>
                <w:szCs w:val="28"/>
              </w:rPr>
              <w:t>)</w:t>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Times New Roman" w:eastAsia="Times New Roman" w:hAnsi="Cambria"/>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Mr. Mani</w:t>
            </w:r>
            <w:r>
              <w:rPr>
                <w:rFonts w:ascii="Cambria" w:cs="Arial" w:eastAsia="Times New Roman" w:hAnsi="Cambria"/>
                <w:sz w:val="28"/>
                <w:szCs w:val="28"/>
              </w:rPr>
              <w:t xml:space="preserve"> (1990, Mar Mani, </w:t>
            </w:r>
            <w:r>
              <w:rPr>
                <w:rFonts w:ascii="Arial" w:cs="Arial" w:hAnsi="Arial"/>
                <w:i/>
                <w:i/>
                <w:sz w:val="28"/>
                <w:sz w:val="28"/>
                <w:szCs w:val="28"/>
                <w:rtl w:val="true"/>
              </w:rPr>
              <w:t>מאני מר</w:t>
            </w:r>
            <w:r>
              <w:rPr>
                <w:rFonts w:ascii="Cambria" w:cs="Arial" w:eastAsia="Times New Roman" w:hAnsi="Cambria"/>
                <w:sz w:val="28"/>
                <w:szCs w:val="28"/>
              </w:rPr>
              <w:t>)</w:t>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Times New Roman" w:eastAsia="Times New Roman" w:hAnsi="Cambria"/>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Times New Roman" w:eastAsia="Times New Roman" w:hAnsi="Cambria"/>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sz w:val="28"/>
                <w:szCs w:val="28"/>
              </w:rPr>
              <w:t>Open Heart</w:t>
            </w:r>
            <w:r>
              <w:rPr>
                <w:rFonts w:ascii="Cambria" w:cs="Arial" w:eastAsia="Times New Roman" w:hAnsi="Cambria"/>
                <w:sz w:val="28"/>
                <w:szCs w:val="28"/>
              </w:rPr>
              <w:t xml:space="preserve"> (1994, Ha-Shiv`a Me-Hodu [Return from India], </w:t>
            </w:r>
            <w:r>
              <w:rPr>
                <w:rFonts w:ascii="Arial" w:cs="Arial" w:hAnsi="Arial"/>
                <w:i/>
                <w:i/>
                <w:sz w:val="28"/>
                <w:sz w:val="28"/>
                <w:szCs w:val="28"/>
                <w:rtl w:val="true"/>
              </w:rPr>
              <w:t>מהודו השיבה</w:t>
            </w:r>
            <w:r>
              <w:rPr>
                <w:rFonts w:ascii="Cambria" w:cs="Arial" w:eastAsia="Times New Roman" w:hAnsi="Cambria"/>
                <w:sz w:val="28"/>
                <w:szCs w:val="28"/>
              </w:rPr>
              <w:t>)</w:t>
            </w:r>
          </w:p>
          <w:p>
            <w:pPr>
              <w:pStyle w:val="style0"/>
              <w:spacing w:after="0" w:before="0"/>
              <w:contextualSpacing w:val="false"/>
            </w:pPr>
            <w:r>
              <w:rPr>
                <w:rFonts w:ascii="Cambria" w:cs="Times New Roman" w:eastAsia="Times New Roman" w:hAnsi="Cambria"/>
                <w:sz w:val="28"/>
                <w:szCs w:val="28"/>
              </w:rPr>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A Journey to the End of the Millenium</w:t>
            </w:r>
            <w:r>
              <w:rPr>
                <w:rFonts w:ascii="Cambria" w:cs="Arial" w:eastAsia="Times New Roman" w:hAnsi="Cambria"/>
                <w:sz w:val="28"/>
                <w:szCs w:val="28"/>
              </w:rPr>
              <w:t xml:space="preserve"> (1997, Masah El Tom Ha-Elef, </w:t>
            </w:r>
            <w:r>
              <w:rPr>
                <w:rFonts w:ascii="Arial" w:cs="Arial" w:hAnsi="Arial"/>
                <w:i/>
                <w:i/>
                <w:sz w:val="28"/>
                <w:sz w:val="28"/>
                <w:szCs w:val="28"/>
                <w:rtl w:val="true"/>
              </w:rPr>
              <w:t>האלף תום אל</w:t>
            </w:r>
            <w:r>
              <w:rPr>
                <w:i/>
                <w:i/>
                <w:sz w:val="28"/>
                <w:sz w:val="28"/>
                <w:szCs w:val="28"/>
                <w:rtl w:val="true"/>
              </w:rPr>
              <w:t xml:space="preserve"> </w:t>
            </w:r>
            <w:r>
              <w:rPr>
                <w:rFonts w:ascii="Arial" w:cs="Arial" w:hAnsi="Arial"/>
                <w:i/>
                <w:i/>
                <w:sz w:val="28"/>
                <w:sz w:val="28"/>
                <w:szCs w:val="28"/>
                <w:rtl w:val="true"/>
              </w:rPr>
              <w:t>מסע</w:t>
            </w:r>
            <w:r>
              <w:rPr>
                <w:rFonts w:ascii="Cambria" w:cs="Arial" w:eastAsia="Times New Roman" w:hAnsi="Cambria"/>
                <w:sz w:val="28"/>
                <w:szCs w:val="28"/>
              </w:rPr>
              <w:t>)</w:t>
            </w:r>
          </w:p>
        </w:tc>
      </w:tr>
      <w:tr>
        <w:trPr>
          <w:trHeight w:hRule="atLeast" w:val="156"/>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Times New Roman" w:eastAsia="Times New Roman" w:hAnsi="Cambria"/>
                <w:sz w:val="28"/>
                <w:szCs w:val="28"/>
              </w:rPr>
            </w:r>
          </w:p>
        </w:tc>
      </w:tr>
      <w:tr>
        <w:trPr>
          <w:trHeight w:hRule="atLeast" w:val="534"/>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The Liberating Bride</w:t>
            </w:r>
            <w:r>
              <w:rPr>
                <w:rFonts w:ascii="Cambria" w:cs="Arial" w:eastAsia="Times New Roman" w:hAnsi="Cambria"/>
                <w:sz w:val="28"/>
                <w:szCs w:val="28"/>
              </w:rPr>
              <w:t xml:space="preserve"> (2001, Ha-Kala Ha-Meshachreret, </w:t>
            </w:r>
            <w:r>
              <w:rPr>
                <w:rFonts w:ascii="Arial" w:cs="Arial" w:hAnsi="Arial"/>
                <w:i/>
                <w:i/>
                <w:sz w:val="28"/>
                <w:sz w:val="28"/>
                <w:szCs w:val="28"/>
                <w:rtl w:val="true"/>
              </w:rPr>
              <w:t>המשחררת הכלה</w:t>
            </w:r>
            <w:r>
              <w:rPr>
                <w:rFonts w:ascii="Cambria" w:cs="Arial" w:eastAsia="Times New Roman" w:hAnsi="Cambria"/>
                <w:sz w:val="28"/>
                <w:szCs w:val="28"/>
              </w:rPr>
              <w:t>)</w:t>
            </w:r>
          </w:p>
        </w:tc>
      </w:tr>
      <w:tr>
        <w:trPr>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jc w:val="right"/>
            </w:pPr>
            <w:r>
              <w:rPr>
                <w:rFonts w:ascii="Cambria" w:cs="Arial" w:eastAsia="Times New Roman" w:hAnsi="Cambria"/>
                <w:i/>
                <w:iCs/>
                <w:sz w:val="28"/>
                <w:szCs w:val="28"/>
              </w:rPr>
            </w:r>
          </w:p>
        </w:tc>
      </w:tr>
      <w:tr>
        <w:trPr>
          <w:trHeight w:hRule="atLeast" w:val="1053"/>
          <w:cantSplit w:val="false"/>
        </w:trPr>
        <w:tc>
          <w:tcPr>
            <w:tcW w:type="dxa" w:w="10350"/>
            <w:tcBorders/>
            <w:shd w:fill="auto" w:val="clear"/>
            <w:tcMar>
              <w:top w:type="dxa" w:w="0"/>
              <w:left w:type="dxa" w:w="0"/>
              <w:bottom w:type="dxa" w:w="0"/>
              <w:right w:type="dxa" w:w="0"/>
            </w:tcMar>
            <w:vAlign w:val="center"/>
          </w:tcPr>
          <w:p>
            <w:pPr>
              <w:pStyle w:val="style0"/>
              <w:spacing w:after="0" w:before="0"/>
              <w:contextualSpacing w:val="false"/>
            </w:pPr>
            <w:r>
              <w:rPr>
                <w:rFonts w:ascii="Cambria" w:cs="Arial" w:eastAsia="Times New Roman" w:hAnsi="Cambria"/>
                <w:i/>
                <w:iCs/>
                <w:sz w:val="28"/>
                <w:szCs w:val="28"/>
              </w:rPr>
              <w:t>A Woman in Jerusalem</w:t>
            </w:r>
            <w:r>
              <w:rPr>
                <w:rFonts w:ascii="Cambria" w:cs="Arial" w:eastAsia="Times New Roman" w:hAnsi="Cambria"/>
                <w:sz w:val="28"/>
                <w:szCs w:val="28"/>
              </w:rPr>
              <w:t xml:space="preserve"> (2004, Shlichuto Shel Ha-Memune Al Mashabei Enosh [Mission </w:t>
            </w:r>
          </w:p>
          <w:p>
            <w:pPr>
              <w:pStyle w:val="style0"/>
              <w:spacing w:after="0" w:before="0"/>
              <w:contextualSpacing w:val="false"/>
            </w:pPr>
            <w:r>
              <w:rPr>
                <w:rFonts w:ascii="Cambria" w:cs="Arial" w:eastAsia="Times New Roman" w:hAnsi="Cambria"/>
                <w:sz w:val="28"/>
                <w:szCs w:val="28"/>
              </w:rPr>
              <w:t xml:space="preserve">         </w:t>
            </w:r>
            <w:r>
              <w:rPr>
                <w:rFonts w:ascii="Cambria" w:cs="Arial" w:eastAsia="Times New Roman" w:hAnsi="Cambria"/>
                <w:sz w:val="28"/>
                <w:szCs w:val="28"/>
              </w:rPr>
              <w:t xml:space="preserve">of the Human Resource Man], </w:t>
            </w:r>
            <w:r>
              <w:rPr>
                <w:rFonts w:ascii="Arial" w:cs="Arial" w:hAnsi="Arial"/>
                <w:i/>
                <w:i/>
                <w:sz w:val="28"/>
                <w:sz w:val="28"/>
                <w:szCs w:val="28"/>
                <w:rtl w:val="true"/>
              </w:rPr>
              <w:t>אנוש משאבי על הממונה</w:t>
            </w:r>
            <w:r>
              <w:rPr>
                <w:i/>
                <w:i/>
                <w:sz w:val="28"/>
                <w:sz w:val="28"/>
                <w:szCs w:val="28"/>
                <w:rtl w:val="true"/>
              </w:rPr>
              <w:t xml:space="preserve"> </w:t>
            </w:r>
            <w:r>
              <w:rPr>
                <w:rFonts w:ascii="Arial" w:cs="Arial" w:hAnsi="Arial"/>
                <w:i/>
                <w:i/>
                <w:sz w:val="28"/>
                <w:sz w:val="28"/>
                <w:szCs w:val="28"/>
                <w:rtl w:val="true"/>
              </w:rPr>
              <w:t>של שליחותו</w:t>
            </w:r>
            <w:r>
              <w:rPr>
                <w:rFonts w:ascii="Cambria" w:cs="Times New Roman" w:eastAsia="Times New Roman" w:hAnsi="Cambria"/>
                <w:sz w:val="28"/>
                <w:szCs w:val="28"/>
              </w:rPr>
              <w:t>)</w:t>
            </w:r>
            <w:r>
              <w:rPr>
                <w:rFonts w:ascii="Cambria" w:cs="Arial" w:eastAsia="Times New Roman" w:hAnsi="Cambria"/>
                <w:i/>
                <w:iCs/>
                <w:sz w:val="28"/>
                <w:szCs w:val="28"/>
              </w:rPr>
              <w:t xml:space="preserve"> </w:t>
            </w:r>
          </w:p>
        </w:tc>
      </w:tr>
      <w:tr>
        <w:trPr>
          <w:cantSplit w:val="false"/>
        </w:trPr>
        <w:tc>
          <w:tcPr>
            <w:tcW w:type="dxa" w:w="10350"/>
            <w:tcBorders/>
            <w:shd w:fill="auto" w:val="clear"/>
            <w:tcMar>
              <w:top w:type="dxa" w:w="0"/>
              <w:left w:type="dxa" w:w="0"/>
              <w:bottom w:type="dxa" w:w="0"/>
              <w:right w:type="dxa" w:w="0"/>
            </w:tcMar>
            <w:vAlign w:val="center"/>
          </w:tcPr>
          <w:p>
            <w:pPr>
              <w:pStyle w:val="style0"/>
              <w:spacing w:after="0" w:before="0" w:line="360" w:lineRule="auto"/>
              <w:contextualSpacing w:val="false"/>
              <w:jc w:val="right"/>
            </w:pPr>
            <w:r>
              <w:rPr>
                <w:rFonts w:ascii="Cambria" w:cs="Times New Roman" w:eastAsia="Times New Roman" w:hAnsi="Cambria"/>
                <w:sz w:val="28"/>
                <w:szCs w:val="28"/>
              </w:rPr>
            </w:r>
          </w:p>
        </w:tc>
      </w:tr>
      <w:tr>
        <w:trPr>
          <w:cantSplit w:val="false"/>
        </w:trPr>
        <w:tc>
          <w:tcPr>
            <w:tcW w:type="dxa" w:w="10350"/>
            <w:tcBorders/>
            <w:shd w:fill="auto" w:val="clear"/>
            <w:tcMar>
              <w:top w:type="dxa" w:w="0"/>
              <w:left w:type="dxa" w:w="0"/>
              <w:bottom w:type="dxa" w:w="0"/>
              <w:right w:type="dxa" w:w="0"/>
            </w:tcMar>
            <w:vAlign w:val="center"/>
          </w:tcPr>
          <w:p>
            <w:pPr>
              <w:pStyle w:val="style0"/>
              <w:spacing w:after="0" w:before="0" w:line="360" w:lineRule="auto"/>
              <w:contextualSpacing w:val="false"/>
              <w:jc w:val="right"/>
            </w:pPr>
            <w:r>
              <w:rPr>
                <w:rFonts w:ascii="Cambria" w:cs="Times New Roman" w:eastAsia="Times New Roman" w:hAnsi="Cambria"/>
                <w:sz w:val="28"/>
                <w:szCs w:val="28"/>
              </w:rPr>
            </w:r>
          </w:p>
        </w:tc>
      </w:tr>
      <w:tr>
        <w:trPr>
          <w:trHeight w:hRule="atLeast" w:val="4805"/>
          <w:cantSplit w:val="false"/>
        </w:trPr>
        <w:tc>
          <w:tcPr>
            <w:tcW w:type="dxa" w:w="10350"/>
            <w:tcBorders/>
            <w:shd w:fill="auto" w:val="clear"/>
            <w:tcMar>
              <w:top w:type="dxa" w:w="0"/>
              <w:left w:type="dxa" w:w="0"/>
              <w:bottom w:type="dxa" w:w="0"/>
              <w:right w:type="dxa" w:w="0"/>
            </w:tcMar>
            <w:vAlign w:val="center"/>
          </w:tcPr>
          <w:p>
            <w:pPr>
              <w:pStyle w:val="style0"/>
              <w:spacing w:after="0" w:before="0" w:line="360" w:lineRule="auto"/>
              <w:contextualSpacing w:val="false"/>
            </w:pPr>
            <w:r>
              <w:rPr>
                <w:rFonts w:ascii="Cambria" w:cs="Arial" w:eastAsia="Times New Roman" w:hAnsi="Cambria"/>
                <w:i/>
                <w:iCs/>
                <w:sz w:val="28"/>
                <w:szCs w:val="28"/>
              </w:rPr>
              <w:t>Friendly Fire</w:t>
            </w:r>
            <w:r>
              <w:rPr>
                <w:rFonts w:ascii="Cambria" w:cs="Arial" w:eastAsia="Times New Roman" w:hAnsi="Cambria"/>
                <w:sz w:val="28"/>
                <w:szCs w:val="28"/>
              </w:rPr>
              <w:t xml:space="preserve">  (2007, Esh Yedidutit, </w:t>
            </w:r>
            <w:r>
              <w:rPr>
                <w:rFonts w:ascii="Arial" w:cs="Arial" w:hAnsi="Arial"/>
                <w:i/>
                <w:i/>
                <w:sz w:val="28"/>
                <w:sz w:val="28"/>
                <w:szCs w:val="28"/>
                <w:rtl w:val="true"/>
              </w:rPr>
              <w:t>ידידותית אש</w:t>
            </w:r>
            <w:r>
              <w:rPr>
                <w:rFonts w:ascii="Cambria" w:cs="Arial" w:eastAsia="Times New Roman" w:hAnsi="Cambria"/>
                <w:sz w:val="28"/>
                <w:szCs w:val="28"/>
              </w:rPr>
              <w:t>)</w:t>
            </w:r>
          </w:p>
          <w:p>
            <w:pPr>
              <w:pStyle w:val="style0"/>
              <w:spacing w:after="0" w:before="0" w:line="360" w:lineRule="auto"/>
              <w:contextualSpacing w:val="false"/>
            </w:pPr>
            <w:r>
              <w:rPr>
                <w:rFonts w:ascii="Cambria" w:cs="Times New Roman" w:eastAsia="Times New Roman" w:hAnsi="Cambria"/>
                <w:i/>
                <w:sz w:val="28"/>
                <w:szCs w:val="28"/>
              </w:rPr>
              <w:t>Retrospective</w:t>
            </w:r>
            <w:r>
              <w:rPr>
                <w:rFonts w:ascii="Cambria" w:cs="Times New Roman" w:eastAsia="Times New Roman" w:hAnsi="Cambria"/>
                <w:sz w:val="28"/>
                <w:szCs w:val="28"/>
              </w:rPr>
              <w:t xml:space="preserve"> (2011, Hesed Sefardi [Spanish Charity], </w:t>
            </w:r>
            <w:r>
              <w:rPr>
                <w:rFonts w:ascii="Arial" w:cs="Arial" w:hAnsi="Arial"/>
                <w:i/>
                <w:i/>
                <w:sz w:val="28"/>
                <w:sz w:val="28"/>
                <w:szCs w:val="28"/>
                <w:rtl w:val="true"/>
              </w:rPr>
              <w:t>ספרדי חסד</w:t>
            </w:r>
            <w:r>
              <w:rPr>
                <w:rFonts w:ascii="Cambria" w:cs="Times New Roman" w:eastAsia="Times New Roman" w:hAnsi="Cambria"/>
                <w:sz w:val="28"/>
                <w:szCs w:val="28"/>
              </w:rPr>
              <w:t>)</w:t>
            </w:r>
          </w:p>
          <w:p>
            <w:pPr>
              <w:pStyle w:val="style0"/>
              <w:spacing w:after="0" w:before="0" w:line="360" w:lineRule="auto"/>
              <w:contextualSpacing w:val="false"/>
              <w:jc w:val="right"/>
            </w:pPr>
            <w:r>
              <w:rPr>
                <w:rFonts w:ascii="Cambria" w:cs="Times New Roman" w:eastAsia="Times New Roman" w:hAnsi="Cambria"/>
                <w:sz w:val="28"/>
                <w:szCs w:val="28"/>
              </w:rPr>
            </w:r>
          </w:p>
          <w:p>
            <w:pPr>
              <w:pStyle w:val="style0"/>
              <w:spacing w:after="0" w:before="0" w:line="360" w:lineRule="auto"/>
              <w:contextualSpacing w:val="false"/>
            </w:pPr>
            <w:r>
              <w:rPr>
                <w:rFonts w:ascii="Cambria" w:cs="Times New Roman" w:eastAsia="Times New Roman" w:hAnsi="Cambria"/>
                <w:sz w:val="28"/>
                <w:szCs w:val="28"/>
                <w:u w:val="single"/>
              </w:rPr>
              <w:t>Drama</w:t>
            </w:r>
            <w:r>
              <w:rPr>
                <w:rFonts w:ascii="Cambria" w:cs="Times New Roman" w:eastAsia="Times New Roman" w:hAnsi="Cambria"/>
                <w:sz w:val="28"/>
                <w:szCs w:val="28"/>
              </w:rPr>
              <w:t>:</w:t>
            </w:r>
          </w:p>
          <w:p>
            <w:pPr>
              <w:pStyle w:val="style0"/>
              <w:spacing w:after="0" w:before="0" w:line="360" w:lineRule="auto"/>
              <w:contextualSpacing w:val="false"/>
            </w:pPr>
            <w:r>
              <w:rPr>
                <w:rFonts w:ascii="Cambria" w:cs="Arial" w:eastAsia="Times New Roman" w:hAnsi="Cambria"/>
                <w:i/>
                <w:iCs/>
                <w:sz w:val="28"/>
                <w:szCs w:val="28"/>
              </w:rPr>
              <w:t>Possessions</w:t>
            </w:r>
            <w:r>
              <w:rPr>
                <w:rFonts w:ascii="Cambria" w:cs="Arial" w:eastAsia="Times New Roman" w:hAnsi="Cambria"/>
                <w:sz w:val="28"/>
                <w:szCs w:val="28"/>
              </w:rPr>
              <w:t xml:space="preserve"> (1986, Hafatzim, </w:t>
            </w:r>
            <w:r>
              <w:rPr>
                <w:rFonts w:ascii="Arial" w:cs="Arial" w:hAnsi="Arial"/>
                <w:i/>
                <w:i/>
                <w:sz w:val="28"/>
                <w:sz w:val="28"/>
                <w:szCs w:val="28"/>
                <w:rtl w:val="true"/>
              </w:rPr>
              <w:t>חפצים</w:t>
            </w:r>
            <w:r>
              <w:rPr>
                <w:rFonts w:ascii="Cambria" w:cs="Arial" w:eastAsia="Times New Roman" w:hAnsi="Cambria"/>
                <w:sz w:val="28"/>
                <w:szCs w:val="28"/>
              </w:rPr>
              <w:t>)</w:t>
            </w:r>
          </w:p>
          <w:p>
            <w:pPr>
              <w:pStyle w:val="style0"/>
              <w:spacing w:after="0" w:before="0" w:line="360" w:lineRule="auto"/>
              <w:contextualSpacing w:val="false"/>
            </w:pPr>
            <w:r>
              <w:rPr>
                <w:rStyle w:val="style19"/>
                <w:rFonts w:ascii="Cambria" w:cs="Arial" w:hAnsi="Cambria"/>
                <w:i/>
                <w:iCs/>
                <w:color w:val="000000"/>
                <w:sz w:val="28"/>
                <w:szCs w:val="28"/>
              </w:rPr>
              <w:t>An Evening in May</w:t>
            </w:r>
            <w:r>
              <w:rPr>
                <w:rStyle w:val="style18"/>
                <w:rFonts w:ascii="Cambria" w:cs="Arial" w:hAnsi="Cambria"/>
                <w:color w:val="000000"/>
                <w:sz w:val="28"/>
                <w:szCs w:val="28"/>
              </w:rPr>
              <w:t> </w:t>
            </w:r>
            <w:r>
              <w:rPr>
                <w:rStyle w:val="style19"/>
                <w:rFonts w:ascii="Cambria" w:cs="Arial" w:hAnsi="Cambria"/>
                <w:color w:val="000000"/>
                <w:sz w:val="28"/>
                <w:szCs w:val="28"/>
              </w:rPr>
              <w:t xml:space="preserve">(1975, Layla Be-May, </w:t>
            </w:r>
            <w:r>
              <w:rPr>
                <w:rFonts w:ascii="Arial" w:cs="Arial" w:hAnsi="Arial"/>
                <w:i/>
                <w:i/>
                <w:sz w:val="28"/>
                <w:sz w:val="28"/>
                <w:szCs w:val="28"/>
                <w:rtl w:val="true"/>
              </w:rPr>
              <w:t>במאי לילה</w:t>
            </w:r>
            <w:r>
              <w:rPr>
                <w:rStyle w:val="style19"/>
                <w:rFonts w:ascii="Cambria" w:cs="Arial" w:hAnsi="Cambria"/>
                <w:color w:val="000000"/>
                <w:sz w:val="28"/>
                <w:szCs w:val="28"/>
              </w:rPr>
              <w:t>)</w:t>
            </w:r>
          </w:p>
          <w:p>
            <w:pPr>
              <w:pStyle w:val="style0"/>
              <w:spacing w:after="0" w:before="0" w:line="360" w:lineRule="auto"/>
              <w:contextualSpacing w:val="false"/>
            </w:pPr>
            <w:r>
              <w:rPr>
                <w:rFonts w:ascii="Cambria" w:hAnsi="Cambria"/>
                <w:bCs/>
                <w:sz w:val="28"/>
                <w:szCs w:val="28"/>
              </w:rPr>
              <w:t>Can Two Walk Together?</w:t>
            </w:r>
            <w:r>
              <w:rPr>
                <w:rFonts w:ascii="Cambria" w:cs="Times New Roman" w:eastAsia="Times New Roman" w:hAnsi="Cambria"/>
                <w:sz w:val="28"/>
                <w:szCs w:val="28"/>
              </w:rPr>
              <w:t xml:space="preserve"> (2012, Hayilhu Shnayim Yahdav, </w:t>
            </w:r>
            <w:r>
              <w:rPr>
                <w:rFonts w:ascii="Arial" w:cs="Arial" w:hAnsi="Arial"/>
                <w:i/>
                <w:i/>
                <w:color w:val="333333"/>
                <w:sz w:val="28"/>
                <w:sz w:val="28"/>
                <w:szCs w:val="28"/>
                <w:rtl w:val="true"/>
              </w:rPr>
              <w:t>הילכו שנים יחדיו</w:t>
            </w:r>
            <w:r>
              <w:rPr>
                <w:color w:val="333333"/>
                <w:sz w:val="26"/>
                <w:szCs w:val="26"/>
              </w:rPr>
              <w:t>)</w:t>
            </w:r>
          </w:p>
          <w:p>
            <w:pPr>
              <w:pStyle w:val="style0"/>
              <w:spacing w:after="0" w:before="0" w:line="360" w:lineRule="auto"/>
              <w:contextualSpacing w:val="false"/>
              <w:jc w:val="right"/>
            </w:pPr>
            <w:r>
              <w:rPr>
                <w:rFonts w:ascii="Cambria" w:cs="Times New Roman" w:eastAsia="Times New Roman" w:hAnsi="Cambria"/>
                <w:sz w:val="28"/>
                <w:szCs w:val="28"/>
              </w:rPr>
            </w:r>
          </w:p>
          <w:p>
            <w:pPr>
              <w:pStyle w:val="style0"/>
              <w:spacing w:after="0" w:before="0" w:line="360" w:lineRule="auto"/>
              <w:contextualSpacing w:val="false"/>
            </w:pPr>
            <w:r>
              <w:rPr>
                <w:rFonts w:ascii="Cambria" w:cs="Times New Roman" w:eastAsia="Times New Roman" w:hAnsi="Cambria"/>
                <w:sz w:val="28"/>
                <w:szCs w:val="28"/>
                <w:u w:val="single"/>
              </w:rPr>
              <w:t>Essay Collections</w:t>
            </w:r>
            <w:r>
              <w:rPr>
                <w:rFonts w:ascii="Cambria" w:cs="Times New Roman" w:eastAsia="Times New Roman" w:hAnsi="Cambria"/>
                <w:sz w:val="28"/>
                <w:szCs w:val="28"/>
              </w:rPr>
              <w:t xml:space="preserve">: </w:t>
            </w:r>
          </w:p>
        </w:tc>
      </w:tr>
      <w:tr>
        <w:trPr>
          <w:cantSplit w:val="false"/>
        </w:trPr>
        <w:tc>
          <w:tcPr>
            <w:tcW w:type="dxa" w:w="10350"/>
            <w:tcBorders/>
            <w:shd w:fill="auto" w:val="clear"/>
            <w:tcMar>
              <w:top w:type="dxa" w:w="0"/>
              <w:left w:type="dxa" w:w="0"/>
              <w:bottom w:type="dxa" w:w="0"/>
              <w:right w:type="dxa" w:w="0"/>
            </w:tcMar>
            <w:vAlign w:val="center"/>
          </w:tcPr>
          <w:p>
            <w:pPr>
              <w:pStyle w:val="style0"/>
              <w:spacing w:after="0" w:before="0" w:line="360" w:lineRule="auto"/>
              <w:contextualSpacing w:val="false"/>
              <w:jc w:val="right"/>
            </w:pPr>
            <w:r>
              <w:rPr>
                <w:rFonts w:ascii="Cambria" w:cs="Times New Roman" w:eastAsia="Times New Roman" w:hAnsi="Cambria"/>
                <w:sz w:val="28"/>
                <w:szCs w:val="28"/>
              </w:rPr>
            </w:r>
          </w:p>
        </w:tc>
      </w:tr>
      <w:tr>
        <w:trPr>
          <w:trHeight w:hRule="atLeast" w:val="2135"/>
          <w:cantSplit w:val="false"/>
        </w:trPr>
        <w:tc>
          <w:tcPr>
            <w:tcW w:type="dxa" w:w="10350"/>
            <w:tcBorders/>
            <w:shd w:fill="auto" w:val="clear"/>
            <w:tcMar>
              <w:top w:type="dxa" w:w="0"/>
              <w:left w:type="dxa" w:w="0"/>
              <w:bottom w:type="dxa" w:w="0"/>
              <w:right w:type="dxa" w:w="0"/>
            </w:tcMar>
            <w:vAlign w:val="center"/>
          </w:tcPr>
          <w:p>
            <w:pPr>
              <w:pStyle w:val="style0"/>
              <w:spacing w:after="0" w:before="0" w:line="360" w:lineRule="auto"/>
              <w:contextualSpacing w:val="false"/>
            </w:pPr>
            <w:r>
              <w:rPr>
                <w:rFonts w:ascii="Cambria" w:cs="Arial" w:eastAsia="Times New Roman" w:hAnsi="Cambria"/>
                <w:i/>
                <w:iCs/>
                <w:sz w:val="28"/>
                <w:szCs w:val="28"/>
              </w:rPr>
              <w:t>The Wall and the Mountain</w:t>
            </w:r>
            <w:r>
              <w:rPr>
                <w:rFonts w:ascii="Cambria" w:cs="Arial" w:eastAsia="Times New Roman" w:hAnsi="Cambria"/>
                <w:sz w:val="28"/>
                <w:szCs w:val="28"/>
              </w:rPr>
              <w:t xml:space="preserve"> (1989 , Ha-Kir VeHa-Har, </w:t>
            </w:r>
            <w:r>
              <w:rPr>
                <w:rFonts w:ascii="Arial" w:cs="Arial" w:hAnsi="Arial"/>
                <w:i/>
                <w:i/>
                <w:sz w:val="28"/>
                <w:sz w:val="28"/>
                <w:szCs w:val="28"/>
                <w:rtl w:val="true"/>
              </w:rPr>
              <w:t>וההר הקיר</w:t>
            </w:r>
            <w:r>
              <w:rPr>
                <w:rFonts w:ascii="Cambria" w:cs="Arial" w:eastAsia="Times New Roman" w:hAnsi="Cambria"/>
                <w:sz w:val="28"/>
                <w:szCs w:val="28"/>
              </w:rPr>
              <w:t>)</w:t>
            </w:r>
          </w:p>
          <w:p>
            <w:pPr>
              <w:pStyle w:val="style0"/>
              <w:spacing w:after="0" w:before="0" w:line="360" w:lineRule="auto"/>
              <w:contextualSpacing w:val="false"/>
            </w:pPr>
            <w:r>
              <w:rPr>
                <w:rFonts w:ascii="Cambria" w:cs="Arial" w:eastAsia="Times New Roman" w:hAnsi="Cambria"/>
                <w:i/>
                <w:iCs/>
                <w:sz w:val="28"/>
                <w:szCs w:val="28"/>
              </w:rPr>
              <w:t>Between Right and Right </w:t>
            </w:r>
            <w:r>
              <w:rPr>
                <w:rFonts w:ascii="Cambria" w:cs="Arial" w:eastAsia="Times New Roman" w:hAnsi="Cambria"/>
                <w:sz w:val="28"/>
                <w:szCs w:val="28"/>
              </w:rPr>
              <w:t xml:space="preserve">(1980, Bi-Zchut Ha-Normaliut, </w:t>
            </w:r>
            <w:r>
              <w:rPr>
                <w:rFonts w:ascii="Arial" w:cs="Arial" w:hAnsi="Arial"/>
                <w:i/>
                <w:i/>
                <w:sz w:val="28"/>
                <w:sz w:val="28"/>
                <w:szCs w:val="28"/>
                <w:rtl w:val="true"/>
              </w:rPr>
              <w:t>הנורמליות בזכות</w:t>
            </w:r>
            <w:r>
              <w:rPr>
                <w:rFonts w:ascii="Cambria" w:cs="Arial" w:eastAsia="Times New Roman" w:hAnsi="Cambria"/>
                <w:sz w:val="28"/>
                <w:szCs w:val="28"/>
              </w:rPr>
              <w:t>)</w:t>
            </w:r>
          </w:p>
          <w:p>
            <w:pPr>
              <w:pStyle w:val="style0"/>
              <w:spacing w:after="0" w:before="0" w:line="360" w:lineRule="auto"/>
              <w:contextualSpacing w:val="false"/>
            </w:pPr>
            <w:r>
              <w:rPr>
                <w:rFonts w:ascii="Cambria" w:cs="Arial" w:eastAsia="Times New Roman" w:hAnsi="Cambria"/>
                <w:i/>
                <w:iCs/>
                <w:sz w:val="28"/>
                <w:szCs w:val="28"/>
              </w:rPr>
              <w:t>The Terrible Power of a Minor Guilt</w:t>
            </w:r>
            <w:r>
              <w:rPr>
                <w:rFonts w:ascii="Cambria" w:cs="Arial" w:eastAsia="Times New Roman" w:hAnsi="Cambria"/>
                <w:sz w:val="28"/>
                <w:szCs w:val="28"/>
              </w:rPr>
              <w:t xml:space="preserve"> (1998, Kocha Ha-Nora Shel Ashma Ktana, </w:t>
            </w:r>
          </w:p>
          <w:p>
            <w:pPr>
              <w:pStyle w:val="style0"/>
              <w:spacing w:after="0" w:before="0" w:line="360" w:lineRule="auto"/>
              <w:contextualSpacing w:val="false"/>
            </w:pPr>
            <w:r>
              <w:rPr>
                <w:rFonts w:ascii="Arial" w:cs="Arial" w:hAnsi="Arial"/>
                <w:i/>
                <w:sz w:val="28"/>
                <w:szCs w:val="28"/>
              </w:rPr>
              <w:t xml:space="preserve">      </w:t>
            </w:r>
            <w:r>
              <w:rPr>
                <w:rFonts w:ascii="Arial" w:cs="Arial" w:hAnsi="Arial"/>
                <w:i/>
                <w:i/>
                <w:sz w:val="28"/>
                <w:sz w:val="28"/>
                <w:szCs w:val="28"/>
                <w:rtl w:val="true"/>
              </w:rPr>
              <w:t>קטנה אשמה</w:t>
            </w:r>
            <w:r>
              <w:rPr>
                <w:i/>
                <w:i/>
                <w:sz w:val="28"/>
                <w:sz w:val="28"/>
                <w:szCs w:val="28"/>
                <w:rtl w:val="true"/>
              </w:rPr>
              <w:t xml:space="preserve"> </w:t>
            </w:r>
            <w:r>
              <w:rPr>
                <w:rFonts w:ascii="Arial" w:cs="Arial" w:hAnsi="Arial"/>
                <w:i/>
                <w:i/>
                <w:sz w:val="28"/>
                <w:sz w:val="28"/>
                <w:szCs w:val="28"/>
                <w:rtl w:val="true"/>
              </w:rPr>
              <w:t>של</w:t>
            </w:r>
            <w:r>
              <w:rPr>
                <w:i/>
                <w:i/>
                <w:sz w:val="28"/>
                <w:sz w:val="28"/>
                <w:szCs w:val="28"/>
                <w:rtl w:val="true"/>
              </w:rPr>
              <w:t xml:space="preserve"> </w:t>
            </w:r>
            <w:r>
              <w:rPr>
                <w:rFonts w:ascii="Arial" w:cs="Arial" w:hAnsi="Arial"/>
                <w:i/>
                <w:i/>
                <w:sz w:val="28"/>
                <w:sz w:val="28"/>
                <w:szCs w:val="28"/>
                <w:rtl w:val="true"/>
              </w:rPr>
              <w:t>הנורא</w:t>
            </w:r>
            <w:r>
              <w:rPr>
                <w:i/>
                <w:i/>
                <w:sz w:val="28"/>
                <w:sz w:val="28"/>
                <w:szCs w:val="28"/>
                <w:rtl w:val="true"/>
              </w:rPr>
              <w:t xml:space="preserve"> </w:t>
            </w:r>
            <w:r>
              <w:rPr>
                <w:rFonts w:ascii="Arial" w:cs="Arial" w:hAnsi="Arial"/>
                <w:i/>
                <w:i/>
                <w:sz w:val="28"/>
                <w:sz w:val="28"/>
                <w:szCs w:val="28"/>
                <w:rtl w:val="true"/>
              </w:rPr>
              <w:t>כוחה</w:t>
            </w:r>
            <w:r>
              <w:rPr>
                <w:rFonts w:ascii="Cambria" w:cs="Arial" w:eastAsia="Times New Roman" w:hAnsi="Cambria"/>
                <w:sz w:val="28"/>
                <w:szCs w:val="28"/>
              </w:rPr>
              <w:t>)</w:t>
            </w:r>
          </w:p>
        </w:tc>
      </w:tr>
    </w:tbl>
    <w:p>
      <w:pPr>
        <w:pStyle w:val="style0"/>
        <w:spacing w:after="0" w:before="0" w:line="360" w:lineRule="auto"/>
        <w:contextualSpacing w:val="false"/>
      </w:pPr>
      <w:r>
        <w:rPr>
          <w:rFonts w:ascii="Cambria" w:cs="Arial" w:eastAsia="Times New Roman" w:hAnsi="Cambria"/>
          <w:i/>
          <w:iCs/>
          <w:sz w:val="28"/>
          <w:szCs w:val="28"/>
        </w:rPr>
        <w:t>Homeland Grasp</w:t>
      </w:r>
      <w:r>
        <w:rPr>
          <w:rFonts w:ascii="Cambria" w:cs="Arial" w:eastAsia="Times New Roman" w:hAnsi="Cambria"/>
          <w:sz w:val="28"/>
          <w:szCs w:val="28"/>
        </w:rPr>
        <w:t xml:space="preserve"> (2008, Achizat Moledet, </w:t>
      </w:r>
      <w:r>
        <w:rPr>
          <w:rFonts w:ascii="Arial" w:cs="Arial" w:hAnsi="Arial"/>
          <w:i/>
          <w:i/>
          <w:sz w:val="28"/>
          <w:sz w:val="28"/>
          <w:szCs w:val="28"/>
          <w:rtl w:val="true"/>
        </w:rPr>
        <w:t>מולדת אחיזת</w:t>
      </w:r>
      <w:r>
        <w:rPr>
          <w:rFonts w:ascii="Cambria" w:cs="Arial" w:eastAsia="Times New Roman" w:hAnsi="Cambria"/>
          <w:sz w:val="28"/>
          <w:szCs w:val="28"/>
        </w:rPr>
        <w:t>)</w:t>
      </w:r>
    </w:p>
    <w:p>
      <w:pPr>
        <w:pStyle w:val="style0"/>
      </w:pPr>
      <w:r>
        <w:rPr/>
      </w:r>
    </w:p>
    <w:p>
      <w:pPr>
        <w:pStyle w:val="style0"/>
      </w:pPr>
      <w:r>
        <w:rPr>
          <w:rStyle w:val="style19"/>
          <w:rFonts w:ascii="Cambria" w:cs="Arial" w:hAnsi="Cambria"/>
          <w:color w:val="000000"/>
          <w:sz w:val="28"/>
          <w:szCs w:val="28"/>
        </w:rPr>
        <w:t>---------------</w:t>
      </w:r>
    </w:p>
    <w:p>
      <w:pPr>
        <w:pStyle w:val="style0"/>
        <w:spacing w:after="0" w:before="0" w:line="100" w:lineRule="atLeast"/>
        <w:contextualSpacing w:val="false"/>
      </w:pPr>
      <w:r>
        <w:rPr/>
      </w:r>
    </w:p>
    <w:p>
      <w:pPr>
        <w:pStyle w:val="style0"/>
        <w:spacing w:after="0" w:before="0" w:line="100" w:lineRule="atLeast"/>
        <w:contextualSpacing w:val="false"/>
      </w:pPr>
      <w:r>
        <w:rPr/>
        <w:t xml:space="preserve">Photo source: </w:t>
      </w:r>
      <w:hyperlink r:id="rId6">
        <w:r>
          <w:rPr>
            <w:rStyle w:val="style17"/>
          </w:rPr>
          <w:t>http://www.ithl.org.il/authors.html</w:t>
        </w:r>
      </w:hyperlink>
      <w:r>
        <w:rPr/>
        <w:t xml:space="preserve">     </w:t>
      </w:r>
    </w:p>
    <w:p>
      <w:pPr>
        <w:pStyle w:val="style0"/>
        <w:spacing w:after="0" w:before="0"/>
        <w:contextualSpacing w:val="false"/>
      </w:pPr>
      <w:r>
        <w:rPr/>
      </w:r>
    </w:p>
    <w:p>
      <w:pPr>
        <w:pStyle w:val="style0"/>
        <w:spacing w:after="0" w:before="0"/>
        <w:contextualSpacing w:val="false"/>
      </w:pPr>
      <w:r>
        <w:rPr/>
        <w:t>Book cover source:</w:t>
      </w:r>
    </w:p>
    <w:p>
      <w:pPr>
        <w:pStyle w:val="style0"/>
        <w:spacing w:after="0" w:before="0"/>
        <w:contextualSpacing w:val="false"/>
      </w:pPr>
      <w:hyperlink r:id="rId7">
        <w:r>
          <w:rPr>
            <w:rStyle w:val="style17"/>
          </w:rPr>
          <w:t>http://i43.tower.com/images/mm100608915/mr-mani-a-b-yehoshua-paperback-cover-art.jpg</w:t>
        </w:r>
      </w:hyperlink>
    </w:p>
    <w:p>
      <w:pPr>
        <w:pStyle w:val="style0"/>
        <w:spacing w:after="0" w:before="0"/>
        <w:contextualSpacing w:val="false"/>
      </w:pPr>
      <w:r>
        <w:rPr/>
      </w:r>
    </w:p>
    <w:p>
      <w:pPr>
        <w:pStyle w:val="style0"/>
      </w:pPr>
      <w:r>
        <w:rPr/>
        <w:t>Warning about Hebrew titles: they MUST be reviewed carefully after typesetting because they get easily scrambled when changes in the format/margins are made.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apple-converted-space"/>
    <w:basedOn w:val="style15"/>
    <w:next w:val="style18"/>
    <w:rPr/>
  </w:style>
  <w:style w:styleId="style19" w:type="character">
    <w:name w:val="apple-style-span"/>
    <w:basedOn w:val="style15"/>
    <w:next w:val="style19"/>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ucida Sans" w:eastAsia="SimSun"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ucida Sans"/>
    </w:rPr>
  </w:style>
  <w:style w:styleId="style24" w:type="paragraph">
    <w:name w:val="Caption"/>
    <w:basedOn w:val="style0"/>
    <w:next w:val="style24"/>
    <w:pPr>
      <w:suppressLineNumbers/>
      <w:spacing w:after="120" w:before="120"/>
      <w:contextualSpacing w:val="false"/>
    </w:pPr>
    <w:rPr>
      <w:rFonts w:cs="Lucida Sans"/>
      <w:i/>
      <w:iCs/>
      <w:sz w:val="24"/>
      <w:szCs w:val="24"/>
    </w:rPr>
  </w:style>
  <w:style w:styleId="style25" w:type="paragraph">
    <w:name w:val="Index"/>
    <w:basedOn w:val="style0"/>
    <w:next w:val="style25"/>
    <w:pPr>
      <w:suppressLineNumbers/>
    </w:pPr>
    <w:rPr>
      <w:rFonts w:cs="Lucida Sans"/>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List Paragraph"/>
    <w:basedOn w:val="style0"/>
    <w:next w:val="style27"/>
    <w:pPr>
      <w:spacing w:after="200" w:before="0"/>
      <w:ind w:hanging="0" w:left="720" w:right="0"/>
      <w:contextualSpacing/>
    </w:pPr>
    <w:rPr/>
  </w:style>
  <w:style w:styleId="style28" w:type="paragraph">
    <w:name w:val="Normal (Web)"/>
    <w:basedOn w:val="style0"/>
    <w:next w:val="style28"/>
    <w:pPr>
      <w:spacing w:after="360" w:before="0" w:line="384"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gif"/><Relationship Id="rId3" Type="http://schemas.openxmlformats.org/officeDocument/2006/relationships/image" Target="media/image8.jpeg"/><Relationship Id="rId4" Type="http://schemas.openxmlformats.org/officeDocument/2006/relationships/hyperlink" Target="http://www.ajc.org/atf/cf/{42D75369-D582-4380-8395-D25925B85EAF}/Yehoushua_Controversy_2006.pdf" TargetMode="External"/><Relationship Id="rId5" Type="http://schemas.openxmlformats.org/officeDocument/2006/relationships/hyperlink" Target="http://www.youtube.com/watch?v=-x6VHM4Zc4I" TargetMode="External"/><Relationship Id="rId6" Type="http://schemas.openxmlformats.org/officeDocument/2006/relationships/hyperlink" Target="http://www.ithl.org.il/authors.html" TargetMode="External"/><Relationship Id="rId7" Type="http://schemas.openxmlformats.org/officeDocument/2006/relationships/hyperlink" Target="http://i43.tower.com/images/mm100608915/mr-mani-a-b-yehoshua-paperback-cover-art.jp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2012-08-29T19:08:00.00Z</dcterms:created>
  <dc:creator> </dc:creator>
  <cp:lastModifiedBy>Neta Stahl</cp:lastModifiedBy>
  <dcterms:modified xsi:type="dcterms:W3CDTF">2012-08-29T19:08:00.00Z</dcterms:modified>
  <cp:revision>2</cp:revision>
</cp:coreProperties>
</file>