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00D7" w14:textId="77777777" w:rsidR="00BA79AE" w:rsidRPr="0022507F" w:rsidRDefault="00BA79AE" w:rsidP="00BA79AE">
      <w:pPr>
        <w:rPr>
          <w:b/>
        </w:rPr>
      </w:pPr>
      <w:r w:rsidRPr="0022507F">
        <w:rPr>
          <w:b/>
        </w:rPr>
        <w:t>Symphony of Sirens (Baku)</w:t>
      </w:r>
    </w:p>
    <w:p w14:paraId="72B212DD" w14:textId="60FAE5AA" w:rsidR="002911CF" w:rsidRPr="002911CF" w:rsidRDefault="002911CF" w:rsidP="00BA79AE">
      <w:bookmarkStart w:id="0" w:name="_GoBack"/>
      <w:r>
        <w:t>Adrian Curtin</w:t>
      </w:r>
    </w:p>
    <w:bookmarkEnd w:id="0"/>
    <w:p w14:paraId="13980270" w14:textId="77777777" w:rsidR="00BA79AE" w:rsidRPr="0022507F" w:rsidRDefault="00BA79AE" w:rsidP="00BA79AE">
      <w:r w:rsidRPr="0022507F">
        <w:rPr>
          <w:i/>
        </w:rPr>
        <w:t>The</w:t>
      </w:r>
      <w:r w:rsidRPr="0022507F">
        <w:t xml:space="preserve"> </w:t>
      </w:r>
      <w:r w:rsidRPr="0022507F">
        <w:rPr>
          <w:i/>
        </w:rPr>
        <w:t>Symphony of Sirens</w:t>
      </w:r>
      <w:r w:rsidRPr="0022507F">
        <w:t xml:space="preserve"> was a mass concert designed by Arseny Avraamov (1886-1944) that took place in Baku </w:t>
      </w:r>
      <w:r w:rsidR="0022507F" w:rsidRPr="0022507F">
        <w:t>on November 7,</w:t>
      </w:r>
      <w:r w:rsidRPr="0022507F">
        <w:t xml:space="preserve"> 1922. It aimed to recreate in sound and movement the storming of the Winter Palace in St. Petersburg in 1917, transposing this event onto the capital city of the Azerbaijan Soviet Socialist Republic. Avraamov’s symphony was a grandiose expression of proletarian music-making, i.e. music made by and for workers, featuring ‘instruments’ of modern technology and industry that workers could ‘perform’ themselves, such as factory whistles, guns, and modes of transportation. Avraamov instructed performers to make a scheduled panoply of everyday and ceremonial sounds at various locations in the city. These sounds included cannon fire, foghorns, fireworks, bells, sirens, automobile engines, gunfire, and aerial flights, in addition to the musical offerings of a specially built steam whistle machine that piped the notes of “The Internationale”, sung </w:t>
      </w:r>
      <w:r w:rsidRPr="0022507F">
        <w:rPr>
          <w:i/>
        </w:rPr>
        <w:t>en masse</w:t>
      </w:r>
      <w:r w:rsidRPr="0022507F">
        <w:t xml:space="preserve"> at the symphony’s conclusion. Avraamov thus figuratively turned Baku into a giant, conjoint stage/auditorium/musical instrument. Ideologically, the work strove to consolidate the Soviet takeover of Azerbaijan, re-inscribe the founding narrative of the October Revolution, advance the cause of the international proletarian movement, and celebrate ‘liberated’ modern industry, technology, and the urban environment.</w:t>
      </w:r>
    </w:p>
    <w:p w14:paraId="49A23D5B" w14:textId="77777777" w:rsidR="0022507F" w:rsidRPr="0022507F" w:rsidRDefault="00BA79AE" w:rsidP="00BA79AE">
      <w:r w:rsidRPr="0022507F">
        <w:t>References and further reading</w:t>
      </w:r>
    </w:p>
    <w:p w14:paraId="7018AE83" w14:textId="77777777" w:rsidR="0022507F" w:rsidRPr="0022507F" w:rsidRDefault="0022507F" w:rsidP="0022507F">
      <w:pPr>
        <w:spacing w:after="0" w:line="240" w:lineRule="auto"/>
        <w:ind w:left="720" w:hanging="720"/>
        <w:rPr>
          <w:noProof/>
        </w:rPr>
      </w:pPr>
      <w:r w:rsidRPr="0022507F">
        <w:rPr>
          <w:noProof/>
        </w:rPr>
        <w:fldChar w:fldCharType="begin"/>
      </w:r>
      <w:r w:rsidRPr="0022507F">
        <w:rPr>
          <w:noProof/>
        </w:rPr>
        <w:instrText xml:space="preserve"> ADDIN EN.REFLIST </w:instrText>
      </w:r>
      <w:r w:rsidRPr="0022507F">
        <w:rPr>
          <w:noProof/>
        </w:rPr>
        <w:fldChar w:fldCharType="separate"/>
      </w:r>
      <w:bookmarkStart w:id="1" w:name="_ENREF_1"/>
      <w:r w:rsidRPr="0022507F">
        <w:rPr>
          <w:noProof/>
        </w:rPr>
        <w:t xml:space="preserve">ALARCON, M. M. 2008. </w:t>
      </w:r>
      <w:r w:rsidRPr="0022507F">
        <w:rPr>
          <w:i/>
          <w:noProof/>
        </w:rPr>
        <w:t xml:space="preserve">Baku: Symphony of Sirens: Sound Experiments in the Russian Avant-Garde, </w:t>
      </w:r>
      <w:r w:rsidRPr="0022507F">
        <w:rPr>
          <w:noProof/>
        </w:rPr>
        <w:t>London, ReR Megacorp.</w:t>
      </w:r>
      <w:bookmarkEnd w:id="1"/>
      <w:r w:rsidRPr="0022507F">
        <w:rPr>
          <w:noProof/>
        </w:rPr>
        <w:t xml:space="preserve"> (An annotated book and double-CD collection of sound recordings of the Russian avant-garde, including a recording of a reconstruction of Avraamov's symphony.)</w:t>
      </w:r>
    </w:p>
    <w:p w14:paraId="7DEBCB5A" w14:textId="77777777" w:rsidR="0022507F" w:rsidRPr="0022507F" w:rsidRDefault="0022507F" w:rsidP="0022507F">
      <w:pPr>
        <w:spacing w:after="0" w:line="240" w:lineRule="auto"/>
        <w:ind w:left="720" w:hanging="720"/>
        <w:rPr>
          <w:noProof/>
        </w:rPr>
      </w:pPr>
      <w:bookmarkStart w:id="2" w:name="_ENREF_2"/>
      <w:r w:rsidRPr="0022507F">
        <w:rPr>
          <w:noProof/>
        </w:rPr>
        <w:t xml:space="preserve">AVRAAMOV, A. 1992. The Symphony of Sirens (1923). </w:t>
      </w:r>
      <w:r w:rsidRPr="0022507F">
        <w:rPr>
          <w:i/>
          <w:noProof/>
        </w:rPr>
        <w:t>In:</w:t>
      </w:r>
      <w:r w:rsidRPr="0022507F">
        <w:rPr>
          <w:noProof/>
        </w:rPr>
        <w:t xml:space="preserve"> KAHN, D. &amp; WHITEHEAD, G. (eds.) </w:t>
      </w:r>
      <w:r w:rsidRPr="0022507F">
        <w:rPr>
          <w:i/>
          <w:noProof/>
        </w:rPr>
        <w:t>Wireless Imagination: Sound, Radio, and the Avant-Garde.</w:t>
      </w:r>
      <w:r w:rsidRPr="0022507F">
        <w:rPr>
          <w:noProof/>
        </w:rPr>
        <w:t xml:space="preserve"> Cambridge, Mass.; London: MIT Press.</w:t>
      </w:r>
      <w:bookmarkEnd w:id="2"/>
      <w:r w:rsidRPr="0022507F">
        <w:rPr>
          <w:noProof/>
        </w:rPr>
        <w:t xml:space="preserve"> (An English translation of Avraamov's directions for how to perform his symphony.)</w:t>
      </w:r>
    </w:p>
    <w:p w14:paraId="59E52DF6" w14:textId="77777777" w:rsidR="0022507F" w:rsidRPr="0022507F" w:rsidRDefault="0022507F" w:rsidP="0022507F">
      <w:pPr>
        <w:spacing w:line="240" w:lineRule="auto"/>
        <w:ind w:left="720" w:hanging="720"/>
        <w:rPr>
          <w:noProof/>
        </w:rPr>
      </w:pPr>
      <w:bookmarkStart w:id="3" w:name="_ENREF_3"/>
      <w:r w:rsidRPr="0022507F">
        <w:rPr>
          <w:noProof/>
        </w:rPr>
        <w:t xml:space="preserve">EDMUNDS, N. 2000. </w:t>
      </w:r>
      <w:r w:rsidRPr="0022507F">
        <w:rPr>
          <w:i/>
          <w:noProof/>
        </w:rPr>
        <w:t xml:space="preserve">The Soviet Proletarian Music Movement, </w:t>
      </w:r>
      <w:r w:rsidRPr="0022507F">
        <w:rPr>
          <w:noProof/>
        </w:rPr>
        <w:t>Oxford; New York, Peter Lang.</w:t>
      </w:r>
      <w:bookmarkEnd w:id="3"/>
      <w:r w:rsidRPr="0022507F">
        <w:rPr>
          <w:noProof/>
        </w:rPr>
        <w:t xml:space="preserve"> (Provides an account of the historical, cultural, and political milieu in which Avraamov's work was composed.)</w:t>
      </w:r>
    </w:p>
    <w:p w14:paraId="4821105B" w14:textId="77777777" w:rsidR="0022507F" w:rsidRDefault="0022507F" w:rsidP="0022507F">
      <w:pPr>
        <w:spacing w:line="240" w:lineRule="auto"/>
        <w:rPr>
          <w:noProof/>
        </w:rPr>
      </w:pPr>
    </w:p>
    <w:p w14:paraId="747020E6" w14:textId="77777777" w:rsidR="000A112C" w:rsidRDefault="000A112C" w:rsidP="0022507F">
      <w:pPr>
        <w:spacing w:line="240" w:lineRule="auto"/>
        <w:rPr>
          <w:noProof/>
        </w:rPr>
      </w:pPr>
    </w:p>
    <w:p w14:paraId="0CAB0481" w14:textId="77777777" w:rsidR="000A112C" w:rsidRDefault="000A112C" w:rsidP="0022507F">
      <w:pPr>
        <w:spacing w:line="240" w:lineRule="auto"/>
        <w:rPr>
          <w:noProof/>
        </w:rPr>
      </w:pPr>
    </w:p>
    <w:p w14:paraId="17D8808A" w14:textId="77777777" w:rsidR="000A112C" w:rsidRDefault="000A112C" w:rsidP="0022507F">
      <w:pPr>
        <w:spacing w:line="240" w:lineRule="auto"/>
        <w:rPr>
          <w:noProof/>
        </w:rPr>
      </w:pPr>
    </w:p>
    <w:p w14:paraId="67C7E008" w14:textId="77777777" w:rsidR="000A112C" w:rsidRDefault="000A112C" w:rsidP="0022507F">
      <w:pPr>
        <w:spacing w:line="240" w:lineRule="auto"/>
        <w:rPr>
          <w:noProof/>
        </w:rPr>
      </w:pPr>
    </w:p>
    <w:p w14:paraId="79EA920E" w14:textId="77777777" w:rsidR="000A112C" w:rsidRDefault="000A112C" w:rsidP="0022507F">
      <w:pPr>
        <w:spacing w:line="240" w:lineRule="auto"/>
        <w:rPr>
          <w:noProof/>
        </w:rPr>
      </w:pPr>
    </w:p>
    <w:p w14:paraId="36F22CA8" w14:textId="77777777" w:rsidR="000A112C" w:rsidRDefault="000A112C" w:rsidP="0022507F">
      <w:pPr>
        <w:spacing w:line="240" w:lineRule="auto"/>
        <w:rPr>
          <w:noProof/>
        </w:rPr>
      </w:pPr>
    </w:p>
    <w:p w14:paraId="03A7EF65" w14:textId="77777777" w:rsidR="000A112C" w:rsidRDefault="000A112C" w:rsidP="0022507F">
      <w:pPr>
        <w:spacing w:line="240" w:lineRule="auto"/>
        <w:rPr>
          <w:noProof/>
        </w:rPr>
      </w:pPr>
    </w:p>
    <w:p w14:paraId="5C97984F" w14:textId="77777777" w:rsidR="000A112C" w:rsidRDefault="000A112C" w:rsidP="0022507F">
      <w:pPr>
        <w:spacing w:line="240" w:lineRule="auto"/>
        <w:rPr>
          <w:noProof/>
        </w:rPr>
      </w:pPr>
    </w:p>
    <w:p w14:paraId="22FF0D3D" w14:textId="2DABA3D2" w:rsidR="000A112C" w:rsidRDefault="000A112C" w:rsidP="0022507F">
      <w:pPr>
        <w:spacing w:line="240" w:lineRule="auto"/>
        <w:rPr>
          <w:noProof/>
          <w:u w:val="single"/>
        </w:rPr>
      </w:pPr>
      <w:r w:rsidRPr="000A112C">
        <w:rPr>
          <w:noProof/>
          <w:u w:val="single"/>
        </w:rPr>
        <w:t>Paratextual Material</w:t>
      </w:r>
    </w:p>
    <w:p w14:paraId="6A2F9AB1" w14:textId="3F4E573C" w:rsidR="000A112C" w:rsidRPr="000A112C" w:rsidRDefault="000A112C" w:rsidP="0022507F">
      <w:pPr>
        <w:spacing w:line="240" w:lineRule="auto"/>
        <w:rPr>
          <w:noProof/>
        </w:rPr>
      </w:pPr>
      <w:r>
        <w:rPr>
          <w:noProof/>
        </w:rPr>
        <w:t>1.</w:t>
      </w:r>
    </w:p>
    <w:p w14:paraId="377D52AB" w14:textId="7C1D4BFC" w:rsidR="00716CDB" w:rsidRDefault="0022507F" w:rsidP="009268C3">
      <w:pPr>
        <w:jc w:val="center"/>
        <w:rPr>
          <w:noProof/>
        </w:rPr>
      </w:pPr>
      <w:r w:rsidRPr="0022507F">
        <w:rPr>
          <w:noProof/>
        </w:rPr>
        <w:fldChar w:fldCharType="end"/>
      </w:r>
      <w:r w:rsidR="009268C3">
        <w:rPr>
          <w:noProof/>
          <w:lang w:val="en-US"/>
        </w:rPr>
        <w:drawing>
          <wp:inline distT="0" distB="0" distL="0" distR="0" wp14:anchorId="0AF8FEA2" wp14:editId="667EB5A3">
            <wp:extent cx="5486400" cy="526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phony of Sirens.jpg"/>
                    <pic:cNvPicPr/>
                  </pic:nvPicPr>
                  <pic:blipFill>
                    <a:blip r:embed="rId5">
                      <a:extLst>
                        <a:ext uri="{28A0092B-C50C-407E-A947-70E740481C1C}">
                          <a14:useLocalDpi xmlns:a14="http://schemas.microsoft.com/office/drawing/2010/main" val="0"/>
                        </a:ext>
                      </a:extLst>
                    </a:blip>
                    <a:stretch>
                      <a:fillRect/>
                    </a:stretch>
                  </pic:blipFill>
                  <pic:spPr>
                    <a:xfrm>
                      <a:off x="0" y="0"/>
                      <a:ext cx="5486400" cy="5266690"/>
                    </a:xfrm>
                    <a:prstGeom prst="rect">
                      <a:avLst/>
                    </a:prstGeom>
                  </pic:spPr>
                </pic:pic>
              </a:graphicData>
            </a:graphic>
          </wp:inline>
        </w:drawing>
      </w:r>
    </w:p>
    <w:p w14:paraId="64E81B02" w14:textId="77777777" w:rsidR="009268C3" w:rsidRDefault="009268C3" w:rsidP="009268C3">
      <w:pPr>
        <w:spacing w:line="240" w:lineRule="auto"/>
        <w:jc w:val="center"/>
        <w:rPr>
          <w:b/>
          <w:i/>
          <w:noProof/>
        </w:rPr>
      </w:pPr>
      <w:r w:rsidRPr="009268C3">
        <w:rPr>
          <w:b/>
          <w:noProof/>
        </w:rPr>
        <w:t xml:space="preserve">Illustration of Avraamov, atop a tower, conducting </w:t>
      </w:r>
      <w:r w:rsidRPr="009268C3">
        <w:rPr>
          <w:b/>
          <w:i/>
          <w:noProof/>
        </w:rPr>
        <w:t>The Symphony of Sirens</w:t>
      </w:r>
    </w:p>
    <w:p w14:paraId="5B3CC161" w14:textId="614C422B" w:rsidR="009268C3" w:rsidRPr="009268C3" w:rsidRDefault="009268C3" w:rsidP="009268C3">
      <w:pPr>
        <w:spacing w:line="240" w:lineRule="auto"/>
        <w:jc w:val="center"/>
        <w:rPr>
          <w:b/>
          <w:i/>
          <w:noProof/>
        </w:rPr>
      </w:pPr>
      <w:r w:rsidRPr="009268C3">
        <w:rPr>
          <w:b/>
        </w:rPr>
        <w:t xml:space="preserve">Source: ‘Sinfoniia Gudkov,’ </w:t>
      </w:r>
      <w:r w:rsidRPr="009268C3">
        <w:rPr>
          <w:b/>
          <w:i/>
        </w:rPr>
        <w:t>Gorn</w:t>
      </w:r>
      <w:r w:rsidRPr="009268C3">
        <w:rPr>
          <w:b/>
        </w:rPr>
        <w:t xml:space="preserve"> 9 (1923), p. 113 [likely out of copyright]</w:t>
      </w:r>
    </w:p>
    <w:p w14:paraId="4777D540" w14:textId="77777777" w:rsidR="009268C3" w:rsidRDefault="009268C3" w:rsidP="000A112C">
      <w:pPr>
        <w:rPr>
          <w:rFonts w:ascii="Calibri" w:hAnsi="Calibri"/>
          <w:noProof/>
        </w:rPr>
      </w:pPr>
    </w:p>
    <w:p w14:paraId="2CB86DC8" w14:textId="33A11726" w:rsidR="000A112C" w:rsidRPr="009268C3" w:rsidRDefault="000A112C" w:rsidP="000A112C">
      <w:pPr>
        <w:rPr>
          <w:rFonts w:ascii="Calibri" w:hAnsi="Calibri"/>
          <w:noProof/>
        </w:rPr>
      </w:pPr>
      <w:r>
        <w:rPr>
          <w:rFonts w:ascii="Calibri" w:hAnsi="Calibri"/>
          <w:noProof/>
        </w:rPr>
        <w:t xml:space="preserve">2. Recorded reconstruction (available in the Alarcon book in the references list), posted to YouTube: </w:t>
      </w:r>
      <w:hyperlink r:id="rId6" w:history="1">
        <w:r w:rsidRPr="00AA3C2B">
          <w:rPr>
            <w:rStyle w:val="Hyperlink"/>
            <w:rFonts w:ascii="Calibri" w:hAnsi="Calibri"/>
            <w:noProof/>
          </w:rPr>
          <w:t>http://www.youtube.com/watch?v=Kq_7w9RHvpQ</w:t>
        </w:r>
      </w:hyperlink>
      <w:r>
        <w:rPr>
          <w:rFonts w:ascii="Calibri" w:hAnsi="Calibri"/>
          <w:noProof/>
        </w:rPr>
        <w:t xml:space="preserve"> [copyright permission required, presumably]</w:t>
      </w:r>
    </w:p>
    <w:sectPr w:rsidR="000A112C" w:rsidRPr="009268C3" w:rsidSect="00FD42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tax9wwfbedd98etp9a5xa0v9dd2w5zzsrfx&quot;&gt;Dissertation Bibliography&lt;record-ids&gt;&lt;item&gt;618&lt;/item&gt;&lt;item&gt;849&lt;/item&gt;&lt;item&gt;1981&lt;/item&gt;&lt;/record-ids&gt;&lt;/item&gt;&lt;/Libraries&gt;"/>
  </w:docVars>
  <w:rsids>
    <w:rsidRoot w:val="00BA79AE"/>
    <w:rsid w:val="000A112C"/>
    <w:rsid w:val="001A6612"/>
    <w:rsid w:val="00214A4C"/>
    <w:rsid w:val="0022507F"/>
    <w:rsid w:val="002911CF"/>
    <w:rsid w:val="00350DA5"/>
    <w:rsid w:val="00474A89"/>
    <w:rsid w:val="0068500D"/>
    <w:rsid w:val="00685573"/>
    <w:rsid w:val="00716CDB"/>
    <w:rsid w:val="007E7308"/>
    <w:rsid w:val="00802E68"/>
    <w:rsid w:val="009268C3"/>
    <w:rsid w:val="00AA5434"/>
    <w:rsid w:val="00BA79AE"/>
    <w:rsid w:val="00C63623"/>
    <w:rsid w:val="00CD3142"/>
    <w:rsid w:val="00D05ABB"/>
    <w:rsid w:val="00D342AD"/>
    <w:rsid w:val="00D37A8A"/>
    <w:rsid w:val="00FD42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C3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9AE"/>
    <w:pPr>
      <w:spacing w:after="200" w:line="276" w:lineRule="auto"/>
    </w:pPr>
    <w:rPr>
      <w:rFonts w:eastAsiaTheme="minorHAns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CD3142"/>
    <w:pPr>
      <w:spacing w:after="0" w:line="240" w:lineRule="auto"/>
    </w:pPr>
    <w:rPr>
      <w:rFonts w:ascii="Garamond" w:eastAsiaTheme="minorEastAsia" w:hAnsi="Garamond"/>
      <w:sz w:val="20"/>
      <w:szCs w:val="24"/>
      <w:lang w:eastAsia="ja-JP"/>
    </w:rPr>
  </w:style>
  <w:style w:type="character" w:customStyle="1" w:styleId="FootnoteTextChar">
    <w:name w:val="Footnote Text Char"/>
    <w:basedOn w:val="DefaultParagraphFont"/>
    <w:link w:val="FootnoteText"/>
    <w:rsid w:val="00CD3142"/>
    <w:rPr>
      <w:rFonts w:ascii="Garamond" w:hAnsi="Garamond"/>
      <w:sz w:val="20"/>
    </w:rPr>
  </w:style>
  <w:style w:type="paragraph" w:customStyle="1" w:styleId="ChapterHeadings">
    <w:name w:val="Chapter Headings"/>
    <w:basedOn w:val="Normal"/>
    <w:qFormat/>
    <w:rsid w:val="0068500D"/>
    <w:pPr>
      <w:spacing w:after="0" w:line="240" w:lineRule="auto"/>
      <w:jc w:val="center"/>
    </w:pPr>
    <w:rPr>
      <w:rFonts w:ascii="Garamond" w:eastAsiaTheme="minorEastAsia" w:hAnsi="Garamond"/>
      <w:b/>
      <w:sz w:val="24"/>
      <w:szCs w:val="24"/>
      <w:lang w:eastAsia="ja-JP"/>
    </w:rPr>
  </w:style>
  <w:style w:type="paragraph" w:customStyle="1" w:styleId="ChapterSectionHeadings">
    <w:name w:val="Chapter Section Headings"/>
    <w:basedOn w:val="Normal"/>
    <w:qFormat/>
    <w:rsid w:val="0068500D"/>
    <w:pPr>
      <w:spacing w:after="0" w:line="480" w:lineRule="auto"/>
    </w:pPr>
    <w:rPr>
      <w:rFonts w:ascii="Garamond" w:eastAsiaTheme="minorEastAsia" w:hAnsi="Garamond"/>
      <w:sz w:val="24"/>
      <w:szCs w:val="24"/>
      <w:u w:val="single"/>
      <w:lang w:eastAsia="ja-JP"/>
    </w:rPr>
  </w:style>
  <w:style w:type="character" w:styleId="Hyperlink">
    <w:name w:val="Hyperlink"/>
    <w:basedOn w:val="DefaultParagraphFont"/>
    <w:uiPriority w:val="99"/>
    <w:unhideWhenUsed/>
    <w:rsid w:val="0022507F"/>
    <w:rPr>
      <w:color w:val="0000FF" w:themeColor="hyperlink"/>
      <w:u w:val="single"/>
    </w:rPr>
  </w:style>
  <w:style w:type="paragraph" w:styleId="BalloonText">
    <w:name w:val="Balloon Text"/>
    <w:basedOn w:val="Normal"/>
    <w:link w:val="BalloonTextChar"/>
    <w:uiPriority w:val="99"/>
    <w:semiHidden/>
    <w:unhideWhenUsed/>
    <w:rsid w:val="00C636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623"/>
    <w:rPr>
      <w:rFonts w:ascii="Lucida Grande" w:eastAsiaTheme="minorHAnsi"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9AE"/>
    <w:pPr>
      <w:spacing w:after="200" w:line="276" w:lineRule="auto"/>
    </w:pPr>
    <w:rPr>
      <w:rFonts w:eastAsiaTheme="minorHAns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CD3142"/>
    <w:pPr>
      <w:spacing w:after="0" w:line="240" w:lineRule="auto"/>
    </w:pPr>
    <w:rPr>
      <w:rFonts w:ascii="Garamond" w:eastAsiaTheme="minorEastAsia" w:hAnsi="Garamond"/>
      <w:sz w:val="20"/>
      <w:szCs w:val="24"/>
      <w:lang w:eastAsia="ja-JP"/>
    </w:rPr>
  </w:style>
  <w:style w:type="character" w:customStyle="1" w:styleId="FootnoteTextChar">
    <w:name w:val="Footnote Text Char"/>
    <w:basedOn w:val="DefaultParagraphFont"/>
    <w:link w:val="FootnoteText"/>
    <w:rsid w:val="00CD3142"/>
    <w:rPr>
      <w:rFonts w:ascii="Garamond" w:hAnsi="Garamond"/>
      <w:sz w:val="20"/>
    </w:rPr>
  </w:style>
  <w:style w:type="paragraph" w:customStyle="1" w:styleId="ChapterHeadings">
    <w:name w:val="Chapter Headings"/>
    <w:basedOn w:val="Normal"/>
    <w:qFormat/>
    <w:rsid w:val="0068500D"/>
    <w:pPr>
      <w:spacing w:after="0" w:line="240" w:lineRule="auto"/>
      <w:jc w:val="center"/>
    </w:pPr>
    <w:rPr>
      <w:rFonts w:ascii="Garamond" w:eastAsiaTheme="minorEastAsia" w:hAnsi="Garamond"/>
      <w:b/>
      <w:sz w:val="24"/>
      <w:szCs w:val="24"/>
      <w:lang w:eastAsia="ja-JP"/>
    </w:rPr>
  </w:style>
  <w:style w:type="paragraph" w:customStyle="1" w:styleId="ChapterSectionHeadings">
    <w:name w:val="Chapter Section Headings"/>
    <w:basedOn w:val="Normal"/>
    <w:qFormat/>
    <w:rsid w:val="0068500D"/>
    <w:pPr>
      <w:spacing w:after="0" w:line="480" w:lineRule="auto"/>
    </w:pPr>
    <w:rPr>
      <w:rFonts w:ascii="Garamond" w:eastAsiaTheme="minorEastAsia" w:hAnsi="Garamond"/>
      <w:sz w:val="24"/>
      <w:szCs w:val="24"/>
      <w:u w:val="single"/>
      <w:lang w:eastAsia="ja-JP"/>
    </w:rPr>
  </w:style>
  <w:style w:type="character" w:styleId="Hyperlink">
    <w:name w:val="Hyperlink"/>
    <w:basedOn w:val="DefaultParagraphFont"/>
    <w:uiPriority w:val="99"/>
    <w:unhideWhenUsed/>
    <w:rsid w:val="0022507F"/>
    <w:rPr>
      <w:color w:val="0000FF" w:themeColor="hyperlink"/>
      <w:u w:val="single"/>
    </w:rPr>
  </w:style>
  <w:style w:type="paragraph" w:styleId="BalloonText">
    <w:name w:val="Balloon Text"/>
    <w:basedOn w:val="Normal"/>
    <w:link w:val="BalloonTextChar"/>
    <w:uiPriority w:val="99"/>
    <w:semiHidden/>
    <w:unhideWhenUsed/>
    <w:rsid w:val="00C636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623"/>
    <w:rPr>
      <w:rFonts w:ascii="Lucida Grande" w:eastAsiaTheme="minorHAnsi"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youtube.com/watch?v=Kq_7w9RHvp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Macintosh Word</Application>
  <DocSecurity>0</DocSecurity>
  <Lines>18</Lines>
  <Paragraphs>5</Paragraphs>
  <ScaleCrop>false</ScaleCrop>
  <Company>Northwestern University</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Curtin</dc:creator>
  <cp:keywords/>
  <dc:description/>
  <cp:lastModifiedBy>J. G.</cp:lastModifiedBy>
  <cp:revision>3</cp:revision>
  <dcterms:created xsi:type="dcterms:W3CDTF">2012-09-30T15:51:00Z</dcterms:created>
  <dcterms:modified xsi:type="dcterms:W3CDTF">2012-09-30T19:13:00Z</dcterms:modified>
</cp:coreProperties>
</file>