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FE" w:rsidRPr="00B9792C" w:rsidRDefault="00313DFE" w:rsidP="00313DFE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9792C">
        <w:rPr>
          <w:rStyle w:val="gd"/>
          <w:rFonts w:ascii="Times New Roman" w:hAnsi="Times New Roman"/>
          <w:sz w:val="24"/>
          <w:szCs w:val="24"/>
          <w:lang w:val="en-GB"/>
        </w:rPr>
        <w:t>M</w:t>
      </w:r>
      <w:r w:rsidRPr="00B9792C">
        <w:rPr>
          <w:rStyle w:val="gd"/>
          <w:rFonts w:ascii="Times New Roman" w:hAnsi="Times New Roman"/>
          <w:sz w:val="24"/>
          <w:szCs w:val="24"/>
        </w:rPr>
        <w:t xml:space="preserve">ohammad </w:t>
      </w:r>
      <w:r w:rsidRPr="00B9792C">
        <w:rPr>
          <w:rStyle w:val="gd"/>
          <w:rFonts w:ascii="Times New Roman" w:hAnsi="Times New Roman"/>
          <w:sz w:val="24"/>
          <w:szCs w:val="24"/>
          <w:lang w:val="en-GB"/>
        </w:rPr>
        <w:t>W</w:t>
      </w:r>
      <w:r w:rsidRPr="00B9792C">
        <w:rPr>
          <w:rStyle w:val="gd"/>
          <w:rFonts w:ascii="Times New Roman" w:hAnsi="Times New Roman"/>
          <w:sz w:val="24"/>
          <w:szCs w:val="24"/>
        </w:rPr>
        <w:t>idyarta</w:t>
      </w:r>
      <w:r w:rsidRPr="00B9792C">
        <w:rPr>
          <w:rFonts w:ascii="Times New Roman" w:hAnsi="Times New Roman"/>
          <w:sz w:val="24"/>
          <w:szCs w:val="24"/>
        </w:rPr>
        <w:t xml:space="preserve"> </w:t>
      </w:r>
    </w:p>
    <w:p w:rsidR="00313DFE" w:rsidRPr="00B9792C" w:rsidRDefault="00313DFE" w:rsidP="00313DFE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B9792C">
        <w:rPr>
          <w:rFonts w:ascii="Times New Roman" w:hAnsi="Times New Roman"/>
          <w:color w:val="000000"/>
          <w:sz w:val="24"/>
          <w:szCs w:val="24"/>
        </w:rPr>
        <w:t>Universitas Indonesia</w:t>
      </w:r>
    </w:p>
    <w:p w:rsidR="001E2468" w:rsidRPr="001E2468" w:rsidRDefault="001E2468" w:rsidP="001E2468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Bwan</w:t>
      </w:r>
      <w:proofErr w:type="spellEnd"/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Tjie</w:t>
      </w:r>
      <w:proofErr w:type="spellEnd"/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 xml:space="preserve"> (1891- 1966)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Bwan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Tjie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was an Indonesian architect. He was born in Semarang and died in Rijswijk, Netherlands. Along with FRIEDRICH SILABAN,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Mohamad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Susilo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and others, in 1959 he founded the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Ikatan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Indonesia (IAI, Indonesian Institute of Architects). He studied at the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Technische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Hogeschool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Delft (now University of Technology, Delft). Then, he continued his studies in China, at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Yenching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University.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went back to practice in Semarang in 1929, where he found an important patron,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Oei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Tiong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Ham, the sugar baron of South East Asia in the pre-World War II era, before moving to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practise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 Jakarta in 1938, where he would continue working up to 1965.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Bwan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Tjie’s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works show influences of Willem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Dudok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and FRANK LLOYD WRIGHT. </w:t>
      </w:r>
      <w:proofErr w:type="gram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An early work of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 Semarang, a stand for Coffee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Margoredjo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at the Semarang Annual Fair (1929) shows a rather CUBIST, almost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Dudok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-like, massing of elements.</w:t>
      </w:r>
      <w:proofErr w:type="gram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The influence of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Dudok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is more apparent in his work in Semarang,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Oei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Tiong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Ham Concern (1930). The massing of this work can be compared to that of Hilversum’s Town Hall by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Dudok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. 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Another of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Liem’s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works, Han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Tiauw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Tjong’s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Residence in Semarang (1932) shows an influence from Frank Lloyd Wright. The horizontality of the house recalls that of Wright’s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Robie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House.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5C01F266" wp14:editId="51BD2505">
            <wp:extent cx="3091070" cy="3746328"/>
            <wp:effectExtent l="0" t="0" r="0" b="6985"/>
            <wp:docPr id="4" name="Picture 2" descr="http://searchassets.nai.nl/image/CIS/lightbox/semm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archassets.nai.nl/image/CIS/lightbox/semmar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2" t="1176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01" cy="37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Coffee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Margoredjo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stand at the Annual Fair, Semarang, 1929 (Source: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Nederlands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Archtectuurinstituut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Bonas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archive, </w:t>
      </w:r>
      <w:hyperlink r:id="rId7" w:history="1">
        <w:r w:rsidRPr="001E2468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http://zoeken.nai.nl/CIS/project/16583</w:t>
        </w:r>
      </w:hyperlink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3F9E262E" wp14:editId="312B995D">
            <wp:extent cx="5486400" cy="2999717"/>
            <wp:effectExtent l="0" t="0" r="0" b="0"/>
            <wp:docPr id="5" name="Picture 3" descr="http://searchassets.nai.nl/image/CIS/lightbox/semvi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archassets.nai.nl/image/CIS/lightbox/semvil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2549" b="1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08" cy="300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Han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TiauwTjong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Residence, Semarang, 1932. An attempt to apply principles of Lloyd Wright’s prairie school in Indonesian setting (Source: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Nederlands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Archtectuurinstituut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Bonas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archive, </w:t>
      </w:r>
      <w:hyperlink r:id="rId9" w:history="1">
        <w:r w:rsidRPr="001E2468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http://zoeken.nai.nl/CIS/project/16515</w:t>
        </w:r>
      </w:hyperlink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).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List of Works</w:t>
      </w:r>
    </w:p>
    <w:p w:rsidR="00F26559" w:rsidRPr="001E2468" w:rsidRDefault="00F26559" w:rsidP="00F2655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1929</w:t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Coffee </w:t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Margoredjo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Stand, Semarang Annual Fair.</w:t>
      </w:r>
    </w:p>
    <w:p w:rsidR="00F26559" w:rsidRPr="001E2468" w:rsidRDefault="00F26559" w:rsidP="00F2655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1930</w:t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Oei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Tiong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Ham Concern, Semarang.</w:t>
      </w:r>
    </w:p>
    <w:p w:rsidR="00F26559" w:rsidRPr="001E2468" w:rsidRDefault="00F26559" w:rsidP="00F2655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1932</w:t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Han </w:t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Tiauw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Tjong’s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Residence, Semarang.</w:t>
      </w:r>
    </w:p>
    <w:p w:rsidR="00F26559" w:rsidRPr="001E2468" w:rsidRDefault="00F26559" w:rsidP="00F2655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1951</w:t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Food and Mouth Diseases Institute, Surabaya.</w:t>
      </w:r>
    </w:p>
    <w:p w:rsidR="00F26559" w:rsidRPr="001E2468" w:rsidRDefault="00F26559" w:rsidP="00F2655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1953</w:t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Sport Stadium, Medan. </w:t>
      </w:r>
    </w:p>
    <w:p w:rsidR="00F26559" w:rsidRPr="001E2468" w:rsidRDefault="00F26559" w:rsidP="00F26559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1961</w:t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Universitas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Sam </w:t>
      </w:r>
      <w:proofErr w:type="spellStart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>Ratulangi</w:t>
      </w:r>
      <w:proofErr w:type="spellEnd"/>
      <w:r w:rsidRPr="001E2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Campus, Manado.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r w:rsidRPr="001E246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References and Further Reading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Handinoto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(2004) “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Bwan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Tjie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Modern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Generasi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di Indonesia ((1891 – 1966),”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Dimensi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Teknik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Arsitektur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32 (2), 119 - 130.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Handinoto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N.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Purwestri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&amp; M.N.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Widyarta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(2012) “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Liem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Bwan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Tjie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(1891 – 1966)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Perkembangan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Arsitektur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Modern di Indonesia,” in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Tegang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Bentang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Seratus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Tahun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Perspektif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Arsitektural</w:t>
      </w:r>
      <w:proofErr w:type="spellEnd"/>
      <w:r w:rsidRPr="001E246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di Indonesia</w:t>
      </w:r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Jakarta: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Gramedia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&amp;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Pusat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Dokumentasi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Arsitektur</w:t>
      </w:r>
      <w:proofErr w:type="spellEnd"/>
      <w:r w:rsidRPr="001E246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Indonesia.</w:t>
      </w:r>
    </w:p>
    <w:p w:rsidR="00F26559" w:rsidRPr="001E2468" w:rsidRDefault="00F26559" w:rsidP="00F2655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C65F99" w:rsidRPr="001E2468" w:rsidRDefault="00313DFE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C65F99" w:rsidRPr="001E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C1C5D"/>
    <w:multiLevelType w:val="hybridMultilevel"/>
    <w:tmpl w:val="A6CA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59"/>
    <w:rsid w:val="001E2468"/>
    <w:rsid w:val="00313DFE"/>
    <w:rsid w:val="008D1A31"/>
    <w:rsid w:val="00F26559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59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59"/>
    <w:rPr>
      <w:rFonts w:ascii="Tahoma" w:eastAsia="Calibri" w:hAnsi="Tahoma" w:cs="Tahoma"/>
      <w:sz w:val="16"/>
      <w:szCs w:val="16"/>
      <w:lang w:val="am-ET"/>
    </w:rPr>
  </w:style>
  <w:style w:type="character" w:styleId="Hyperlink">
    <w:name w:val="Hyperlink"/>
    <w:basedOn w:val="DefaultParagraphFont"/>
    <w:uiPriority w:val="99"/>
    <w:unhideWhenUsed/>
    <w:rsid w:val="00F265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559"/>
    <w:pPr>
      <w:ind w:left="720"/>
      <w:contextualSpacing/>
    </w:pPr>
  </w:style>
  <w:style w:type="character" w:customStyle="1" w:styleId="gd">
    <w:name w:val="gd"/>
    <w:basedOn w:val="DefaultParagraphFont"/>
    <w:rsid w:val="001E2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59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59"/>
    <w:rPr>
      <w:rFonts w:ascii="Tahoma" w:eastAsia="Calibri" w:hAnsi="Tahoma" w:cs="Tahoma"/>
      <w:sz w:val="16"/>
      <w:szCs w:val="16"/>
      <w:lang w:val="am-ET"/>
    </w:rPr>
  </w:style>
  <w:style w:type="character" w:styleId="Hyperlink">
    <w:name w:val="Hyperlink"/>
    <w:basedOn w:val="DefaultParagraphFont"/>
    <w:uiPriority w:val="99"/>
    <w:unhideWhenUsed/>
    <w:rsid w:val="00F265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559"/>
    <w:pPr>
      <w:ind w:left="720"/>
      <w:contextualSpacing/>
    </w:pPr>
  </w:style>
  <w:style w:type="character" w:customStyle="1" w:styleId="gd">
    <w:name w:val="gd"/>
    <w:basedOn w:val="DefaultParagraphFont"/>
    <w:rsid w:val="001E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zoeken.nai.nl/CIS/project/16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oeken.nai.nl/CIS/project/16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2165</Characters>
  <Application>Microsoft Office Word</Application>
  <DocSecurity>0</DocSecurity>
  <Lines>18</Lines>
  <Paragraphs>5</Paragraphs>
  <ScaleCrop>false</ScaleCrop>
  <Company>Northumbria University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Johnson</dc:creator>
  <cp:lastModifiedBy>Michael Johnson</cp:lastModifiedBy>
  <cp:revision>3</cp:revision>
  <dcterms:created xsi:type="dcterms:W3CDTF">2013-01-22T10:51:00Z</dcterms:created>
  <dcterms:modified xsi:type="dcterms:W3CDTF">2013-01-23T10:16:00Z</dcterms:modified>
</cp:coreProperties>
</file>