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single" w:sz="4" w:space="0" w:color="D9D9D9"/>
          <w:left w:val="single" w:sz="4" w:space="0" w:color="D9D9D9"/>
          <w:bottom w:val="single" w:sz="4" w:space="0" w:color="D9D9D9"/>
          <w:right w:val="single" w:sz="4" w:space="0" w:color="D9D9D9"/>
        </w:tblBorders>
        <w:tblCellMar>
          <w:left w:w="10" w:type="dxa"/>
          <w:right w:w="10" w:type="dxa"/>
        </w:tblCellMar>
        <w:tblLook w:val="0000" w:firstRow="0" w:lastRow="0" w:firstColumn="0" w:lastColumn="0" w:noHBand="0" w:noVBand="0"/>
      </w:tblPr>
      <w:tblGrid>
        <w:gridCol w:w="497"/>
        <w:gridCol w:w="1296"/>
        <w:gridCol w:w="2073"/>
        <w:gridCol w:w="2551"/>
        <w:gridCol w:w="2644"/>
      </w:tblGrid>
      <w:tr w:rsidR="00B15754">
        <w:tblPrEx>
          <w:tblCellMar>
            <w:top w:w="0" w:type="dxa"/>
            <w:bottom w:w="0" w:type="dxa"/>
          </w:tblCellMar>
        </w:tblPrEx>
        <w:tc>
          <w:tcPr>
            <w:tcW w:w="497" w:type="dxa"/>
            <w:vMerge w:val="restart"/>
            <w:tcBorders>
              <w:top w:val="single" w:sz="4" w:space="0" w:color="D9D9D9"/>
              <w:left w:val="single" w:sz="4" w:space="0" w:color="D9D9D9"/>
              <w:bottom w:val="single" w:sz="4" w:space="0" w:color="D9D9D9"/>
              <w:right w:val="single" w:sz="4" w:space="0" w:color="D9D9D9"/>
            </w:tcBorders>
            <w:shd w:val="clear" w:color="auto" w:fill="A6A6A6"/>
            <w:tcMar>
              <w:top w:w="0" w:type="dxa"/>
              <w:left w:w="108" w:type="dxa"/>
              <w:bottom w:w="0" w:type="dxa"/>
              <w:right w:w="108" w:type="dxa"/>
            </w:tcMar>
          </w:tcPr>
          <w:p w:rsidR="00B15754" w:rsidRDefault="00765E61">
            <w:pPr>
              <w:jc w:val="center"/>
            </w:pPr>
            <w:r>
              <w:rPr>
                <w:b/>
                <w:color w:val="FFFFFF"/>
                <w:eastAsianLayout w:id="1133237504" w:vert="1"/>
              </w:rPr>
              <w:t>About you</w:t>
            </w:r>
          </w:p>
        </w:tc>
        <w:tc>
          <w:tcPr>
            <w:tcW w:w="1295" w:type="dxa"/>
            <w:tcBorders>
              <w:top w:val="single" w:sz="4" w:space="0" w:color="D9D9D9"/>
              <w:left w:val="single" w:sz="4" w:space="0" w:color="D9D9D9"/>
              <w:bottom w:val="single" w:sz="4" w:space="0" w:color="D9D9D9"/>
              <w:right w:val="single" w:sz="4" w:space="0" w:color="D9D9D9"/>
            </w:tcBorders>
            <w:shd w:val="clear" w:color="auto" w:fill="auto"/>
            <w:tcMar>
              <w:top w:w="0" w:type="dxa"/>
              <w:left w:w="108" w:type="dxa"/>
              <w:bottom w:w="0" w:type="dxa"/>
              <w:right w:w="108" w:type="dxa"/>
            </w:tcMar>
          </w:tcPr>
          <w:p w:rsidR="00B15754" w:rsidRDefault="00765E61">
            <w:pPr>
              <w:jc w:val="center"/>
            </w:pPr>
            <w:r>
              <w:rPr>
                <w:rStyle w:val="PlaceholderText"/>
                <w:b/>
                <w:color w:val="FFFFFF"/>
              </w:rPr>
              <w:t>[Salutation]</w:t>
            </w:r>
          </w:p>
        </w:tc>
        <w:tc>
          <w:tcPr>
            <w:tcW w:w="2073" w:type="dxa"/>
            <w:tcBorders>
              <w:top w:val="single" w:sz="4" w:space="0" w:color="D9D9D9"/>
              <w:left w:val="single" w:sz="4" w:space="0" w:color="D9D9D9"/>
              <w:bottom w:val="single" w:sz="4" w:space="0" w:color="D9D9D9"/>
              <w:right w:val="single" w:sz="4" w:space="0" w:color="D9D9D9"/>
            </w:tcBorders>
            <w:shd w:val="clear" w:color="auto" w:fill="auto"/>
            <w:tcMar>
              <w:top w:w="0" w:type="dxa"/>
              <w:left w:w="108" w:type="dxa"/>
              <w:bottom w:w="0" w:type="dxa"/>
              <w:right w:w="108" w:type="dxa"/>
            </w:tcMar>
          </w:tcPr>
          <w:p w:rsidR="00B15754" w:rsidRDefault="00CE3371">
            <w:r>
              <w:rPr>
                <w:rStyle w:val="PlaceholderText"/>
              </w:rPr>
              <w:t>Jesse</w:t>
            </w:r>
          </w:p>
        </w:tc>
        <w:tc>
          <w:tcPr>
            <w:tcW w:w="2551" w:type="dxa"/>
            <w:tcBorders>
              <w:top w:val="single" w:sz="4" w:space="0" w:color="D9D9D9"/>
              <w:left w:val="single" w:sz="4" w:space="0" w:color="D9D9D9"/>
              <w:bottom w:val="single" w:sz="4" w:space="0" w:color="D9D9D9"/>
              <w:right w:val="single" w:sz="4" w:space="0" w:color="D9D9D9"/>
            </w:tcBorders>
            <w:shd w:val="clear" w:color="auto" w:fill="auto"/>
            <w:tcMar>
              <w:top w:w="0" w:type="dxa"/>
              <w:left w:w="108" w:type="dxa"/>
              <w:bottom w:w="0" w:type="dxa"/>
              <w:right w:w="108" w:type="dxa"/>
            </w:tcMar>
          </w:tcPr>
          <w:p w:rsidR="00B15754" w:rsidRDefault="00CE3371">
            <w:r>
              <w:rPr>
                <w:rStyle w:val="PlaceholderText"/>
              </w:rPr>
              <w:t>S.</w:t>
            </w:r>
          </w:p>
        </w:tc>
        <w:tc>
          <w:tcPr>
            <w:tcW w:w="2644" w:type="dxa"/>
            <w:tcBorders>
              <w:top w:val="single" w:sz="4" w:space="0" w:color="D9D9D9"/>
              <w:left w:val="single" w:sz="4" w:space="0" w:color="D9D9D9"/>
              <w:bottom w:val="single" w:sz="4" w:space="0" w:color="D9D9D9"/>
              <w:right w:val="single" w:sz="4" w:space="0" w:color="D9D9D9"/>
            </w:tcBorders>
            <w:shd w:val="clear" w:color="auto" w:fill="auto"/>
            <w:tcMar>
              <w:top w:w="0" w:type="dxa"/>
              <w:left w:w="108" w:type="dxa"/>
              <w:bottom w:w="0" w:type="dxa"/>
              <w:right w:w="108" w:type="dxa"/>
            </w:tcMar>
          </w:tcPr>
          <w:p w:rsidR="00B15754" w:rsidRDefault="00CE3371">
            <w:r>
              <w:rPr>
                <w:rStyle w:val="PlaceholderText"/>
              </w:rPr>
              <w:t>Cohn</w:t>
            </w:r>
          </w:p>
        </w:tc>
      </w:tr>
      <w:tr w:rsidR="00B15754">
        <w:tblPrEx>
          <w:tblCellMar>
            <w:top w:w="0" w:type="dxa"/>
            <w:bottom w:w="0" w:type="dxa"/>
          </w:tblCellMar>
        </w:tblPrEx>
        <w:trPr>
          <w:trHeight w:val="986"/>
        </w:trPr>
        <w:tc>
          <w:tcPr>
            <w:tcW w:w="497" w:type="dxa"/>
            <w:vMerge/>
            <w:tcBorders>
              <w:top w:val="single" w:sz="4" w:space="0" w:color="D9D9D9"/>
              <w:left w:val="single" w:sz="4" w:space="0" w:color="D9D9D9"/>
              <w:bottom w:val="single" w:sz="4" w:space="0" w:color="D9D9D9"/>
              <w:right w:val="single" w:sz="4" w:space="0" w:color="D9D9D9"/>
            </w:tcBorders>
            <w:shd w:val="clear" w:color="auto" w:fill="A6A6A6"/>
            <w:tcMar>
              <w:top w:w="0" w:type="dxa"/>
              <w:left w:w="108" w:type="dxa"/>
              <w:bottom w:w="0" w:type="dxa"/>
              <w:right w:w="108" w:type="dxa"/>
            </w:tcMar>
          </w:tcPr>
          <w:p w:rsidR="00B15754" w:rsidRDefault="00B15754">
            <w:pPr>
              <w:jc w:val="center"/>
            </w:pPr>
          </w:p>
        </w:tc>
        <w:tc>
          <w:tcPr>
            <w:tcW w:w="8563" w:type="dxa"/>
            <w:gridSpan w:val="4"/>
            <w:tcBorders>
              <w:top w:val="single" w:sz="4" w:space="0" w:color="D9D9D9"/>
              <w:left w:val="single" w:sz="4" w:space="0" w:color="D9D9D9"/>
              <w:bottom w:val="single" w:sz="4" w:space="0" w:color="D9D9D9"/>
              <w:right w:val="single" w:sz="4" w:space="0" w:color="D9D9D9"/>
            </w:tcBorders>
            <w:shd w:val="clear" w:color="auto" w:fill="auto"/>
            <w:tcMar>
              <w:top w:w="0" w:type="dxa"/>
              <w:left w:w="108" w:type="dxa"/>
              <w:bottom w:w="0" w:type="dxa"/>
              <w:right w:w="108" w:type="dxa"/>
            </w:tcMar>
          </w:tcPr>
          <w:p w:rsidR="00B15754" w:rsidRDefault="00402B1F" w:rsidP="00CE3371">
            <w:r w:rsidRPr="00402B1F">
              <w:rPr>
                <w:color w:val="808080"/>
              </w:rPr>
              <w:t xml:space="preserve">The author of </w:t>
            </w:r>
            <w:r w:rsidRPr="00402B1F">
              <w:rPr>
                <w:i/>
                <w:iCs/>
                <w:color w:val="808080"/>
              </w:rPr>
              <w:t xml:space="preserve">Anarchism and the Crisis of Representation: Hermeneutics, Aesthetics, Politics </w:t>
            </w:r>
            <w:r w:rsidRPr="00402B1F">
              <w:rPr>
                <w:color w:val="808080"/>
              </w:rPr>
              <w:t xml:space="preserve">(2006) and </w:t>
            </w:r>
            <w:r w:rsidRPr="00402B1F">
              <w:rPr>
                <w:i/>
                <w:iCs/>
                <w:color w:val="808080"/>
              </w:rPr>
              <w:t xml:space="preserve">Underground Passages: Anarchist Resistance Culture, 1848-2011 </w:t>
            </w:r>
            <w:r w:rsidRPr="00402B1F">
              <w:rPr>
                <w:color w:val="808080"/>
              </w:rPr>
              <w:t>(201</w:t>
            </w:r>
            <w:r w:rsidR="00CE3371">
              <w:rPr>
                <w:color w:val="808080"/>
              </w:rPr>
              <w:t>5</w:t>
            </w:r>
            <w:r w:rsidRPr="00402B1F">
              <w:rPr>
                <w:color w:val="808080"/>
              </w:rPr>
              <w:t>), Jesse Cohn is an Associate Professor of English living in Northwest Indiana.</w:t>
            </w:r>
          </w:p>
        </w:tc>
      </w:tr>
      <w:tr w:rsidR="00B15754">
        <w:tblPrEx>
          <w:tblCellMar>
            <w:top w:w="0" w:type="dxa"/>
            <w:bottom w:w="0" w:type="dxa"/>
          </w:tblCellMar>
        </w:tblPrEx>
        <w:trPr>
          <w:trHeight w:val="986"/>
        </w:trPr>
        <w:tc>
          <w:tcPr>
            <w:tcW w:w="497" w:type="dxa"/>
            <w:vMerge/>
            <w:tcBorders>
              <w:top w:val="single" w:sz="4" w:space="0" w:color="D9D9D9"/>
              <w:left w:val="single" w:sz="4" w:space="0" w:color="D9D9D9"/>
              <w:bottom w:val="single" w:sz="4" w:space="0" w:color="D9D9D9"/>
              <w:right w:val="single" w:sz="4" w:space="0" w:color="D9D9D9"/>
            </w:tcBorders>
            <w:shd w:val="clear" w:color="auto" w:fill="A6A6A6"/>
            <w:tcMar>
              <w:top w:w="0" w:type="dxa"/>
              <w:left w:w="108" w:type="dxa"/>
              <w:bottom w:w="0" w:type="dxa"/>
              <w:right w:w="108" w:type="dxa"/>
            </w:tcMar>
          </w:tcPr>
          <w:p w:rsidR="00B15754" w:rsidRDefault="00B15754">
            <w:pPr>
              <w:jc w:val="center"/>
            </w:pPr>
          </w:p>
        </w:tc>
        <w:tc>
          <w:tcPr>
            <w:tcW w:w="8563" w:type="dxa"/>
            <w:gridSpan w:val="4"/>
            <w:tcBorders>
              <w:top w:val="single" w:sz="4" w:space="0" w:color="D9D9D9"/>
              <w:left w:val="single" w:sz="4" w:space="0" w:color="D9D9D9"/>
              <w:bottom w:val="single" w:sz="4" w:space="0" w:color="D9D9D9"/>
              <w:right w:val="single" w:sz="4" w:space="0" w:color="D9D9D9"/>
            </w:tcBorders>
            <w:shd w:val="clear" w:color="auto" w:fill="auto"/>
            <w:tcMar>
              <w:top w:w="0" w:type="dxa"/>
              <w:left w:w="108" w:type="dxa"/>
              <w:bottom w:w="0" w:type="dxa"/>
              <w:right w:w="108" w:type="dxa"/>
            </w:tcMar>
          </w:tcPr>
          <w:p w:rsidR="00B15754" w:rsidRDefault="00CE3371">
            <w:r w:rsidRPr="00CE3371">
              <w:rPr>
                <w:color w:val="808080"/>
              </w:rPr>
              <w:t>Purdue University North Central</w:t>
            </w:r>
          </w:p>
        </w:tc>
      </w:tr>
    </w:tbl>
    <w:p w:rsidR="00B15754" w:rsidRDefault="00B15754"/>
    <w:tbl>
      <w:tblPr>
        <w:tblW w:w="0" w:type="auto"/>
        <w:tblInd w:w="-108" w:type="dxa"/>
        <w:tblBorders>
          <w:top w:val="single" w:sz="4" w:space="0" w:color="D9D9D9"/>
          <w:left w:val="single" w:sz="4" w:space="0" w:color="D9D9D9"/>
          <w:bottom w:val="single" w:sz="4" w:space="0" w:color="D9D9D9"/>
          <w:right w:val="single" w:sz="4" w:space="0" w:color="D9D9D9"/>
        </w:tblBorders>
        <w:tblCellMar>
          <w:left w:w="10" w:type="dxa"/>
          <w:right w:w="10" w:type="dxa"/>
        </w:tblCellMar>
        <w:tblLook w:val="0000" w:firstRow="0" w:lastRow="0" w:firstColumn="0" w:lastColumn="0" w:noHBand="0" w:noVBand="0"/>
      </w:tblPr>
      <w:tblGrid>
        <w:gridCol w:w="9016"/>
      </w:tblGrid>
      <w:tr w:rsidR="00B15754">
        <w:tblPrEx>
          <w:tblCellMar>
            <w:top w:w="0" w:type="dxa"/>
            <w:bottom w:w="0" w:type="dxa"/>
          </w:tblCellMar>
        </w:tblPrEx>
        <w:tc>
          <w:tcPr>
            <w:tcW w:w="9016" w:type="dxa"/>
            <w:tcBorders>
              <w:top w:val="single" w:sz="4" w:space="0" w:color="D9D9D9"/>
              <w:left w:val="single" w:sz="4" w:space="0" w:color="D9D9D9"/>
              <w:bottom w:val="single" w:sz="4" w:space="0" w:color="D9D9D9"/>
              <w:right w:val="single" w:sz="4" w:space="0" w:color="D9D9D9"/>
            </w:tcBorders>
            <w:shd w:val="clear" w:color="auto" w:fill="A6A6A6"/>
            <w:tcMar>
              <w:top w:w="0" w:type="dxa"/>
              <w:left w:w="108" w:type="dxa"/>
              <w:bottom w:w="0" w:type="dxa"/>
              <w:right w:w="108" w:type="dxa"/>
            </w:tcMar>
          </w:tcPr>
          <w:p w:rsidR="00B15754" w:rsidRDefault="00765E61">
            <w:pPr>
              <w:jc w:val="center"/>
            </w:pPr>
            <w:r>
              <w:rPr>
                <w:b/>
                <w:color w:val="FFFFFF"/>
              </w:rPr>
              <w:t>Your article</w:t>
            </w:r>
          </w:p>
        </w:tc>
      </w:tr>
      <w:tr w:rsidR="00B15754">
        <w:tblPrEx>
          <w:tblCellMar>
            <w:top w:w="0" w:type="dxa"/>
            <w:bottom w:w="0" w:type="dxa"/>
          </w:tblCellMar>
        </w:tblPrEx>
        <w:tc>
          <w:tcPr>
            <w:tcW w:w="9016" w:type="dxa"/>
            <w:tcBorders>
              <w:top w:val="single" w:sz="4" w:space="0" w:color="D9D9D9"/>
              <w:left w:val="single" w:sz="4" w:space="0" w:color="D9D9D9"/>
              <w:bottom w:val="single" w:sz="4" w:space="0" w:color="D9D9D9"/>
              <w:right w:val="single" w:sz="4" w:space="0" w:color="D9D9D9"/>
            </w:tcBorders>
            <w:shd w:val="clear" w:color="auto" w:fill="auto"/>
            <w:tcMar>
              <w:top w:w="0" w:type="dxa"/>
              <w:left w:w="108" w:type="dxa"/>
              <w:bottom w:w="0" w:type="dxa"/>
              <w:right w:w="108" w:type="dxa"/>
            </w:tcMar>
          </w:tcPr>
          <w:p w:rsidR="00B15754" w:rsidRDefault="00CE3371">
            <w:r>
              <w:rPr>
                <w:b/>
                <w:color w:val="808080"/>
              </w:rPr>
              <w:t>Marsden, Dora</w:t>
            </w:r>
          </w:p>
        </w:tc>
      </w:tr>
      <w:tr w:rsidR="00B15754">
        <w:tblPrEx>
          <w:tblCellMar>
            <w:top w:w="0" w:type="dxa"/>
            <w:bottom w:w="0" w:type="dxa"/>
          </w:tblCellMar>
        </w:tblPrEx>
        <w:tc>
          <w:tcPr>
            <w:tcW w:w="9016" w:type="dxa"/>
            <w:tcBorders>
              <w:top w:val="single" w:sz="4" w:space="0" w:color="D9D9D9"/>
              <w:left w:val="single" w:sz="4" w:space="0" w:color="D9D9D9"/>
              <w:bottom w:val="single" w:sz="4" w:space="0" w:color="D9D9D9"/>
              <w:right w:val="single" w:sz="4" w:space="0" w:color="D9D9D9"/>
            </w:tcBorders>
            <w:shd w:val="clear" w:color="auto" w:fill="auto"/>
            <w:tcMar>
              <w:top w:w="0" w:type="dxa"/>
              <w:left w:w="108" w:type="dxa"/>
              <w:bottom w:w="0" w:type="dxa"/>
              <w:right w:w="108" w:type="dxa"/>
            </w:tcMar>
          </w:tcPr>
          <w:p w:rsidR="00B15754" w:rsidRDefault="00765E61">
            <w:r>
              <w:rPr>
                <w:rStyle w:val="PlaceholderText"/>
                <w:b/>
              </w:rPr>
              <w:t xml:space="preserve">[Enter any </w:t>
            </w:r>
            <w:r>
              <w:rPr>
                <w:rStyle w:val="PlaceholderText"/>
                <w:b/>
                <w:i/>
              </w:rPr>
              <w:t>variant forms</w:t>
            </w:r>
            <w:r>
              <w:rPr>
                <w:rStyle w:val="PlaceholderText"/>
                <w:b/>
              </w:rPr>
              <w:t xml:space="preserve"> of your headword – OPTIONAL]</w:t>
            </w:r>
          </w:p>
        </w:tc>
      </w:tr>
      <w:tr w:rsidR="00B15754">
        <w:tblPrEx>
          <w:tblCellMar>
            <w:top w:w="0" w:type="dxa"/>
            <w:bottom w:w="0" w:type="dxa"/>
          </w:tblCellMar>
        </w:tblPrEx>
        <w:tc>
          <w:tcPr>
            <w:tcW w:w="9016" w:type="dxa"/>
            <w:tcBorders>
              <w:top w:val="single" w:sz="4" w:space="0" w:color="D9D9D9"/>
              <w:left w:val="single" w:sz="4" w:space="0" w:color="D9D9D9"/>
              <w:bottom w:val="single" w:sz="4" w:space="0" w:color="D9D9D9"/>
              <w:right w:val="single" w:sz="4" w:space="0" w:color="D9D9D9"/>
            </w:tcBorders>
            <w:shd w:val="clear" w:color="auto" w:fill="auto"/>
            <w:tcMar>
              <w:top w:w="0" w:type="dxa"/>
              <w:left w:w="108" w:type="dxa"/>
              <w:bottom w:w="0" w:type="dxa"/>
              <w:right w:w="108" w:type="dxa"/>
            </w:tcMar>
          </w:tcPr>
          <w:p w:rsidR="00B15754" w:rsidRDefault="00CE3371">
            <w:r w:rsidRPr="00CE3371">
              <w:rPr>
                <w:color w:val="808080"/>
              </w:rPr>
              <w:t>Dora Marsden significantly influenced the aesthetics of Anglo-American modernism, largely through her creation of a series of journals.</w:t>
            </w:r>
          </w:p>
        </w:tc>
      </w:tr>
      <w:tr w:rsidR="00B15754">
        <w:tblPrEx>
          <w:tblCellMar>
            <w:top w:w="0" w:type="dxa"/>
            <w:bottom w:w="0" w:type="dxa"/>
          </w:tblCellMar>
        </w:tblPrEx>
        <w:tc>
          <w:tcPr>
            <w:tcW w:w="9016" w:type="dxa"/>
            <w:tcBorders>
              <w:top w:val="single" w:sz="4" w:space="0" w:color="D9D9D9"/>
              <w:left w:val="single" w:sz="4" w:space="0" w:color="D9D9D9"/>
              <w:bottom w:val="single" w:sz="4" w:space="0" w:color="D9D9D9"/>
              <w:right w:val="single" w:sz="4" w:space="0" w:color="D9D9D9"/>
            </w:tcBorders>
            <w:shd w:val="clear" w:color="auto" w:fill="auto"/>
            <w:tcMar>
              <w:top w:w="0" w:type="dxa"/>
              <w:left w:w="108" w:type="dxa"/>
              <w:bottom w:w="0" w:type="dxa"/>
              <w:right w:w="108" w:type="dxa"/>
            </w:tcMar>
          </w:tcPr>
          <w:p w:rsidR="00CE3371" w:rsidRPr="00CE3371" w:rsidRDefault="00CE3371" w:rsidP="00CE3371">
            <w:pPr>
              <w:rPr>
                <w:rStyle w:val="PlaceholderText"/>
              </w:rPr>
            </w:pPr>
            <w:r w:rsidRPr="00CE3371">
              <w:rPr>
                <w:rStyle w:val="PlaceholderText"/>
              </w:rPr>
              <w:t xml:space="preserve">Dora Marsden (March 5, 1882 – December 13, 1960) is one of the women who, when remembered at all, are remembered as “midwives” to modernism; as the founding editor of a series of influential journals, beginning with </w:t>
            </w:r>
            <w:hyperlink r:id="rId7" w:history="1">
              <w:r w:rsidRPr="00CE3371">
                <w:rPr>
                  <w:rStyle w:val="Hyperlink"/>
                  <w:i/>
                </w:rPr>
                <w:t>The Freewoman</w:t>
              </w:r>
            </w:hyperlink>
            <w:r w:rsidRPr="00CE3371">
              <w:rPr>
                <w:rStyle w:val="PlaceholderText"/>
              </w:rPr>
              <w:t xml:space="preserve"> in 1911 and ending with </w:t>
            </w:r>
            <w:hyperlink r:id="rId8" w:history="1">
              <w:r w:rsidRPr="00CE3371">
                <w:rPr>
                  <w:rStyle w:val="Hyperlink"/>
                  <w:i/>
                </w:rPr>
                <w:t>The Egoist</w:t>
              </w:r>
            </w:hyperlink>
            <w:r w:rsidRPr="00CE3371">
              <w:rPr>
                <w:rStyle w:val="PlaceholderText"/>
              </w:rPr>
              <w:t xml:space="preserve"> in 1919, she did importantly play impresario to male figures such as Pound, Joyce, Eliot, William Carlos Williams, and Wyndham Lewis, albeit increasingly margin</w:t>
            </w:r>
            <w:bookmarkStart w:id="0" w:name="_GoBack"/>
            <w:bookmarkEnd w:id="0"/>
            <w:r w:rsidRPr="00CE3371">
              <w:rPr>
                <w:rStyle w:val="PlaceholderText"/>
              </w:rPr>
              <w:t>alised by the 1920s (West 577). Her connections to female modernists such as Rebecca West and H.D. have only begun to be explored, and her specific contributions to modernist aesthetics, often neglected even in feminist literary historiography, may have eluded later scholars for a number of reasons.</w:t>
            </w:r>
          </w:p>
          <w:p w:rsidR="00CE3371" w:rsidRDefault="00CE3371" w:rsidP="00365791">
            <w:pPr>
              <w:rPr>
                <w:rStyle w:val="PlaceholderText"/>
              </w:rPr>
            </w:pPr>
            <w:r w:rsidRPr="00CE3371">
              <w:rPr>
                <w:rStyle w:val="PlaceholderText"/>
              </w:rPr>
              <w:t xml:space="preserve">Trained as a teacher, Marsden began her public life as a militant in the Pankhursts’ Women’s Social and Political Union (WSPU) ca. 1909-1911, but chafed at the limitations of suffragism and clashed with its leadership, whom she later accused of “reduc[ing] it to a ‘cause,’ a fixed idea, stationaryness and consequent stagnation […] The ‘Women's Movement’ is the ‘Women's Halt’” (“Views and Comments” 203). Drawing inspiration from the radical scepticism and nominalism of Max Stirner’s </w:t>
            </w:r>
            <w:r w:rsidRPr="00CE3371">
              <w:rPr>
                <w:rStyle w:val="PlaceholderText"/>
                <w:i/>
              </w:rPr>
              <w:t>Der Einzige und sein Eigenthum</w:t>
            </w:r>
            <w:r>
              <w:rPr>
                <w:rStyle w:val="PlaceholderText"/>
              </w:rPr>
              <w:t xml:space="preserve"> (1844), freshly translated into English in 1907</w:t>
            </w:r>
            <w:r w:rsidR="00E36D40">
              <w:rPr>
                <w:rStyle w:val="PlaceholderText"/>
              </w:rPr>
              <w:t xml:space="preserve">, </w:t>
            </w:r>
            <w:r w:rsidR="00AC6903">
              <w:rPr>
                <w:rStyle w:val="PlaceholderText"/>
              </w:rPr>
              <w:t xml:space="preserve">as well as Bergson, </w:t>
            </w:r>
            <w:r w:rsidR="00E36D40">
              <w:rPr>
                <w:rStyle w:val="PlaceholderText"/>
              </w:rPr>
              <w:t xml:space="preserve">she redefined herself as </w:t>
            </w:r>
            <w:r w:rsidR="00365791">
              <w:rPr>
                <w:rStyle w:val="PlaceholderText"/>
              </w:rPr>
              <w:t xml:space="preserve">a “freewoman,” then an “egoist,” and subsequently – trumping her anarchist interlocutor, Benjamin R. Tucker – an “Archist”: “What I want is </w:t>
            </w:r>
            <w:r w:rsidR="00365791" w:rsidRPr="00365791">
              <w:rPr>
                <w:rStyle w:val="PlaceholderText"/>
                <w:i/>
              </w:rPr>
              <w:t>my</w:t>
            </w:r>
            <w:r w:rsidR="00365791">
              <w:rPr>
                <w:rStyle w:val="PlaceholderText"/>
              </w:rPr>
              <w:t xml:space="preserve"> state: </w:t>
            </w:r>
            <w:r w:rsidR="00365791" w:rsidRPr="00365791">
              <w:rPr>
                <w:rStyle w:val="PlaceholderText"/>
              </w:rPr>
              <w:t>The world should be moulded to my desire if I</w:t>
            </w:r>
            <w:r w:rsidR="00365791">
              <w:rPr>
                <w:rStyle w:val="PlaceholderText"/>
              </w:rPr>
              <w:t xml:space="preserve"> could so mould it” (“The Illusion of Anarchism” 343).</w:t>
            </w:r>
          </w:p>
          <w:p w:rsidR="00AC6903" w:rsidRPr="00D12E1B" w:rsidRDefault="00365791" w:rsidP="00D12E1B">
            <w:pPr>
              <w:rPr>
                <w:color w:val="808080"/>
              </w:rPr>
            </w:pPr>
            <w:r>
              <w:rPr>
                <w:rStyle w:val="PlaceholderText"/>
              </w:rPr>
              <w:t xml:space="preserve">Her essays for </w:t>
            </w:r>
            <w:hyperlink r:id="rId9" w:history="1">
              <w:r w:rsidRPr="00D12E1B">
                <w:rPr>
                  <w:rStyle w:val="Hyperlink"/>
                  <w:i/>
                </w:rPr>
                <w:t>The New Freewoman</w:t>
              </w:r>
            </w:hyperlink>
            <w:r>
              <w:rPr>
                <w:rStyle w:val="PlaceholderText"/>
              </w:rPr>
              <w:t xml:space="preserve"> are especially striking, particularly when read in connection with </w:t>
            </w:r>
            <w:r w:rsidR="00475AB4">
              <w:rPr>
                <w:rStyle w:val="PlaceholderText"/>
              </w:rPr>
              <w:t>the poetics developed by Pound and Williams. From Stirner’s assault on German idealism, Marsden distilled a powerful attack on abstract “ideas” and “signs”: “</w:t>
            </w:r>
            <w:r w:rsidR="00AC6903" w:rsidRPr="00AC6903">
              <w:rPr>
                <w:color w:val="808080"/>
                <w:lang w:val="en-US"/>
              </w:rPr>
              <w:t>They are made up of misty thought-waste</w:t>
            </w:r>
            <w:r w:rsidR="00475AB4">
              <w:rPr>
                <w:color w:val="808080"/>
                <w:lang w:val="en-US"/>
              </w:rPr>
              <w:t xml:space="preserve"> […] </w:t>
            </w:r>
            <w:r w:rsidR="00AC6903" w:rsidRPr="00AC6903">
              <w:rPr>
                <w:color w:val="808080"/>
                <w:lang w:val="en-US"/>
              </w:rPr>
              <w:t>bound together and made to look tidy by attaching an ap</w:t>
            </w:r>
            <w:r w:rsidR="00475AB4">
              <w:rPr>
                <w:color w:val="808080"/>
                <w:lang w:val="en-US"/>
              </w:rPr>
              <w:t xml:space="preserve">pellation-label, i.e., a sign. </w:t>
            </w:r>
            <w:r w:rsidR="00AC6903" w:rsidRPr="00AC6903">
              <w:rPr>
                <w:color w:val="808080"/>
                <w:lang w:val="en-US"/>
              </w:rPr>
              <w:t>It is the tidines</w:t>
            </w:r>
            <w:r w:rsidR="00475AB4">
              <w:rPr>
                <w:color w:val="808080"/>
                <w:lang w:val="en-US"/>
              </w:rPr>
              <w:t xml:space="preserve">s of the sign which misleads. </w:t>
            </w:r>
            <w:r w:rsidR="00AC6903" w:rsidRPr="00AC6903">
              <w:rPr>
                <w:color w:val="808080"/>
                <w:lang w:val="en-US"/>
              </w:rPr>
              <w:t>It is like a marmalade label caref</w:t>
            </w:r>
            <w:r w:rsidR="00475AB4">
              <w:rPr>
                <w:color w:val="808080"/>
                <w:lang w:val="en-US"/>
              </w:rPr>
              <w:t xml:space="preserve">ully attached to an empty jar. </w:t>
            </w:r>
            <w:r w:rsidR="00AC6903" w:rsidRPr="00AC6903">
              <w:rPr>
                <w:color w:val="808080"/>
                <w:lang w:val="en-US"/>
              </w:rPr>
              <w:t>Remove the label, and the confusion vanishes</w:t>
            </w:r>
            <w:r w:rsidR="00AC6903">
              <w:rPr>
                <w:rStyle w:val="PlaceholderText"/>
              </w:rPr>
              <w:t>”</w:t>
            </w:r>
            <w:r w:rsidR="00475AB4">
              <w:rPr>
                <w:rStyle w:val="PlaceholderText"/>
              </w:rPr>
              <w:t xml:space="preserve"> (“Views and Comments” 204). As Robert von Hallberg comments, “</w:t>
            </w:r>
            <w:r w:rsidR="00475AB4" w:rsidRPr="00475AB4">
              <w:rPr>
                <w:color w:val="808080"/>
                <w:lang w:val="en-US"/>
              </w:rPr>
              <w:t>One can readily see that the poetics of this antiliberalism would encourage a numbering of the streaks of the tulip, details stripped of the discursive apparatus that facilitates generalization</w:t>
            </w:r>
            <w:r w:rsidR="00475AB4">
              <w:rPr>
                <w:rStyle w:val="PlaceholderText"/>
              </w:rPr>
              <w:t xml:space="preserve">” (65). </w:t>
            </w:r>
            <w:r w:rsidR="00D12E1B">
              <w:rPr>
                <w:rStyle w:val="PlaceholderText"/>
              </w:rPr>
              <w:t xml:space="preserve">David Kadlec also chronicles the influence of Marsden’s vitalist attacks on “The Chastity of Women” (in </w:t>
            </w:r>
            <w:r w:rsidR="00D12E1B">
              <w:rPr>
                <w:rStyle w:val="PlaceholderText"/>
                <w:i/>
              </w:rPr>
              <w:t>The Egoist</w:t>
            </w:r>
            <w:r w:rsidR="00D12E1B">
              <w:rPr>
                <w:rStyle w:val="PlaceholderText"/>
              </w:rPr>
              <w:t>, 1914) on Joyce (Kadlec 97-101).</w:t>
            </w:r>
          </w:p>
        </w:tc>
      </w:tr>
      <w:tr w:rsidR="00B15754">
        <w:tblPrEx>
          <w:tblCellMar>
            <w:top w:w="0" w:type="dxa"/>
            <w:bottom w:w="0" w:type="dxa"/>
          </w:tblCellMar>
        </w:tblPrEx>
        <w:tc>
          <w:tcPr>
            <w:tcW w:w="9016" w:type="dxa"/>
            <w:tcBorders>
              <w:top w:val="single" w:sz="4" w:space="0" w:color="D9D9D9"/>
              <w:left w:val="single" w:sz="4" w:space="0" w:color="D9D9D9"/>
              <w:bottom w:val="single" w:sz="4" w:space="0" w:color="D9D9D9"/>
              <w:right w:val="single" w:sz="4" w:space="0" w:color="D9D9D9"/>
            </w:tcBorders>
            <w:shd w:val="clear" w:color="auto" w:fill="auto"/>
            <w:tcMar>
              <w:top w:w="0" w:type="dxa"/>
              <w:left w:w="108" w:type="dxa"/>
              <w:bottom w:w="0" w:type="dxa"/>
              <w:right w:w="108" w:type="dxa"/>
            </w:tcMar>
          </w:tcPr>
          <w:p w:rsidR="00B15754" w:rsidRDefault="00765E61">
            <w:r>
              <w:rPr>
                <w:u w:val="single"/>
              </w:rPr>
              <w:lastRenderedPageBreak/>
              <w:t>Further reading</w:t>
            </w:r>
            <w:r>
              <w:t>:</w:t>
            </w:r>
          </w:p>
          <w:p w:rsidR="00CE3371" w:rsidRDefault="00E36D40" w:rsidP="00CE3371">
            <w:pPr>
              <w:ind w:left="715" w:hanging="715"/>
              <w:rPr>
                <w:color w:val="808080"/>
              </w:rPr>
            </w:pPr>
            <w:r w:rsidRPr="00E36D40">
              <w:rPr>
                <w:color w:val="808080"/>
              </w:rPr>
              <w:t xml:space="preserve">Clarke, Bruce. </w:t>
            </w:r>
            <w:r w:rsidRPr="00E36D40">
              <w:rPr>
                <w:i/>
                <w:iCs/>
                <w:color w:val="808080"/>
              </w:rPr>
              <w:t>Dora Marsden and Early Modernism: Gender, Individualism, Science</w:t>
            </w:r>
            <w:r w:rsidRPr="00E36D40">
              <w:rPr>
                <w:color w:val="808080"/>
              </w:rPr>
              <w:t>. Ann Arbor: University of Michigan Press, 1995. Print.</w:t>
            </w:r>
          </w:p>
          <w:p w:rsidR="00D12E1B" w:rsidRDefault="00D12E1B" w:rsidP="00CE3371">
            <w:pPr>
              <w:ind w:left="715" w:hanging="715"/>
              <w:rPr>
                <w:rStyle w:val="PlaceholderText"/>
              </w:rPr>
            </w:pPr>
            <w:r w:rsidRPr="00D12E1B">
              <w:rPr>
                <w:color w:val="808080"/>
              </w:rPr>
              <w:t xml:space="preserve">Kadlec, David. </w:t>
            </w:r>
            <w:r w:rsidRPr="00D12E1B">
              <w:rPr>
                <w:i/>
                <w:iCs/>
                <w:color w:val="808080"/>
              </w:rPr>
              <w:t>Mosaic Modernism: Anarchism, Pragmatism, Culture</w:t>
            </w:r>
            <w:r>
              <w:rPr>
                <w:color w:val="808080"/>
              </w:rPr>
              <w:t>. Baltimore</w:t>
            </w:r>
            <w:r w:rsidRPr="00D12E1B">
              <w:rPr>
                <w:color w:val="808080"/>
              </w:rPr>
              <w:t>: Johns Hopkins Univ</w:t>
            </w:r>
            <w:r>
              <w:rPr>
                <w:color w:val="808080"/>
              </w:rPr>
              <w:t>ersity</w:t>
            </w:r>
            <w:r w:rsidRPr="00D12E1B">
              <w:rPr>
                <w:color w:val="808080"/>
              </w:rPr>
              <w:t xml:space="preserve"> Press, 2000. Print.</w:t>
            </w:r>
          </w:p>
          <w:p w:rsidR="00D12E1B" w:rsidRDefault="00CE3371" w:rsidP="00CE3371">
            <w:pPr>
              <w:ind w:left="715" w:hanging="715"/>
              <w:rPr>
                <w:rStyle w:val="PlaceholderText"/>
              </w:rPr>
            </w:pPr>
            <w:r>
              <w:rPr>
                <w:rStyle w:val="PlaceholderText"/>
              </w:rPr>
              <w:t xml:space="preserve">Marsden, Dora. </w:t>
            </w:r>
            <w:r w:rsidR="00D12E1B">
              <w:rPr>
                <w:rStyle w:val="PlaceholderText"/>
              </w:rPr>
              <w:t xml:space="preserve">“The </w:t>
            </w:r>
            <w:r w:rsidR="00D12E1B" w:rsidRPr="00D12E1B">
              <w:rPr>
                <w:rStyle w:val="PlaceholderText"/>
              </w:rPr>
              <w:t>Chastity of Women</w:t>
            </w:r>
            <w:r w:rsidR="00D12E1B">
              <w:rPr>
                <w:rStyle w:val="PlaceholderText"/>
              </w:rPr>
              <w:t>.</w:t>
            </w:r>
            <w:r w:rsidR="00D12E1B" w:rsidRPr="00D12E1B">
              <w:rPr>
                <w:rStyle w:val="PlaceholderText"/>
              </w:rPr>
              <w:t xml:space="preserve">” </w:t>
            </w:r>
            <w:r w:rsidR="00D12E1B" w:rsidRPr="00D12E1B">
              <w:rPr>
                <w:rStyle w:val="PlaceholderText"/>
                <w:i/>
              </w:rPr>
              <w:t>The Egoist</w:t>
            </w:r>
            <w:r w:rsidR="00D12E1B">
              <w:rPr>
                <w:rStyle w:val="PlaceholderText"/>
                <w:i/>
              </w:rPr>
              <w:t>: An Individualist Review</w:t>
            </w:r>
            <w:r w:rsidR="00D12E1B">
              <w:rPr>
                <w:rStyle w:val="PlaceholderText"/>
              </w:rPr>
              <w:t xml:space="preserve"> 1.3 (Feb. </w:t>
            </w:r>
            <w:r w:rsidR="00D12E1B" w:rsidRPr="00D12E1B">
              <w:rPr>
                <w:rStyle w:val="PlaceholderText"/>
              </w:rPr>
              <w:t>2, 1914</w:t>
            </w:r>
            <w:r w:rsidR="00D12E1B">
              <w:rPr>
                <w:rStyle w:val="PlaceholderText"/>
              </w:rPr>
              <w:t>)</w:t>
            </w:r>
            <w:r w:rsidR="00D12E1B" w:rsidRPr="00D12E1B">
              <w:rPr>
                <w:rStyle w:val="PlaceholderText"/>
              </w:rPr>
              <w:t>: 44</w:t>
            </w:r>
            <w:r w:rsidR="00D12E1B">
              <w:rPr>
                <w:rStyle w:val="PlaceholderText"/>
              </w:rPr>
              <w:t>-6.</w:t>
            </w:r>
          </w:p>
          <w:p w:rsidR="00365791" w:rsidRPr="00365791" w:rsidRDefault="00D12E1B" w:rsidP="00CE3371">
            <w:pPr>
              <w:ind w:left="715" w:hanging="715"/>
              <w:rPr>
                <w:rStyle w:val="PlaceholderText"/>
              </w:rPr>
            </w:pPr>
            <w:r>
              <w:rPr>
                <w:rStyle w:val="PlaceholderText"/>
              </w:rPr>
              <w:t xml:space="preserve">- - - . </w:t>
            </w:r>
            <w:r w:rsidR="00365791">
              <w:rPr>
                <w:rStyle w:val="PlaceholderText"/>
              </w:rPr>
              <w:t xml:space="preserve">“The Illusion of Anarchism.” </w:t>
            </w:r>
            <w:r w:rsidR="00365791">
              <w:rPr>
                <w:rStyle w:val="PlaceholderText"/>
                <w:i/>
              </w:rPr>
              <w:t>The Egoist: An Individualist Review</w:t>
            </w:r>
            <w:r w:rsidR="00365791">
              <w:rPr>
                <w:rStyle w:val="PlaceholderText"/>
              </w:rPr>
              <w:t xml:space="preserve"> 1.18 (Sept. 15, 1914): 341-44. Print.</w:t>
            </w:r>
          </w:p>
          <w:p w:rsidR="00B15754" w:rsidRDefault="00365791" w:rsidP="00CE3371">
            <w:pPr>
              <w:ind w:left="715" w:hanging="715"/>
              <w:rPr>
                <w:rStyle w:val="PlaceholderText"/>
              </w:rPr>
            </w:pPr>
            <w:r>
              <w:rPr>
                <w:rStyle w:val="PlaceholderText"/>
              </w:rPr>
              <w:t xml:space="preserve">- - - . </w:t>
            </w:r>
            <w:r w:rsidR="00CE3371">
              <w:rPr>
                <w:rStyle w:val="PlaceholderText"/>
              </w:rPr>
              <w:t xml:space="preserve">“Views and Comments.” </w:t>
            </w:r>
            <w:r w:rsidR="00CE3371">
              <w:rPr>
                <w:rStyle w:val="PlaceholderText"/>
                <w:i/>
              </w:rPr>
              <w:t>The New Freewoman: An Individualist Review</w:t>
            </w:r>
            <w:r w:rsidR="00CE3371">
              <w:rPr>
                <w:rStyle w:val="PlaceholderText"/>
              </w:rPr>
              <w:t xml:space="preserve"> 1.11 (Nov. 15, 1913): 203</w:t>
            </w:r>
            <w:r>
              <w:rPr>
                <w:rStyle w:val="PlaceholderText"/>
              </w:rPr>
              <w:t>-</w:t>
            </w:r>
            <w:r w:rsidR="00CE3371">
              <w:rPr>
                <w:rStyle w:val="PlaceholderText"/>
              </w:rPr>
              <w:t>5.</w:t>
            </w:r>
            <w:r>
              <w:rPr>
                <w:rStyle w:val="PlaceholderText"/>
              </w:rPr>
              <w:t xml:space="preserve"> Print.</w:t>
            </w:r>
          </w:p>
          <w:p w:rsidR="00CE3371" w:rsidRDefault="00CE3371" w:rsidP="00CE3371">
            <w:pPr>
              <w:ind w:left="715" w:hanging="715"/>
              <w:rPr>
                <w:rStyle w:val="PlaceholderText"/>
              </w:rPr>
            </w:pPr>
            <w:r>
              <w:rPr>
                <w:rStyle w:val="PlaceholderText"/>
              </w:rPr>
              <w:t xml:space="preserve">Stirner, Max. </w:t>
            </w:r>
            <w:hyperlink r:id="rId10" w:history="1">
              <w:r w:rsidRPr="00D12E1B">
                <w:rPr>
                  <w:rStyle w:val="Hyperlink"/>
                  <w:i/>
                </w:rPr>
                <w:t>The Ego and His Own</w:t>
              </w:r>
            </w:hyperlink>
            <w:r>
              <w:rPr>
                <w:rStyle w:val="PlaceholderText"/>
              </w:rPr>
              <w:t>. Trans. Steven T. Byington. New York: Benjamin R. Tucker, 1907.</w:t>
            </w:r>
            <w:r w:rsidR="00365791">
              <w:rPr>
                <w:rStyle w:val="PlaceholderText"/>
              </w:rPr>
              <w:t xml:space="preserve"> Print.</w:t>
            </w:r>
          </w:p>
          <w:p w:rsidR="00CE3371" w:rsidRPr="00CE3371" w:rsidRDefault="00CE3371" w:rsidP="00CE3371">
            <w:pPr>
              <w:ind w:left="715" w:hanging="715"/>
            </w:pPr>
            <w:r>
              <w:rPr>
                <w:rStyle w:val="PlaceholderText"/>
              </w:rPr>
              <w:t xml:space="preserve">von Hallberg, Robert. “Libertarian Imagism.” </w:t>
            </w:r>
            <w:r>
              <w:rPr>
                <w:rStyle w:val="PlaceholderText"/>
                <w:i/>
              </w:rPr>
              <w:t xml:space="preserve">Modernism/Modernity </w:t>
            </w:r>
            <w:r>
              <w:rPr>
                <w:rStyle w:val="PlaceholderText"/>
              </w:rPr>
              <w:t>2.2 (April 1995): 63-79.</w:t>
            </w:r>
            <w:r w:rsidR="00365791">
              <w:rPr>
                <w:rStyle w:val="PlaceholderText"/>
              </w:rPr>
              <w:t xml:space="preserve"> Print.</w:t>
            </w:r>
          </w:p>
        </w:tc>
      </w:tr>
    </w:tbl>
    <w:p w:rsidR="00B15754" w:rsidRDefault="00B15754"/>
    <w:sectPr w:rsidR="00B15754">
      <w:headerReference w:type="default" r:id="rId11"/>
      <w:pgSz w:w="11906" w:h="16838"/>
      <w:pgMar w:top="1440" w:right="1440" w:bottom="1440" w:left="1440" w:header="708"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5E61" w:rsidRDefault="00765E61">
      <w:pPr>
        <w:spacing w:after="0" w:line="240" w:lineRule="auto"/>
      </w:pPr>
      <w:r>
        <w:separator/>
      </w:r>
    </w:p>
  </w:endnote>
  <w:endnote w:type="continuationSeparator" w:id="0">
    <w:p w:rsidR="00765E61" w:rsidRDefault="00765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enQuanYi Micro He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ohit Hind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5E61" w:rsidRDefault="00765E61">
      <w:pPr>
        <w:spacing w:after="0" w:line="240" w:lineRule="auto"/>
      </w:pPr>
      <w:r>
        <w:separator/>
      </w:r>
    </w:p>
  </w:footnote>
  <w:footnote w:type="continuationSeparator" w:id="0">
    <w:p w:rsidR="00765E61" w:rsidRDefault="00765E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5754" w:rsidRDefault="00765E61">
    <w:pPr>
      <w:pStyle w:val="Header"/>
    </w:pPr>
    <w:r>
      <w:rPr>
        <w:b/>
        <w:color w:val="7F7F7F"/>
      </w:rPr>
      <w:t>Taylor &amp; Francis</w:t>
    </w:r>
    <w:r>
      <w:rPr>
        <w:color w:val="7F7F7F"/>
      </w:rPr>
      <w:t xml:space="preserve"> – </w:t>
    </w:r>
    <w:r>
      <w:rPr>
        <w:i/>
        <w:color w:val="7F7F7F"/>
      </w:rPr>
      <w:t>Encyclopedia of Modernism</w:t>
    </w:r>
  </w:p>
  <w:p w:rsidR="00B15754" w:rsidRDefault="00B157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E2D0F"/>
    <w:multiLevelType w:val="multilevel"/>
    <w:tmpl w:val="9E14D598"/>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754"/>
    <w:rsid w:val="00365791"/>
    <w:rsid w:val="00402B1F"/>
    <w:rsid w:val="00475AB4"/>
    <w:rsid w:val="00765E61"/>
    <w:rsid w:val="00AC6903"/>
    <w:rsid w:val="00B15754"/>
    <w:rsid w:val="00CE3371"/>
    <w:rsid w:val="00D12E1B"/>
    <w:rsid w:val="00E36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65C0E4-7C91-49B3-8F3D-4AFB0D932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tabs>
        <w:tab w:val="left" w:pos="720"/>
      </w:tabs>
      <w:suppressAutoHyphens/>
      <w:spacing w:line="256" w:lineRule="auto"/>
    </w:pPr>
    <w:rPr>
      <w:rFonts w:ascii="Calibri" w:eastAsia="WenQuanYi Micro Hei" w:hAnsi="Calibri" w:cs="Calibri"/>
      <w:lang w:val="en-GB"/>
    </w:rPr>
  </w:style>
  <w:style w:type="paragraph" w:styleId="Heading1">
    <w:name w:val="heading 1"/>
    <w:basedOn w:val="Normal"/>
    <w:next w:val="Textbody"/>
    <w:pPr>
      <w:keepNext/>
      <w:keepLines/>
      <w:spacing w:after="220"/>
      <w:outlineLvl w:val="0"/>
    </w:pPr>
    <w:rPr>
      <w:rFonts w:ascii="Calibri Light" w:hAnsi="Calibri Light"/>
      <w:b/>
      <w:color w:val="595959"/>
      <w:szCs w:val="32"/>
    </w:rPr>
  </w:style>
  <w:style w:type="paragraph" w:styleId="Heading2">
    <w:name w:val="heading 2"/>
    <w:basedOn w:val="Normal"/>
    <w:next w:val="Textbody"/>
    <w:pPr>
      <w:keepNext/>
      <w:keepLines/>
      <w:numPr>
        <w:ilvl w:val="1"/>
        <w:numId w:val="1"/>
      </w:numPr>
      <w:spacing w:after="220"/>
      <w:ind w:left="113" w:firstLine="0"/>
      <w:outlineLvl w:val="1"/>
    </w:pPr>
    <w:rPr>
      <w:rFonts w:ascii="Calibri Light" w:hAnsi="Calibri Light"/>
      <w:color w:val="404040"/>
      <w:szCs w:val="26"/>
    </w:rPr>
  </w:style>
  <w:style w:type="paragraph" w:styleId="Heading3">
    <w:name w:val="heading 3"/>
    <w:basedOn w:val="Normal"/>
    <w:next w:val="Textbody"/>
    <w:pPr>
      <w:keepNext/>
      <w:keepLines/>
      <w:numPr>
        <w:ilvl w:val="2"/>
        <w:numId w:val="1"/>
      </w:numPr>
      <w:spacing w:after="220"/>
      <w:ind w:left="227" w:firstLine="0"/>
      <w:outlineLvl w:val="2"/>
    </w:pPr>
    <w:rPr>
      <w:rFonts w:ascii="Calibri Light"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Pr>
      <w:color w:val="808080"/>
    </w:rPr>
  </w:style>
  <w:style w:type="character" w:customStyle="1" w:styleId="ListChar">
    <w:name w:val="List Char"/>
    <w:basedOn w:val="DefaultParagraphFont"/>
  </w:style>
  <w:style w:type="character" w:customStyle="1" w:styleId="ReferenceslistChar">
    <w:name w:val="References list Char"/>
    <w:basedOn w:val="ListCha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Heading1Char">
    <w:name w:val="Heading 1 Char"/>
    <w:basedOn w:val="DefaultParagraphFont"/>
    <w:rPr>
      <w:rFonts w:ascii="Calibri Light" w:hAnsi="Calibri Light"/>
      <w:b/>
      <w:color w:val="595959"/>
      <w:szCs w:val="32"/>
    </w:rPr>
  </w:style>
  <w:style w:type="character" w:customStyle="1" w:styleId="Heading2Char">
    <w:name w:val="Heading 2 Char"/>
    <w:basedOn w:val="DefaultParagraphFont"/>
    <w:rPr>
      <w:rFonts w:ascii="Calibri Light" w:hAnsi="Calibri Light"/>
      <w:color w:val="404040"/>
      <w:szCs w:val="26"/>
    </w:rPr>
  </w:style>
  <w:style w:type="character" w:customStyle="1" w:styleId="Heading3Char">
    <w:name w:val="Heading 3 Char"/>
    <w:basedOn w:val="DefaultParagraphFont"/>
    <w:rPr>
      <w:rFonts w:ascii="Calibri Light" w:hAnsi="Calibri Light"/>
      <w:color w:val="404040"/>
      <w:szCs w:val="24"/>
    </w:rPr>
  </w:style>
  <w:style w:type="character" w:customStyle="1" w:styleId="BalloonTextChar">
    <w:name w:val="Balloon Text Char"/>
    <w:basedOn w:val="DefaultParagraphFont"/>
    <w:rPr>
      <w:rFonts w:ascii="Tahoma" w:hAnsi="Tahoma" w:cs="Tahoma"/>
      <w:sz w:val="16"/>
      <w:szCs w:val="16"/>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Normal"/>
    <w:pPr>
      <w:ind w:left="283" w:hanging="283"/>
    </w:pPr>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Referenceslist">
    <w:name w:val="References list"/>
    <w:basedOn w:val="List"/>
  </w:style>
  <w:style w:type="paragraph" w:styleId="Header">
    <w:name w:val="header"/>
    <w:basedOn w:val="Normal"/>
    <w:pPr>
      <w:suppressLineNumbers/>
      <w:tabs>
        <w:tab w:val="center" w:pos="4513"/>
        <w:tab w:val="right" w:pos="9026"/>
      </w:tabs>
      <w:spacing w:after="0" w:line="100" w:lineRule="atLeast"/>
    </w:pPr>
  </w:style>
  <w:style w:type="paragraph" w:styleId="Footer">
    <w:name w:val="footer"/>
    <w:basedOn w:val="Normal"/>
    <w:pPr>
      <w:suppressLineNumbers/>
      <w:tabs>
        <w:tab w:val="center" w:pos="4513"/>
        <w:tab w:val="right" w:pos="9026"/>
      </w:tabs>
      <w:spacing w:after="0" w:line="100" w:lineRule="atLeast"/>
    </w:pPr>
  </w:style>
  <w:style w:type="paragraph" w:customStyle="1" w:styleId="NormalfollowingH2">
    <w:name w:val="Normal following H2"/>
    <w:basedOn w:val="Normal"/>
    <w:pPr>
      <w:ind w:left="113"/>
    </w:pPr>
  </w:style>
  <w:style w:type="paragraph" w:customStyle="1" w:styleId="NormalfollowingH3">
    <w:name w:val="Normal following H3"/>
    <w:basedOn w:val="NormalfollowingH2"/>
    <w:pPr>
      <w:ind w:left="227"/>
    </w:pPr>
  </w:style>
  <w:style w:type="paragraph" w:customStyle="1" w:styleId="Authornote">
    <w:name w:val="Author note"/>
    <w:basedOn w:val="Normal"/>
    <w:pPr>
      <w:spacing w:after="0" w:line="100" w:lineRule="atLeast"/>
      <w:ind w:left="113" w:right="113"/>
    </w:pPr>
    <w:rPr>
      <w:b/>
      <w:color w:val="385623"/>
    </w:rPr>
  </w:style>
  <w:style w:type="paragraph" w:customStyle="1" w:styleId="Blockquote">
    <w:name w:val="Block quote"/>
    <w:basedOn w:val="Normal"/>
    <w:pPr>
      <w:spacing w:after="220" w:line="100" w:lineRule="atLeast"/>
      <w:ind w:left="284"/>
    </w:pPr>
  </w:style>
  <w:style w:type="paragraph" w:styleId="BalloonText">
    <w:name w:val="Balloon Text"/>
    <w:basedOn w:val="Normal"/>
    <w:pPr>
      <w:spacing w:after="0" w:line="100" w:lineRule="atLeast"/>
    </w:pPr>
    <w:rPr>
      <w:rFonts w:ascii="Tahoma" w:hAnsi="Tahoma" w:cs="Tahoma"/>
      <w:sz w:val="16"/>
      <w:szCs w:val="16"/>
    </w:rPr>
  </w:style>
  <w:style w:type="character" w:styleId="Hyperlink">
    <w:name w:val="Hyperlink"/>
    <w:basedOn w:val="DefaultParagraphFont"/>
    <w:uiPriority w:val="99"/>
    <w:unhideWhenUsed/>
    <w:rsid w:val="00CE3371"/>
    <w:rPr>
      <w:color w:val="0563C1" w:themeColor="hyperlink"/>
      <w:u w:val="single"/>
    </w:rPr>
  </w:style>
  <w:style w:type="paragraph" w:styleId="ListParagraph">
    <w:name w:val="List Paragraph"/>
    <w:basedOn w:val="Normal"/>
    <w:uiPriority w:val="34"/>
    <w:qFormat/>
    <w:rsid w:val="003657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modjourn.org/render.php?view=mjp_object&amp;id=EgoistCollec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odjourn.org/render.php?view=mjp_object&amp;id=FreewomanCollec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babel.hathitrust.org/cgi/pt?id=uc2.ark:/13960/t77s7kb2z;view=1up;seq=5" TargetMode="External"/><Relationship Id="rId4" Type="http://schemas.openxmlformats.org/officeDocument/2006/relationships/webSettings" Target="webSettings.xml"/><Relationship Id="rId9" Type="http://schemas.openxmlformats.org/officeDocument/2006/relationships/hyperlink" Target="http://www.modjourn.org/render.php?view=mjp_object&amp;id=NewFreewomanColl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Captain</cp:lastModifiedBy>
  <cp:revision>3</cp:revision>
  <dcterms:created xsi:type="dcterms:W3CDTF">2016-03-17T20:27:00Z</dcterms:created>
  <dcterms:modified xsi:type="dcterms:W3CDTF">2016-03-17T21:32:00Z</dcterms:modified>
</cp:coreProperties>
</file>