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69" w:rsidRPr="003D5969" w:rsidRDefault="003D5969" w:rsidP="00F601D4">
      <w:pPr>
        <w:jc w:val="both"/>
        <w:rPr>
          <w:rFonts w:asciiTheme="majorHAnsi" w:hAnsiTheme="majorHAnsi"/>
          <w:b/>
          <w:color w:val="808080" w:themeColor="background1" w:themeShade="80"/>
          <w:sz w:val="24"/>
          <w:szCs w:val="24"/>
        </w:rPr>
      </w:pPr>
      <w:r>
        <w:rPr>
          <w:rFonts w:asciiTheme="majorHAnsi" w:hAnsiTheme="majorHAnsi"/>
          <w:b/>
          <w:color w:val="808080" w:themeColor="background1" w:themeShade="80"/>
          <w:sz w:val="24"/>
          <w:szCs w:val="24"/>
        </w:rPr>
        <w:t xml:space="preserve">Amanda </w:t>
      </w:r>
      <w:proofErr w:type="spellStart"/>
      <w:r>
        <w:rPr>
          <w:rFonts w:asciiTheme="majorHAnsi" w:hAnsiTheme="majorHAnsi"/>
          <w:b/>
          <w:color w:val="808080" w:themeColor="background1" w:themeShade="80"/>
          <w:sz w:val="24"/>
          <w:szCs w:val="24"/>
        </w:rPr>
        <w:t>Rath</w:t>
      </w:r>
      <w:proofErr w:type="spellEnd"/>
    </w:p>
    <w:p w:rsidR="003D5969" w:rsidRDefault="003D5969" w:rsidP="00F601D4">
      <w:pPr>
        <w:jc w:val="both"/>
        <w:rPr>
          <w:rFonts w:asciiTheme="majorHAnsi" w:hAnsiTheme="majorHAnsi"/>
          <w:b/>
          <w:sz w:val="24"/>
          <w:szCs w:val="24"/>
        </w:rPr>
      </w:pPr>
    </w:p>
    <w:p w:rsidR="001E4496" w:rsidRPr="001E4496" w:rsidRDefault="001E4496" w:rsidP="00F601D4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Sadali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, Ahmad </w:t>
      </w:r>
      <w:r w:rsidR="0096013D" w:rsidRPr="0096013D">
        <w:rPr>
          <w:rFonts w:asciiTheme="majorHAnsi" w:hAnsiTheme="majorHAnsi"/>
          <w:b/>
          <w:sz w:val="24"/>
          <w:szCs w:val="24"/>
        </w:rPr>
        <w:t xml:space="preserve">(1924, </w:t>
      </w:r>
      <w:proofErr w:type="spellStart"/>
      <w:r w:rsidR="0096013D" w:rsidRPr="0096013D">
        <w:rPr>
          <w:rFonts w:asciiTheme="majorHAnsi" w:hAnsiTheme="majorHAnsi"/>
          <w:b/>
          <w:sz w:val="24"/>
          <w:szCs w:val="24"/>
        </w:rPr>
        <w:t>Garut</w:t>
      </w:r>
      <w:proofErr w:type="spellEnd"/>
      <w:r w:rsidR="0096013D" w:rsidRPr="0096013D">
        <w:rPr>
          <w:rFonts w:asciiTheme="majorHAnsi" w:hAnsiTheme="majorHAnsi"/>
          <w:b/>
          <w:sz w:val="24"/>
          <w:szCs w:val="24"/>
        </w:rPr>
        <w:t xml:space="preserve"> – 1987, Bandung)</w:t>
      </w:r>
      <w:r w:rsidRPr="00801A0E">
        <w:rPr>
          <w:rFonts w:asciiTheme="majorHAnsi" w:hAnsiTheme="majorHAnsi"/>
          <w:sz w:val="24"/>
          <w:szCs w:val="24"/>
        </w:rPr>
        <w:t xml:space="preserve"> </w:t>
      </w:r>
    </w:p>
    <w:p w:rsidR="00F601D4" w:rsidRDefault="00F601D4" w:rsidP="00F601D4">
      <w:pPr>
        <w:jc w:val="both"/>
        <w:rPr>
          <w:rFonts w:asciiTheme="majorHAnsi" w:hAnsiTheme="majorHAnsi"/>
          <w:color w:val="000000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</w:rPr>
        <w:t xml:space="preserve">Ahmad </w:t>
      </w:r>
      <w:proofErr w:type="spellStart"/>
      <w:r>
        <w:rPr>
          <w:rFonts w:asciiTheme="majorHAnsi" w:hAnsiTheme="majorHAnsi"/>
          <w:sz w:val="24"/>
          <w:szCs w:val="24"/>
        </w:rPr>
        <w:t>Sadali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801A0E">
        <w:rPr>
          <w:rFonts w:asciiTheme="majorHAnsi" w:hAnsiTheme="majorHAnsi"/>
          <w:sz w:val="24"/>
          <w:szCs w:val="24"/>
        </w:rPr>
        <w:t xml:space="preserve">was an iconic figure of the Bandung School and </w:t>
      </w:r>
      <w:r>
        <w:rPr>
          <w:rFonts w:asciiTheme="majorHAnsi" w:hAnsiTheme="majorHAnsi"/>
          <w:sz w:val="24"/>
          <w:szCs w:val="24"/>
        </w:rPr>
        <w:t xml:space="preserve">remains a key influence as a </w:t>
      </w:r>
      <w:r w:rsidRPr="00801A0E">
        <w:rPr>
          <w:rFonts w:asciiTheme="majorHAnsi" w:hAnsiTheme="majorHAnsi"/>
          <w:sz w:val="24"/>
          <w:szCs w:val="24"/>
        </w:rPr>
        <w:t xml:space="preserve">pioneer in modern abstract painting in Indonesia.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along with But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Mochtar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Mochtar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Apin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and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Srihadi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Soedarsono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was among the first generation of Indonesian students in the </w:t>
      </w:r>
      <w:r w:rsidR="0096013D" w:rsidRPr="0096013D">
        <w:rPr>
          <w:rFonts w:asciiTheme="majorHAnsi" w:hAnsiTheme="majorHAnsi"/>
          <w:color w:val="000000"/>
          <w:sz w:val="24"/>
          <w:szCs w:val="24"/>
          <w:lang w:val="en-GB"/>
        </w:rPr>
        <w:t>Bandung School</w:t>
      </w:r>
      <w:r w:rsidR="001E4496">
        <w:rPr>
          <w:rFonts w:asciiTheme="majorHAnsi" w:hAnsiTheme="majorHAnsi"/>
          <w:color w:val="000000"/>
          <w:sz w:val="24"/>
          <w:szCs w:val="24"/>
          <w:lang w:val="en-GB"/>
        </w:rPr>
        <w:t xml:space="preserve">. </w:t>
      </w:r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His early work of the 1950s</w:t>
      </w:r>
      <w:r w:rsidR="007956B0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demonstrates the direct influence of his teacher, Dutch painter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Ries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Mulder (1909-1973), whose own work was influenced by the Cubist work of Jacques Villon (1875-1963). Immediately upon graduation in 1953,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became one of the fi</w:t>
      </w:r>
      <w:r w:rsidR="007416E0">
        <w:rPr>
          <w:rFonts w:asciiTheme="majorHAnsi" w:hAnsiTheme="majorHAnsi"/>
          <w:color w:val="000000"/>
          <w:sz w:val="24"/>
          <w:szCs w:val="24"/>
          <w:lang w:val="en-GB"/>
        </w:rPr>
        <w:t>rst Indonesian lecturers of the Academy</w:t>
      </w:r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. </w:t>
      </w:r>
      <w:proofErr w:type="spellStart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was a key figure in the development of a modern Islamic art and its discourse in Indonesia, for which the principles of abstraction in modern painting </w:t>
      </w:r>
      <w:r w:rsidR="001E4496">
        <w:rPr>
          <w:rFonts w:asciiTheme="majorHAnsi" w:hAnsiTheme="majorHAnsi"/>
          <w:color w:val="000000"/>
          <w:sz w:val="24"/>
          <w:szCs w:val="24"/>
          <w:lang w:val="en-GB"/>
        </w:rPr>
        <w:t>were well suited</w:t>
      </w:r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. A devout Muslim and </w:t>
      </w:r>
      <w:r w:rsidR="001E4496">
        <w:rPr>
          <w:rFonts w:asciiTheme="majorHAnsi" w:hAnsiTheme="majorHAnsi"/>
          <w:color w:val="000000"/>
          <w:sz w:val="24"/>
          <w:szCs w:val="24"/>
          <w:lang w:val="en-GB"/>
        </w:rPr>
        <w:t xml:space="preserve">the </w:t>
      </w:r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son of a founder of the </w:t>
      </w:r>
      <w:proofErr w:type="spellStart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>Garut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chapter of </w:t>
      </w:r>
      <w:proofErr w:type="spellStart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>Muhammadiyah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</w:t>
      </w:r>
      <w:proofErr w:type="spellStart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perceived painting as a spiritual act, as a way of seeking God’s blessing, and as imbued with </w:t>
      </w:r>
      <w:proofErr w:type="spellStart"/>
      <w:r w:rsidR="001E4496" w:rsidRPr="00801A0E">
        <w:rPr>
          <w:rFonts w:asciiTheme="majorHAnsi" w:hAnsiTheme="majorHAnsi"/>
          <w:i/>
          <w:color w:val="000000"/>
          <w:sz w:val="24"/>
          <w:szCs w:val="24"/>
          <w:lang w:val="en-GB"/>
        </w:rPr>
        <w:t>tasawuf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(inner mystical quality). He referred to his paintings as visual meditations, and the act of painting as a form of </w:t>
      </w:r>
      <w:proofErr w:type="spellStart"/>
      <w:r w:rsidR="001E4496" w:rsidRPr="00801A0E">
        <w:rPr>
          <w:rFonts w:asciiTheme="majorHAnsi" w:hAnsiTheme="majorHAnsi"/>
          <w:i/>
          <w:color w:val="000000"/>
          <w:sz w:val="24"/>
          <w:szCs w:val="24"/>
          <w:lang w:val="en-GB"/>
        </w:rPr>
        <w:t>zikir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(repetitive acts leading to a mindfulness of God). </w:t>
      </w:r>
    </w:p>
    <w:p w:rsidR="00F601D4" w:rsidRDefault="001E4496" w:rsidP="00F601D4">
      <w:pPr>
        <w:jc w:val="both"/>
        <w:rPr>
          <w:rFonts w:asciiTheme="majorHAnsi" w:hAnsiTheme="majorHAnsi"/>
          <w:color w:val="000000"/>
          <w:sz w:val="24"/>
          <w:szCs w:val="24"/>
          <w:lang w:val="en-GB"/>
        </w:rPr>
      </w:pPr>
      <w:proofErr w:type="spellStart"/>
      <w:r>
        <w:rPr>
          <w:rFonts w:asciiTheme="majorHAnsi" w:hAnsiTheme="majorHAnsi"/>
          <w:color w:val="000000"/>
          <w:sz w:val="24"/>
          <w:szCs w:val="24"/>
          <w:lang w:val="en-GB"/>
        </w:rPr>
        <w:t>Sadali’s</w:t>
      </w:r>
      <w:proofErr w:type="spellEnd"/>
      <w:r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r w:rsidR="007956B0">
        <w:rPr>
          <w:rFonts w:asciiTheme="majorHAnsi" w:hAnsiTheme="majorHAnsi"/>
          <w:color w:val="000000"/>
          <w:sz w:val="24"/>
          <w:szCs w:val="24"/>
          <w:lang w:val="en-GB"/>
        </w:rPr>
        <w:t>works become increasingly abstract and devoid of narrative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following his studies in the United States as a Rockefeller Foundation grant recipient in 1956-57. </w:t>
      </w:r>
      <w:r w:rsidR="007956B0">
        <w:rPr>
          <w:rFonts w:asciiTheme="majorHAnsi" w:hAnsiTheme="majorHAnsi"/>
          <w:color w:val="000000"/>
          <w:sz w:val="24"/>
          <w:szCs w:val="24"/>
          <w:lang w:val="en-GB"/>
        </w:rPr>
        <w:t>He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studied painting and arts education at the Iowa State University, and at Columbia University and the Art Students League in New York. During his tenure as </w:t>
      </w:r>
      <w:r w:rsidR="00C070BD">
        <w:rPr>
          <w:rFonts w:asciiTheme="majorHAnsi" w:hAnsiTheme="majorHAnsi"/>
          <w:color w:val="000000"/>
          <w:sz w:val="24"/>
          <w:szCs w:val="24"/>
          <w:lang w:val="en-GB"/>
        </w:rPr>
        <w:t>l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ecturer, </w:t>
      </w:r>
      <w:r w:rsidR="00C070BD">
        <w:rPr>
          <w:rFonts w:asciiTheme="majorHAnsi" w:hAnsiTheme="majorHAnsi"/>
          <w:color w:val="000000"/>
          <w:sz w:val="24"/>
          <w:szCs w:val="24"/>
          <w:lang w:val="en-GB"/>
        </w:rPr>
        <w:t>p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rofessor and later Dean of the Fine Arts Department at ITB, </w:t>
      </w:r>
      <w:proofErr w:type="spellStart"/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was known for his </w:t>
      </w:r>
      <w:r w:rsidR="003D5969">
        <w:rPr>
          <w:rFonts w:asciiTheme="majorHAnsi" w:hAnsiTheme="majorHAnsi"/>
          <w:sz w:val="24"/>
          <w:szCs w:val="24"/>
        </w:rPr>
        <w:t>innovations in</w:t>
      </w:r>
      <w:r w:rsidR="00F601D4" w:rsidRPr="00801A0E">
        <w:rPr>
          <w:rFonts w:asciiTheme="majorHAnsi" w:hAnsiTheme="majorHAnsi"/>
          <w:sz w:val="24"/>
          <w:szCs w:val="24"/>
        </w:rPr>
        <w:t xml:space="preserve"> the medium and practice of painting. Influencing seve</w:t>
      </w:r>
      <w:r w:rsidR="003D5969">
        <w:rPr>
          <w:rFonts w:asciiTheme="majorHAnsi" w:hAnsiTheme="majorHAnsi"/>
          <w:sz w:val="24"/>
          <w:szCs w:val="24"/>
        </w:rPr>
        <w:t>ral generations of ITB students h</w:t>
      </w:r>
      <w:r w:rsidR="00F601D4" w:rsidRPr="00801A0E">
        <w:rPr>
          <w:rFonts w:asciiTheme="majorHAnsi" w:hAnsiTheme="majorHAnsi"/>
          <w:sz w:val="24"/>
          <w:szCs w:val="24"/>
        </w:rPr>
        <w:t xml:space="preserve">e introduced new materials considered unconventional by preexisting standards to build 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>thick textures onto the surface pla</w:t>
      </w:r>
      <w:r w:rsidR="00C070BD">
        <w:rPr>
          <w:rFonts w:asciiTheme="majorHAnsi" w:hAnsiTheme="majorHAnsi"/>
          <w:color w:val="000000"/>
          <w:sz w:val="24"/>
          <w:szCs w:val="24"/>
          <w:lang w:val="en-GB"/>
        </w:rPr>
        <w:t>ne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as well as the use of powdered pigments, and gold paint and gold leaf. Besides numerous solo and group exhibitions in country and internationally, </w:t>
      </w:r>
      <w:r w:rsidR="00A61A72">
        <w:rPr>
          <w:rFonts w:asciiTheme="majorHAnsi" w:hAnsiTheme="majorHAnsi"/>
          <w:color w:val="000000"/>
          <w:sz w:val="24"/>
          <w:szCs w:val="24"/>
          <w:lang w:val="en-GB"/>
        </w:rPr>
        <w:t>beginning in the late 1960s</w:t>
      </w:r>
      <w:r w:rsidR="00F601D4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>he participated</w:t>
      </w:r>
      <w:r w:rsidR="00F601D4">
        <w:rPr>
          <w:rFonts w:asciiTheme="majorHAnsi" w:hAnsiTheme="majorHAnsi"/>
          <w:color w:val="000000"/>
          <w:sz w:val="24"/>
          <w:szCs w:val="24"/>
          <w:lang w:val="en-GB"/>
        </w:rPr>
        <w:t>,</w:t>
      </w:r>
      <w:r w:rsidR="00F601D4" w:rsidRPr="00605FB9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along with fellow ITB artist, A.D. </w:t>
      </w:r>
      <w:proofErr w:type="spellStart"/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>Pirous</w:t>
      </w:r>
      <w:proofErr w:type="spellEnd"/>
      <w:r w:rsidR="00F601D4">
        <w:rPr>
          <w:rFonts w:asciiTheme="majorHAnsi" w:hAnsiTheme="majorHAnsi"/>
          <w:color w:val="000000"/>
          <w:sz w:val="24"/>
          <w:szCs w:val="24"/>
          <w:lang w:val="en-GB"/>
        </w:rPr>
        <w:t>,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in many group exhibitions </w:t>
      </w:r>
      <w:r w:rsidR="00F601D4">
        <w:rPr>
          <w:rFonts w:asciiTheme="majorHAnsi" w:hAnsiTheme="majorHAnsi"/>
          <w:color w:val="000000"/>
          <w:sz w:val="24"/>
          <w:szCs w:val="24"/>
          <w:lang w:val="en-GB"/>
        </w:rPr>
        <w:t xml:space="preserve">of specifically 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Islamic artists. </w:t>
      </w:r>
    </w:p>
    <w:p w:rsidR="001E4496" w:rsidRDefault="001E4496" w:rsidP="00F601D4">
      <w:pPr>
        <w:jc w:val="both"/>
        <w:rPr>
          <w:rFonts w:asciiTheme="majorHAnsi" w:hAnsiTheme="majorHAnsi"/>
          <w:b/>
          <w:color w:val="000000"/>
          <w:sz w:val="24"/>
          <w:szCs w:val="24"/>
          <w:lang w:val="en-GB"/>
        </w:rPr>
      </w:pPr>
      <w:r>
        <w:rPr>
          <w:rFonts w:asciiTheme="majorHAnsi" w:hAnsiTheme="majorHAnsi"/>
          <w:b/>
          <w:color w:val="000000"/>
          <w:sz w:val="24"/>
          <w:szCs w:val="24"/>
          <w:lang w:val="en-GB"/>
        </w:rPr>
        <w:t>References and Further Reading</w:t>
      </w:r>
    </w:p>
    <w:p w:rsidR="001E4496" w:rsidRDefault="001E4496" w:rsidP="001E4496">
      <w:r w:rsidRPr="00617D74">
        <w:t>Geo</w:t>
      </w:r>
      <w:r>
        <w:t xml:space="preserve">rge, Kenneth M. (2010) </w:t>
      </w:r>
      <w:r w:rsidRPr="005F5525">
        <w:rPr>
          <w:i/>
        </w:rPr>
        <w:t xml:space="preserve">Picturing Islam: Art and Ethics in a Muslim </w:t>
      </w:r>
      <w:proofErr w:type="spellStart"/>
      <w:r w:rsidRPr="005F5525">
        <w:rPr>
          <w:i/>
        </w:rPr>
        <w:t>Lifeworld</w:t>
      </w:r>
      <w:proofErr w:type="spellEnd"/>
      <w:r>
        <w:t xml:space="preserve">. </w:t>
      </w:r>
      <w:proofErr w:type="spellStart"/>
      <w:r>
        <w:t>Chichester</w:t>
      </w:r>
      <w:proofErr w:type="spellEnd"/>
      <w:r>
        <w:t>, West Sussex, U.K.:</w:t>
      </w:r>
      <w:r w:rsidRPr="00617D74">
        <w:t xml:space="preserve"> Malden, M</w:t>
      </w:r>
      <w:r>
        <w:t xml:space="preserve">A: Wiley-Blackwell. </w:t>
      </w:r>
    </w:p>
    <w:p w:rsidR="001E4496" w:rsidRDefault="001E4496" w:rsidP="001E4496">
      <w:r>
        <w:t xml:space="preserve">Holt, Claire. (1967) "The Great Debate." </w:t>
      </w:r>
      <w:r w:rsidRPr="005F5525">
        <w:rPr>
          <w:i/>
        </w:rPr>
        <w:t>Art in Indonesia: Continuities and Change</w:t>
      </w:r>
      <w:r>
        <w:t xml:space="preserve">. Ithaca: Cornell University Press, p. 211-52. </w:t>
      </w:r>
    </w:p>
    <w:p w:rsidR="001E4496" w:rsidRDefault="001E4496" w:rsidP="001E4496">
      <w:r>
        <w:t>Iskandar, Popo. (23 December 1972) “</w:t>
      </w:r>
      <w:proofErr w:type="spellStart"/>
      <w:r>
        <w:t>Seni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Virtuositas</w:t>
      </w:r>
      <w:proofErr w:type="spellEnd"/>
      <w:r>
        <w:t xml:space="preserve">: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Portret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Ahmad </w:t>
      </w:r>
      <w:proofErr w:type="spellStart"/>
      <w:r>
        <w:t>Sadali</w:t>
      </w:r>
      <w:proofErr w:type="spellEnd"/>
      <w:r>
        <w:t xml:space="preserve"> [Art through Virtuosity: A Portrait about Ahmad </w:t>
      </w:r>
      <w:proofErr w:type="spellStart"/>
      <w:r>
        <w:t>Sadali</w:t>
      </w:r>
      <w:proofErr w:type="spellEnd"/>
      <w:r>
        <w:t xml:space="preserve">].” </w:t>
      </w:r>
      <w:proofErr w:type="spellStart"/>
      <w:r w:rsidRPr="005F5525">
        <w:rPr>
          <w:i/>
        </w:rPr>
        <w:t>Berita</w:t>
      </w:r>
      <w:proofErr w:type="spellEnd"/>
      <w:r w:rsidRPr="005F5525">
        <w:rPr>
          <w:i/>
        </w:rPr>
        <w:t xml:space="preserve"> </w:t>
      </w:r>
      <w:proofErr w:type="spellStart"/>
      <w:r w:rsidRPr="005F5525">
        <w:rPr>
          <w:i/>
        </w:rPr>
        <w:t>Yudha</w:t>
      </w:r>
      <w:proofErr w:type="spellEnd"/>
      <w:r>
        <w:t xml:space="preserve">. </w:t>
      </w:r>
      <w:proofErr w:type="gramStart"/>
      <w:r>
        <w:t xml:space="preserve">Reprinted in </w:t>
      </w:r>
      <w:proofErr w:type="spellStart"/>
      <w:r>
        <w:t>Bambang</w:t>
      </w:r>
      <w:proofErr w:type="spellEnd"/>
      <w:r>
        <w:t xml:space="preserve"> </w:t>
      </w:r>
      <w:proofErr w:type="spellStart"/>
      <w:r w:rsidRPr="00F70D8F">
        <w:t>Bujono</w:t>
      </w:r>
      <w:proofErr w:type="spellEnd"/>
      <w:r w:rsidRPr="00F70D8F">
        <w:t xml:space="preserve">, </w:t>
      </w:r>
      <w:r>
        <w:t xml:space="preserve">and </w:t>
      </w:r>
      <w:proofErr w:type="spellStart"/>
      <w:r w:rsidRPr="00F70D8F">
        <w:t>Adi</w:t>
      </w:r>
      <w:proofErr w:type="spellEnd"/>
      <w:r w:rsidRPr="00F70D8F">
        <w:t xml:space="preserve"> </w:t>
      </w:r>
      <w:proofErr w:type="spellStart"/>
      <w:r w:rsidRPr="00F70D8F">
        <w:t>Wicaksono</w:t>
      </w:r>
      <w:proofErr w:type="spellEnd"/>
      <w:r w:rsidRPr="00F70D8F">
        <w:t>, eds.</w:t>
      </w:r>
      <w:r>
        <w:t xml:space="preserve"> (2012)</w:t>
      </w:r>
      <w:r w:rsidRPr="00F70D8F">
        <w:t xml:space="preserve"> </w:t>
      </w:r>
      <w:proofErr w:type="spellStart"/>
      <w:r w:rsidRPr="005F5525">
        <w:rPr>
          <w:i/>
        </w:rPr>
        <w:t>Seni</w:t>
      </w:r>
      <w:proofErr w:type="spellEnd"/>
      <w:r w:rsidRPr="005F5525">
        <w:rPr>
          <w:i/>
        </w:rPr>
        <w:t xml:space="preserve"> </w:t>
      </w:r>
      <w:proofErr w:type="spellStart"/>
      <w:r w:rsidRPr="005F5525">
        <w:rPr>
          <w:i/>
        </w:rPr>
        <w:t>Rupa</w:t>
      </w:r>
      <w:proofErr w:type="spellEnd"/>
      <w:r w:rsidRPr="005F5525">
        <w:rPr>
          <w:i/>
        </w:rPr>
        <w:t xml:space="preserve"> Indonesia </w:t>
      </w:r>
      <w:proofErr w:type="spellStart"/>
      <w:r w:rsidRPr="005F5525">
        <w:rPr>
          <w:i/>
        </w:rPr>
        <w:t>Dalam</w:t>
      </w:r>
      <w:proofErr w:type="spellEnd"/>
      <w:r w:rsidRPr="005F5525">
        <w:rPr>
          <w:i/>
        </w:rPr>
        <w:t xml:space="preserve"> </w:t>
      </w:r>
      <w:proofErr w:type="spellStart"/>
      <w:r w:rsidRPr="005F5525">
        <w:rPr>
          <w:i/>
        </w:rPr>
        <w:t>Kritik</w:t>
      </w:r>
      <w:proofErr w:type="spellEnd"/>
      <w:r w:rsidRPr="005F5525">
        <w:rPr>
          <w:i/>
        </w:rPr>
        <w:t xml:space="preserve"> Dan </w:t>
      </w:r>
      <w:proofErr w:type="spellStart"/>
      <w:r w:rsidRPr="005F5525">
        <w:rPr>
          <w:i/>
        </w:rPr>
        <w:t>Esai</w:t>
      </w:r>
      <w:proofErr w:type="spellEnd"/>
      <w:r w:rsidRPr="005F5525">
        <w:rPr>
          <w:i/>
        </w:rPr>
        <w:t xml:space="preserve"> [Indonesian Art in Criticism and Essay]</w:t>
      </w:r>
      <w:r w:rsidRPr="00F70D8F">
        <w:t>.</w:t>
      </w:r>
      <w:r w:rsidRPr="005F5525">
        <w:t>Jaka</w:t>
      </w:r>
      <w:r>
        <w:t xml:space="preserve">rta: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 xml:space="preserve"> Jakarta, p. 201-205</w:t>
      </w:r>
      <w:r w:rsidRPr="005F5525">
        <w:t>.</w:t>
      </w:r>
      <w:proofErr w:type="gramEnd"/>
      <w:r w:rsidRPr="005F5525">
        <w:t xml:space="preserve"> </w:t>
      </w:r>
    </w:p>
    <w:p w:rsidR="00F601D4" w:rsidRPr="003D5969" w:rsidRDefault="001E4496" w:rsidP="003D5969">
      <w:proofErr w:type="spellStart"/>
      <w:r>
        <w:t>Spanjaard</w:t>
      </w:r>
      <w:proofErr w:type="spellEnd"/>
      <w:r>
        <w:t xml:space="preserve">, Helena. (1990) "Bandung the Laboratory of the West." </w:t>
      </w:r>
      <w:r w:rsidRPr="005F5525">
        <w:rPr>
          <w:i/>
        </w:rPr>
        <w:t>Modern Indonesian Art: Three Generations of Tradition and Change</w:t>
      </w:r>
      <w:r>
        <w:t xml:space="preserve">. Ed. Fischer, Joseph. Jakarta and New York: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KIAS/ Festival Indonesia, p. 54-77. </w:t>
      </w:r>
      <w:bookmarkStart w:id="0" w:name="_GoBack"/>
      <w:bookmarkEnd w:id="0"/>
    </w:p>
    <w:p w:rsidR="00445158" w:rsidRPr="00F601D4" w:rsidRDefault="00445158">
      <w:pPr>
        <w:rPr>
          <w:lang w:val="en-GB"/>
        </w:rPr>
      </w:pPr>
    </w:p>
    <w:sectPr w:rsidR="00445158" w:rsidRPr="00F601D4" w:rsidSect="004502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D4"/>
    <w:rsid w:val="001E4496"/>
    <w:rsid w:val="003D5969"/>
    <w:rsid w:val="00445158"/>
    <w:rsid w:val="00450215"/>
    <w:rsid w:val="007416E0"/>
    <w:rsid w:val="007956B0"/>
    <w:rsid w:val="0096013D"/>
    <w:rsid w:val="00A61A72"/>
    <w:rsid w:val="00C070BD"/>
    <w:rsid w:val="00CB3FEF"/>
    <w:rsid w:val="00F60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4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96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4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96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Rath</dc:creator>
  <cp:lastModifiedBy>doctor</cp:lastModifiedBy>
  <cp:revision>2</cp:revision>
  <dcterms:created xsi:type="dcterms:W3CDTF">2014-08-06T10:25:00Z</dcterms:created>
  <dcterms:modified xsi:type="dcterms:W3CDTF">2014-08-06T10:25:00Z</dcterms:modified>
</cp:coreProperties>
</file>