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ne="http://schemas.microsoft.com/office/word/2006/wordml" xmlns:wp="http://schemas.openxmlformats.org/drawingml/2006/wordprocessingDrawing">
  <w:body>
    <w:background w:color="FFFFFF"/>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b/>
          <w:i/>
        </w:rPr>
        <w:t>L’Art pour l’Art</w:t>
      </w:r>
      <w:r w:rsidR="00000000" w:rsidDel="00000000" w:rsidRPr="00000000">
        <w:rPr>
          <w:rtl w:val="0"/>
          <w:i w:val="0"/>
        </w:rPr>
        <w:t xml:space="preserve">, or </w:t>
      </w:r>
      <w:r w:rsidR="00000000" w:rsidDel="00000000" w:rsidRPr="00000000">
        <w:rPr>
          <w:rtl w:val="0"/>
          <w:i/>
        </w:rPr>
        <w:t>art for art’s sake</w:t>
      </w:r>
      <w:r w:rsidR="00000000" w:rsidDel="00000000" w:rsidRPr="00000000">
        <w:rPr>
          <w:rtl w:val="0"/>
          <w:i w:val="0"/>
        </w:rPr>
        <w:t>, refers to a rubric of ideologies and aesthetic paradigms with roots in 18</w:t>
      </w:r>
      <w:r w:rsidR="00000000" w:rsidDel="00000000" w:rsidRPr="00000000">
        <w:rPr>
          <w:rtl w:val="0"/>
          <w:i w:val="0"/>
          <w:vertAlign w:val="superscript"/>
        </w:rPr>
        <w:t>th</w:t>
      </w:r>
      <w:r w:rsidR="00000000" w:rsidDel="00000000" w:rsidRPr="00000000">
        <w:rPr>
          <w:rtl w:val="0"/>
          <w:i w:val="0"/>
        </w:rPr>
        <w:t xml:space="preserve"> and 19</w:t>
      </w:r>
      <w:r w:rsidR="00000000" w:rsidDel="00000000" w:rsidRPr="00000000">
        <w:rPr>
          <w:rtl w:val="0"/>
          <w:i w:val="0"/>
          <w:vertAlign w:val="superscript"/>
        </w:rPr>
        <w:t>th</w:t>
      </w:r>
      <w:r w:rsidR="00000000" w:rsidDel="00000000" w:rsidRPr="00000000">
        <w:rPr>
          <w:rtl w:val="0"/>
          <w:i w:val="0"/>
        </w:rPr>
        <w:t xml:space="preserve"> century Western European Romanticism, particularly indebted to Immanuel Kant’s </w:t>
      </w:r>
      <w:r w:rsidR="00000000" w:rsidDel="00000000" w:rsidRPr="00000000">
        <w:rPr>
          <w:rtl w:val="0"/>
          <w:i/>
        </w:rPr>
        <w:t>The Critique of Aesthetic Judgement</w:t>
      </w:r>
      <w:r w:rsidR="00000000" w:rsidDel="00000000" w:rsidRPr="00000000">
        <w:rPr>
          <w:rtl w:val="0"/>
          <w:i w:val="0"/>
        </w:rPr>
        <w:t xml:space="preserve"> (1790) and subsequent attempts to theorize and practice art as a non-utilitarian but crucially human endeavour, experience, and field of knowledge. </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i w:val="0"/>
        </w:rPr>
        <w:t xml:space="preserve">Swiss-French litteratêur Benjamin Constant, an intimate of Mme de Staël, Goethe, the Schlegel brothers, and Schiller, first used the phrase in 1804. Théophile Gautier is credited with first courting, even cultivating, controversy around it through his widely-read, polemical essays (1835-1861) on the independence and integrity of art unencumbered by didactic or moral responsibility. William Makepeace Thackeray first used </w:t>
      </w:r>
      <w:r w:rsidR="00000000" w:rsidDel="00000000" w:rsidRPr="00000000">
        <w:rPr>
          <w:rtl w:val="0"/>
          <w:i/>
        </w:rPr>
        <w:t>art for art’s sake</w:t>
      </w:r>
      <w:r w:rsidR="00000000" w:rsidDel="00000000" w:rsidRPr="00000000">
        <w:rPr>
          <w:rtl w:val="0"/>
          <w:i w:val="0"/>
        </w:rPr>
        <w:t xml:space="preserve"> in 1839; Walter Pater and James A. McNeill Whistler developed influential discourses of Aestheticism around it through the late 1800s. </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i w:val="0"/>
        </w:rPr>
        <w:t xml:space="preserve">Through the politically volatile twentieth century, </w:t>
      </w:r>
      <w:r w:rsidR="00000000" w:rsidDel="00000000" w:rsidRPr="00000000">
        <w:rPr>
          <w:rtl w:val="0"/>
          <w:i/>
        </w:rPr>
        <w:t>l’art pour l’art</w:t>
      </w:r>
      <w:r w:rsidR="00000000" w:rsidDel="00000000" w:rsidRPr="00000000">
        <w:rPr>
          <w:rtl w:val="0"/>
          <w:i w:val="0"/>
        </w:rPr>
        <w:t xml:space="preserve"> became the locus of variously revolutionary and reactionary movements and debates: it came to signify or symbolize a wide range of frequently divergent perspectives on the nature and value of ostensibly disinterested, apolitical, autotelic artistic production. It remains, however, an exhilarating, powerful conceit in the twenty-first-century popular, artistic, literary, critical imagination.</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b/>
          <w:i w:val="0"/>
          <w:sz w:val="20"/>
        </w:rPr>
        <w:t>REFERENCES AND FURTHER READING</w:t>
      </w:r>
      <w:r w:rsidR="00000000" w:rsidDel="00000000" w:rsidRPr="00000000">
        <w:rPr>
          <w:rtl w:val="0"/>
          <w:i w:val="0"/>
        </w:rPr>
        <w:t xml:space="preserve"> </w:t>
      </w:r>
      <w:r w:rsidR="00000000" w:rsidDel="00000000" w:rsidRPr="00000000">
        <w:rPr>
          <w:rtl w:val="0"/>
        </w:rPr>
      </w:r>
    </w:p>
    <w:p w:rsidR="00000000" w:rsidDel="00000000" w:rsidRDefault="00000000" w:rsidP="00000000" w:rsidRPr="00000000">
      <w:pPr>
        <w:contextualSpacing w:val="0"/>
        <w:ind w:left="630"/>
        <w:ind w:hanging="629"/>
      </w:pPr>
      <w:r w:rsidR="00000000" w:rsidDel="00000000" w:rsidRPr="00000000">
        <w:rPr>
          <w:rtl w:val="0"/>
          <w:i w:val="0"/>
          <w:sz w:val="20"/>
        </w:rPr>
        <w:t>Baldensperger, Fernand. “</w:t>
      </w:r>
      <w:hyperlink r:id="rId5">
        <w:r w:rsidR="00000000" w:rsidDel="00000000" w:rsidRPr="00000000">
          <w:rPr>
            <w:rtl w:val="0"/>
            <w:i w:val="0"/>
            <w:u w:val="single"/>
            <w:color w:val="1155cc"/>
            <w:sz w:val="20"/>
          </w:rPr>
          <w:t>L’Art pour l’Art</w:t>
        </w:r>
      </w:hyperlink>
      <w:r w:rsidR="00000000" w:rsidDel="00000000" w:rsidRPr="00000000">
        <w:rPr>
          <w:rtl w:val="0"/>
          <w:i w:val="0"/>
          <w:sz w:val="20"/>
        </w:rPr>
        <w:t xml:space="preserve">.” </w:t>
      </w:r>
      <w:r w:rsidR="00000000" w:rsidDel="00000000" w:rsidRPr="00000000">
        <w:rPr>
          <w:rtl w:val="0"/>
          <w:i/>
          <w:sz w:val="20"/>
        </w:rPr>
        <w:t>Modern Language Notes</w:t>
      </w:r>
      <w:r w:rsidR="00000000" w:rsidDel="00000000" w:rsidRPr="00000000">
        <w:rPr>
          <w:rtl w:val="0"/>
          <w:i w:val="0"/>
          <w:sz w:val="20"/>
        </w:rPr>
        <w:t xml:space="preserve">. 27.3 (March 1912): 91. Web. </w:t>
      </w:r>
      <w:r w:rsidR="00000000" w:rsidDel="00000000" w:rsidRPr="00000000">
        <w:rPr>
          <w:rtl w:val="0"/>
          <w:i/>
          <w:sz w:val="20"/>
        </w:rPr>
        <w:t>JSTOR</w:t>
      </w:r>
      <w:r w:rsidR="00000000" w:rsidDel="00000000" w:rsidRPr="00000000">
        <w:rPr>
          <w:rtl w:val="0"/>
          <w:i w:val="0"/>
          <w:sz w:val="20"/>
        </w:rPr>
        <w:t>.</w:t>
      </w:r>
    </w:p>
    <w:p w:rsidR="00000000" w:rsidDel="00000000" w:rsidRDefault="00000000" w:rsidP="00000000" w:rsidRPr="00000000">
      <w:pPr>
        <w:contextualSpacing w:val="0"/>
        <w:ind w:left="630"/>
        <w:ind w:hanging="629"/>
      </w:pPr>
      <w:r w:rsidR="00000000" w:rsidDel="00000000" w:rsidRPr="00000000">
        <w:rPr>
          <w:rtl w:val="0"/>
          <w:i w:val="0"/>
          <w:sz w:val="20"/>
        </w:rPr>
        <w:t xml:space="preserve">Burwick, Frederick. “Art for Art’s Sake.” </w:t>
      </w:r>
      <w:r w:rsidR="00000000" w:rsidDel="00000000" w:rsidRPr="00000000">
        <w:rPr>
          <w:rtl w:val="0"/>
          <w:i/>
          <w:sz w:val="20"/>
        </w:rPr>
        <w:t>Mimesis and its Romantic Reflections</w:t>
      </w:r>
      <w:r w:rsidR="00000000" w:rsidDel="00000000" w:rsidRPr="00000000">
        <w:rPr>
          <w:rtl w:val="0"/>
          <w:i w:val="0"/>
          <w:sz w:val="20"/>
        </w:rPr>
        <w:t>. Pennsylvania State UP, 2001. 18-44. Print.</w:t>
      </w:r>
    </w:p>
    <w:p w:rsidR="00000000" w:rsidDel="00000000" w:rsidRDefault="00000000" w:rsidP="00000000" w:rsidRPr="00000000">
      <w:pPr>
        <w:contextualSpacing w:val="0"/>
        <w:ind w:left="630"/>
        <w:ind w:hanging="629"/>
      </w:pPr>
      <w:r w:rsidR="00000000" w:rsidDel="00000000" w:rsidRPr="00000000">
        <w:rPr>
          <w:rtl w:val="0"/>
          <w:i w:val="0"/>
          <w:sz w:val="20"/>
        </w:rPr>
        <w:t>Jenkins, Iredell. “</w:t>
      </w:r>
      <w:hyperlink r:id="rId6">
        <w:r w:rsidR="00000000" w:rsidDel="00000000" w:rsidRPr="00000000">
          <w:rPr>
            <w:rtl w:val="0"/>
            <w:i w:val="0"/>
            <w:u w:val="single"/>
            <w:color w:val="1155cc"/>
            <w:sz w:val="20"/>
          </w:rPr>
          <w:t>Art for Art’s Sake</w:t>
        </w:r>
      </w:hyperlink>
      <w:r w:rsidR="00000000" w:rsidDel="00000000" w:rsidRPr="00000000">
        <w:rPr>
          <w:rtl w:val="0"/>
          <w:i w:val="0"/>
          <w:sz w:val="20"/>
        </w:rPr>
        <w:t xml:space="preserve">.” </w:t>
      </w:r>
      <w:r w:rsidR="00000000" w:rsidDel="00000000" w:rsidRPr="00000000">
        <w:rPr>
          <w:rtl w:val="0"/>
          <w:i/>
          <w:sz w:val="20"/>
        </w:rPr>
        <w:t>Dictionary of the History of Ideas: Studies of Selected Pivotal Ideas</w:t>
      </w:r>
      <w:r w:rsidR="00000000" w:rsidDel="00000000" w:rsidRPr="00000000">
        <w:rPr>
          <w:rtl w:val="0"/>
          <w:i w:val="0"/>
          <w:sz w:val="20"/>
        </w:rPr>
        <w:t xml:space="preserve">. Ed. Philip P. Weiner. NY: Scribner’s, 1973-4; 77-8. Print. Republished as an </w:t>
      </w:r>
      <w:hyperlink r:id="rId7">
        <w:r w:rsidR="00000000" w:rsidDel="00000000" w:rsidRPr="00000000">
          <w:rPr>
            <w:rtl w:val="0"/>
            <w:i w:val="0"/>
            <w:u w:val="single"/>
            <w:color w:val="1155cc"/>
            <w:sz w:val="20"/>
          </w:rPr>
          <w:t>Electronic Edition</w:t>
        </w:r>
      </w:hyperlink>
      <w:r w:rsidR="00000000" w:rsidDel="00000000" w:rsidRPr="00000000">
        <w:rPr>
          <w:rtl w:val="0"/>
          <w:i w:val="0"/>
          <w:sz w:val="20"/>
        </w:rPr>
        <w:t xml:space="preserve">. Ed. Maryanne Cline Horowitz, Donald R. Kelley, and Allan Megill. University of Pennsylvania Press, 2003. Web. </w:t>
      </w:r>
      <w:r w:rsidR="00000000" w:rsidDel="00000000" w:rsidRPr="00000000">
        <w:rPr>
          <w:rtl w:val="0"/>
          <w:i/>
          <w:sz w:val="20"/>
        </w:rPr>
        <w:t>The Online Books Page</w:t>
      </w:r>
      <w:r w:rsidR="00000000" w:rsidDel="00000000" w:rsidRPr="00000000">
        <w:rPr>
          <w:rtl w:val="0"/>
          <w:i w:val="0"/>
          <w:sz w:val="20"/>
        </w:rPr>
        <w:t>, Penn Libraries.</w:t>
      </w:r>
    </w:p>
    <w:p w:rsidR="00000000" w:rsidDel="00000000" w:rsidRDefault="00000000" w:rsidP="00000000" w:rsidRPr="00000000">
      <w:pPr>
        <w:contextualSpacing w:val="0"/>
        <w:ind w:left="630"/>
        <w:ind w:hanging="629"/>
      </w:pPr>
      <w:r w:rsidR="00000000" w:rsidDel="00000000" w:rsidRPr="00000000">
        <w:rPr>
          <w:rtl w:val="0"/>
          <w:i w:val="0"/>
          <w:sz w:val="20"/>
        </w:rPr>
        <w:t>Hauser, Arnold. “</w:t>
      </w:r>
      <w:hyperlink r:id="rId10">
        <w:r w:rsidR="00000000" w:rsidDel="00000000" w:rsidRPr="00000000">
          <w:rPr>
            <w:rtl w:val="0"/>
            <w:i w:val="0"/>
            <w:u w:val="single"/>
            <w:color w:val="1155cc"/>
            <w:sz w:val="20"/>
          </w:rPr>
          <w:t xml:space="preserve">The </w:t>
        </w:r>
      </w:hyperlink>
      <w:hyperlink r:id="rId9">
        <w:r w:rsidR="00000000" w:rsidDel="00000000" w:rsidRPr="00000000">
          <w:rPr>
            <w:rtl w:val="0"/>
            <w:u w:val="single"/>
            <w:color w:val="1155cc"/>
            <w:sz w:val="20"/>
          </w:rPr>
          <w:t>l’Art pour l’Art</w:t>
        </w:r>
      </w:hyperlink>
      <w:hyperlink r:id="rId8">
        <w:r w:rsidR="00000000" w:rsidDel="00000000" w:rsidRPr="00000000">
          <w:rPr>
            <w:rtl w:val="0"/>
            <w:i w:val="0"/>
            <w:u w:val="single"/>
            <w:color w:val="1155cc"/>
            <w:sz w:val="20"/>
          </w:rPr>
          <w:t xml:space="preserve"> Problem</w:t>
        </w:r>
      </w:hyperlink>
      <w:r w:rsidR="00000000" w:rsidDel="00000000" w:rsidRPr="00000000">
        <w:rPr>
          <w:rtl w:val="0"/>
          <w:i w:val="0"/>
          <w:sz w:val="20"/>
        </w:rPr>
        <w:t xml:space="preserve">.” Trans. Kenneth Northcott. </w:t>
      </w:r>
      <w:r w:rsidR="00000000" w:rsidDel="00000000" w:rsidRPr="00000000">
        <w:rPr>
          <w:rtl w:val="0"/>
          <w:i/>
          <w:sz w:val="20"/>
        </w:rPr>
        <w:t>Critical Inquiry</w:t>
      </w:r>
      <w:r w:rsidR="00000000" w:rsidDel="00000000" w:rsidRPr="00000000">
        <w:rPr>
          <w:rtl w:val="0"/>
          <w:i w:val="0"/>
          <w:sz w:val="20"/>
        </w:rPr>
        <w:t xml:space="preserve">. 5.3 (Spring 1979): 425-40. Web. </w:t>
      </w:r>
      <w:r w:rsidR="00000000" w:rsidDel="00000000" w:rsidRPr="00000000">
        <w:rPr>
          <w:rtl w:val="0"/>
          <w:i/>
          <w:sz w:val="20"/>
        </w:rPr>
        <w:t>JSTOR</w:t>
      </w:r>
      <w:r w:rsidR="00000000" w:rsidDel="00000000" w:rsidRPr="00000000">
        <w:rPr>
          <w:rtl w:val="0"/>
          <w:i w:val="0"/>
          <w:sz w:val="20"/>
        </w:rPr>
        <w:t>.</w:t>
      </w:r>
    </w:p>
    <w:p w:rsidR="00000000" w:rsidDel="00000000" w:rsidRDefault="00000000" w:rsidP="00000000" w:rsidRPr="00000000">
      <w:pPr>
        <w:contextualSpacing w:val="0"/>
        <w:ind w:left="630"/>
        <w:ind w:hanging="629"/>
      </w:pPr>
      <w:r w:rsidR="00000000" w:rsidDel="00000000" w:rsidRPr="00000000">
        <w:rPr>
          <w:rtl w:val="0"/>
          <w:i w:val="0"/>
          <w:sz w:val="20"/>
        </w:rPr>
        <w:t>Murphy, Margueritte. “</w:t>
      </w:r>
      <w:hyperlink r:id="rId12">
        <w:r w:rsidR="00000000" w:rsidDel="00000000" w:rsidRPr="00000000">
          <w:rPr>
            <w:rtl w:val="0"/>
            <w:i w:val="0"/>
            <w:u w:val="single"/>
            <w:color w:val="1155cc"/>
            <w:sz w:val="20"/>
          </w:rPr>
          <w:t xml:space="preserve">Pure Art, Pure Desire: Changing Definitions of </w:t>
        </w:r>
      </w:hyperlink>
      <w:hyperlink r:id="rId13">
        <w:r w:rsidR="00000000" w:rsidDel="00000000" w:rsidRPr="00000000">
          <w:rPr>
            <w:rtl w:val="0"/>
            <w:u w:val="single"/>
            <w:color w:val="1155cc"/>
            <w:sz w:val="20"/>
          </w:rPr>
          <w:t>l’Art pour l’Art</w:t>
        </w:r>
      </w:hyperlink>
      <w:hyperlink r:id="rId11">
        <w:r w:rsidR="00000000" w:rsidDel="00000000" w:rsidRPr="00000000">
          <w:rPr>
            <w:rtl w:val="0"/>
            <w:i w:val="0"/>
            <w:u w:val="single"/>
            <w:color w:val="1155cc"/>
            <w:sz w:val="20"/>
          </w:rPr>
          <w:t xml:space="preserve"> from Kant to Gautier</w:t>
        </w:r>
      </w:hyperlink>
      <w:r w:rsidR="00000000" w:rsidDel="00000000" w:rsidRPr="00000000">
        <w:rPr>
          <w:rtl w:val="0"/>
          <w:i w:val="0"/>
          <w:sz w:val="20"/>
        </w:rPr>
        <w:t xml:space="preserve">.” </w:t>
      </w:r>
      <w:r w:rsidR="00000000" w:rsidDel="00000000" w:rsidRPr="00000000">
        <w:rPr>
          <w:rtl w:val="0"/>
          <w:i/>
          <w:sz w:val="20"/>
        </w:rPr>
        <w:t>Studies in Romanticism</w:t>
      </w:r>
      <w:r w:rsidR="00000000" w:rsidDel="00000000" w:rsidRPr="00000000">
        <w:rPr>
          <w:rtl w:val="0"/>
          <w:i w:val="0"/>
          <w:sz w:val="20"/>
        </w:rPr>
        <w:t xml:space="preserve">. 47.2 (Summer 2008): 147-60. Web. </w:t>
      </w:r>
      <w:r w:rsidR="00000000" w:rsidDel="00000000" w:rsidRPr="00000000">
        <w:rPr>
          <w:rtl w:val="0"/>
          <w:i/>
          <w:sz w:val="20"/>
        </w:rPr>
        <w:t>JSTOR</w:t>
      </w:r>
      <w:r w:rsidR="00000000" w:rsidDel="00000000" w:rsidRPr="00000000">
        <w:rPr>
          <w:rtl w:val="0"/>
          <w:i w:val="0"/>
          <w:sz w:val="20"/>
        </w:rPr>
        <w:t>.</w:t>
      </w:r>
    </w:p>
    <w:p w:rsidR="00000000" w:rsidDel="00000000" w:rsidRDefault="00000000" w:rsidP="00000000" w:rsidRPr="00000000">
      <w:pPr>
        <w:contextualSpacing w:val="0"/>
        <w:ind w:left="630"/>
        <w:ind w:hanging="629"/>
      </w:pPr>
      <w:r w:rsidR="00000000" w:rsidDel="00000000" w:rsidRPr="00000000">
        <w:rPr>
          <w:rtl w:val="0"/>
          <w:i w:val="0"/>
          <w:sz w:val="20"/>
        </w:rPr>
        <w:t>Wilcox, John. “</w:t>
      </w:r>
      <w:hyperlink r:id="rId14">
        <w:r w:rsidR="00000000" w:rsidDel="00000000" w:rsidRPr="00000000">
          <w:rPr>
            <w:rtl w:val="0"/>
            <w:i w:val="0"/>
            <w:u w:val="single"/>
            <w:color w:val="1155cc"/>
            <w:sz w:val="20"/>
          </w:rPr>
          <w:t>The Beginnings of l’Art pour l’Art</w:t>
        </w:r>
      </w:hyperlink>
      <w:r w:rsidR="00000000" w:rsidDel="00000000" w:rsidRPr="00000000">
        <w:rPr>
          <w:rtl w:val="0"/>
          <w:i w:val="0"/>
          <w:sz w:val="20"/>
        </w:rPr>
        <w:t xml:space="preserve">.” </w:t>
      </w:r>
      <w:r w:rsidR="00000000" w:rsidDel="00000000" w:rsidRPr="00000000">
        <w:rPr>
          <w:rtl w:val="0"/>
          <w:i/>
          <w:sz w:val="20"/>
        </w:rPr>
        <w:t>Journal of Aesthetics and Criticism</w:t>
      </w:r>
      <w:r w:rsidR="00000000" w:rsidDel="00000000" w:rsidRPr="00000000">
        <w:rPr>
          <w:rtl w:val="0"/>
          <w:i w:val="0"/>
          <w:sz w:val="20"/>
        </w:rPr>
        <w:t xml:space="preserve">. 11.4 Special Issue on the Interrelations of the Arts (June 1953): 360-77. Web. </w:t>
      </w:r>
      <w:r w:rsidR="00000000" w:rsidDel="00000000" w:rsidRPr="00000000">
        <w:rPr>
          <w:rtl w:val="0"/>
          <w:i/>
          <w:sz w:val="20"/>
        </w:rPr>
        <w:t>JSTOR</w:t>
      </w:r>
      <w:r w:rsidR="00000000" w:rsidDel="00000000" w:rsidRPr="00000000">
        <w:rPr>
          <w:rtl w:val="0"/>
          <w:i w:val="0"/>
          <w:sz w:val="20"/>
        </w:rPr>
        <w:t>.</w:t>
      </w:r>
    </w:p>
    <w:p w:rsidR="00000000" w:rsidDel="00000000" w:rsidRDefault="00000000" w:rsidP="00000000" w:rsidRPr="00000000">
      <w:pPr>
        <w:contextualSpacing w:val="0"/>
        <w:rPr/>
      </w:pPr>
      <w:r w:rsidR="00000000" w:rsidDel="00000000" w:rsidRPr="00000000">
        <w:rPr>
          <w:rtl w:val="0"/>
        </w:rPr>
      </w:r>
    </w:p>
    <w:p w:rsidR="00000000" w:rsidDel="00000000" w:rsidRDefault="00000000" w:rsidP="00000000" w:rsidRPr="00000000">
      <w:pPr>
        <w:contextualSpacing w:val="0"/>
        <w:rPr/>
        <w:jc w:val="right"/>
      </w:pPr>
      <w:r w:rsidR="00000000" w:rsidDel="00000000" w:rsidRPr="00000000">
        <w:rPr>
          <w:rtl w:val="0"/>
          <w:b/>
          <w:i/>
        </w:rPr>
        <w:t>Urvashi Vashist</w:t>
      </w:r>
    </w:p>
    <w:p w:rsidR="00000000" w:rsidDel="00000000" w:rsidRDefault="00000000" w:rsidP="00000000" w:rsidRPr="00000000">
      <w:pPr>
        <w:contextualSpacing w:val="0"/>
      </w:pPr>
      <w:r w:rsidR="00000000" w:rsidDel="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Cambria"/>
  <w:font w:name="Symbol"/>
  <w:font w:name="Courier New"/>
  <w:font w:name="Times New Roman"/>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pPr>
        <w:ind w:left="720"/>
      </w:pPr>
    </w:lvl>
    <w:lvl w:ilvl="1">
      <w:numFmt w:val="bullet"/>
      <w:lvlText w:val="o"/>
      <w:start w:val="0"/>
      <w:rPr/>
      <w:pPr>
        <w:ind w:left="1440"/>
      </w:pPr>
    </w:lvl>
    <w:lvl w:ilvl="2">
      <w:numFmt w:val="bullet"/>
      <w:lvlText w:val=""/>
      <w:start w:val="0"/>
      <w:rPr/>
      <w:pPr>
        <w:ind w:left="2160"/>
      </w:pPr>
    </w:lvl>
    <w:lvl w:ilvl="3">
      <w:numFmt w:val="bullet"/>
      <w:lvlText w:val=""/>
      <w:start w:val="0"/>
      <w:rPr/>
      <w:pPr>
        <w:ind w:left="2880"/>
      </w:pPr>
    </w:lvl>
    <w:lvl w:ilvl="4">
      <w:numFmt w:val="bullet"/>
      <w:lvlText w:val="o"/>
      <w:start w:val="0"/>
      <w:rPr/>
      <w:pPr>
        <w:ind w:left="3600"/>
      </w:pPr>
    </w:lvl>
    <w:lvl w:ilvl="5">
      <w:numFmt w:val="bullet"/>
      <w:lvlText w:val=""/>
      <w:start w:val="0"/>
      <w:rPr/>
      <w:pPr>
        <w:ind w:left="4320"/>
      </w:pPr>
    </w:lvl>
    <w:lvl w:ilvl="6">
      <w:numFmt w:val="bullet"/>
      <w:lvlText w:val=""/>
      <w:start w:val="0"/>
      <w:rPr/>
      <w:pPr>
        <w:ind w:left="5040"/>
      </w:pPr>
    </w:lvl>
    <w:lvl w:ilvl="7">
      <w:numFmt w:val="bullet"/>
      <w:lvlText w:val="o"/>
      <w:start w:val="0"/>
      <w:rPr/>
      <w:pPr>
        <w:ind w:left="5760"/>
      </w:pPr>
    </w:lvl>
    <w:lvl w:ilvl="8">
      <w:numFmt w:val="bullet"/>
      <w:lvlText w:val=""/>
      <w:start w:val="0"/>
      <w:rPr/>
      <w:pPr>
        <w:ind w:left="6480"/>
      </w:pPr>
    </w:lvl>
  </w:abstractNum>
  <w:abstractNum w:abstractNumId="10121983">
    <w:multiLevelType w:val="hybridMultilevel"/>
    <w:lvl w:ilvl="0">
      <w:numFmt w:val="decimal"/>
      <w:lvlText w:val="%1."/>
      <w:start w:val="1"/>
      <w:pPr>
        <w:ind w:left="720"/>
      </w:pPr>
    </w:lvl>
    <w:lvl w:ilvl="1">
      <w:numFmt w:val="decimal"/>
      <w:lvlText w:val="%2."/>
      <w:start w:val="1"/>
      <w:pPr>
        <w:ind w:left="1440"/>
      </w:pPr>
    </w:lvl>
    <w:lvl w:ilvl="2">
      <w:numFmt w:val="decimal"/>
      <w:lvlText w:val="%3."/>
      <w:start w:val="1"/>
      <w:pPr>
        <w:ind w:left="2160"/>
      </w:pPr>
    </w:lvl>
    <w:lvl w:ilvl="3">
      <w:numFmt w:val="decimal"/>
      <w:lvlText w:val="%4."/>
      <w:start w:val="1"/>
      <w:pPr>
        <w:ind w:left="2880"/>
      </w:pPr>
    </w:lvl>
    <w:lvl w:ilvl="4">
      <w:numFmt w:val="decimal"/>
      <w:lvlText w:val="%5."/>
      <w:start w:val="1"/>
      <w:pPr>
        <w:ind w:left="3600"/>
      </w:pPr>
    </w:lvl>
    <w:lvl w:ilvl="5">
      <w:numFmt w:val="decimal"/>
      <w:lvlText w:val="%6."/>
      <w:start w:val="1"/>
      <w:pPr>
        <w:ind w:left="4320"/>
      </w:pPr>
    </w:lvl>
    <w:lvl w:ilvl="6">
      <w:numFmt w:val="decimal"/>
      <w:lvlText w:val="%7."/>
      <w:start w:val="1"/>
      <w:pPr>
        <w:ind w:left="5040"/>
      </w:pPr>
    </w:lvl>
    <w:lvl w:ilvl="7">
      <w:numFmt w:val="decimal"/>
      <w:lvlText w:val="%8."/>
      <w:start w:val="1"/>
      <w:pPr>
        <w:ind w:left="5760"/>
      </w:pPr>
    </w:lvl>
    <w:lvl w:ilvl="8">
      <w:numFmt w:val="decimal"/>
      <w:lvlText w:val="%9."/>
      <w:start w:val="1"/>
      <w:pPr>
        <w:ind w:left="648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Relationships xmlns="http://schemas.openxmlformats.org/package/2006/relationships"><Relationship Id="rId14" Type="http://schemas.openxmlformats.org/officeDocument/2006/relationships/hyperlink" Target="http://www.jstor.org/stable/426457/" TargetMode="External"/><Relationship Id="rId2" Type="http://schemas.openxmlformats.org/officeDocument/2006/relationships/fontTable" Target="fontTable.xml"/><Relationship Id="rId12" Type="http://schemas.openxmlformats.org/officeDocument/2006/relationships/hyperlink" Target="http://www.jstor.org/stable/25602139/" TargetMode="External"/><Relationship Id="rId1" Type="http://schemas.openxmlformats.org/officeDocument/2006/relationships/settings" Target="settings.xml"/><Relationship Id="rId13" Type="http://schemas.openxmlformats.org/officeDocument/2006/relationships/hyperlink" Target="http://www.jstor.org/stable/25602139/" TargetMode="External"/><Relationship Id="rId4" Type="http://schemas.openxmlformats.org/officeDocument/2006/relationships/styles" Target="styles.xml"/><Relationship Id="rId10" Type="http://schemas.openxmlformats.org/officeDocument/2006/relationships/hyperlink" Target="http://www.jstor.org/stable/1342994/" TargetMode="External"/><Relationship Id="rId3" Type="http://schemas.openxmlformats.org/officeDocument/2006/relationships/numbering" Target="numbering.xml"/><Relationship Id="rId11" Type="http://schemas.openxmlformats.org/officeDocument/2006/relationships/hyperlink" Target="http://www.jstor.org/stable/25602139/" TargetMode="External"/><Relationship Id="rId9" Type="http://schemas.openxmlformats.org/officeDocument/2006/relationships/hyperlink" Target="http://www.jstor.org/stable/1342994/" TargetMode="External"/><Relationship Id="rId6" Type="http://schemas.openxmlformats.org/officeDocument/2006/relationships/hyperlink" Target="http://xtf.lib.virginia.edu/xtf/view?docId=DicHist/uvaBook/tei/DicHist1.xml;chunk.id=dv1-18;toc.depth=1;toc.id=dv1-18;brand=default" TargetMode="External"/><Relationship Id="rId5" Type="http://schemas.openxmlformats.org/officeDocument/2006/relationships/hyperlink" Target="http://www.jstor.org/stable/2916253/" TargetMode="External"/><Relationship Id="rId8" Type="http://schemas.openxmlformats.org/officeDocument/2006/relationships/hyperlink" Target="http://www.jstor.org/stable/1342994/" TargetMode="External"/><Relationship Id="rId7" Type="http://schemas.openxmlformats.org/officeDocument/2006/relationships/hyperlink" Target="http://onlinebooks.library.upenn.edu/webbin/book/lookupid?key=olbp31715" TargetMode="Externa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REM_L'Art pour l'Art_Vashist_31-10-2013.docx</dc:title>
</cp:coreProperties>
</file>