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9A4468" w:rsidTr="00922950">
        <w:tc>
          <w:tcPr>
            <w:tcW w:w="491" w:type="dxa"/>
            <w:vMerge w:val="restart"/>
            <w:shd w:val="clear" w:color="auto" w:fill="A6A6A6" w:themeFill="background1" w:themeFillShade="A6"/>
            <w:textDirection w:val="btLr"/>
          </w:tcPr>
          <w:p w:rsidR="00B574C9" w:rsidRPr="009A4468" w:rsidRDefault="00B574C9" w:rsidP="00CC586D">
            <w:pPr>
              <w:jc w:val="center"/>
              <w:rPr>
                <w:b/>
                <w:color w:val="FFFFFF" w:themeColor="background1"/>
              </w:rPr>
            </w:pPr>
            <w:r w:rsidRPr="009A4468">
              <w:rPr>
                <w:b/>
                <w:color w:val="FFFFFF" w:themeColor="background1"/>
              </w:rPr>
              <w:t>About you</w:t>
            </w:r>
          </w:p>
        </w:tc>
        <w:sdt>
          <w:sdtPr>
            <w:rPr>
              <w:b/>
              <w:color w:val="FFFFFF" w:themeColor="background1"/>
            </w:rPr>
            <w:alias w:val="Salutation"/>
            <w:tag w:val="salutation"/>
            <w:id w:val="-1659997262"/>
            <w:placeholder>
              <w:docPart w:val="72621FC67FEADA4187EC36F1855227E4"/>
            </w:placeholder>
            <w:showingPlcHdr/>
            <w:dropDownList>
              <w:listItem w:displayText="Dr." w:value="Dr."/>
              <w:listItem w:displayText="Prof." w:value="Prof."/>
            </w:dropDownList>
          </w:sdtPr>
          <w:sdtContent>
            <w:tc>
              <w:tcPr>
                <w:tcW w:w="1259" w:type="dxa"/>
              </w:tcPr>
              <w:p w:rsidR="00B574C9" w:rsidRPr="009A4468" w:rsidRDefault="00B574C9" w:rsidP="00CC586D">
                <w:pPr>
                  <w:jc w:val="center"/>
                  <w:rPr>
                    <w:b/>
                    <w:color w:val="FFFFFF" w:themeColor="background1"/>
                  </w:rPr>
                </w:pPr>
                <w:r w:rsidRPr="009A4468">
                  <w:rPr>
                    <w:rStyle w:val="PlaceholderText"/>
                    <w:b/>
                    <w:color w:val="FFFFFF" w:themeColor="background1"/>
                  </w:rPr>
                  <w:t>[Salutation]</w:t>
                </w:r>
              </w:p>
            </w:tc>
          </w:sdtContent>
        </w:sdt>
        <w:sdt>
          <w:sdtPr>
            <w:alias w:val="First name"/>
            <w:tag w:val="authorFirstName"/>
            <w:id w:val="581645879"/>
            <w:placeholder>
              <w:docPart w:val="65B4A62AE7863D45BE1E729683B2B0BA"/>
            </w:placeholder>
            <w:text/>
          </w:sdtPr>
          <w:sdtContent>
            <w:tc>
              <w:tcPr>
                <w:tcW w:w="2073" w:type="dxa"/>
              </w:tcPr>
              <w:p w:rsidR="00B574C9" w:rsidRPr="009A4468" w:rsidRDefault="009A4468" w:rsidP="009A4468">
                <w:r w:rsidRPr="009A4468">
                  <w:t>Sharon</w:t>
                </w:r>
              </w:p>
            </w:tc>
          </w:sdtContent>
        </w:sdt>
        <w:sdt>
          <w:sdtPr>
            <w:alias w:val="Middle name"/>
            <w:tag w:val="authorMiddleName"/>
            <w:id w:val="-2076034781"/>
            <w:placeholder>
              <w:docPart w:val="F77BA5EA448D1946A529FB6046D929CB"/>
            </w:placeholder>
            <w:showingPlcHdr/>
            <w:text/>
          </w:sdtPr>
          <w:sdtContent>
            <w:tc>
              <w:tcPr>
                <w:tcW w:w="2551" w:type="dxa"/>
              </w:tcPr>
              <w:p w:rsidR="00B574C9" w:rsidRPr="009A4468" w:rsidRDefault="00B574C9" w:rsidP="00922950">
                <w:r w:rsidRPr="009A4468">
                  <w:rPr>
                    <w:rStyle w:val="PlaceholderText"/>
                  </w:rPr>
                  <w:t>[Middle name]</w:t>
                </w:r>
              </w:p>
            </w:tc>
          </w:sdtContent>
        </w:sdt>
        <w:sdt>
          <w:sdtPr>
            <w:alias w:val="Last name"/>
            <w:tag w:val="authorLastName"/>
            <w:id w:val="-1088529830"/>
            <w:placeholder>
              <w:docPart w:val="8195F9BEF981074F9634F28BBF618A60"/>
            </w:placeholder>
            <w:text/>
          </w:sdtPr>
          <w:sdtContent>
            <w:tc>
              <w:tcPr>
                <w:tcW w:w="2642" w:type="dxa"/>
              </w:tcPr>
              <w:p w:rsidR="00B574C9" w:rsidRPr="009A4468" w:rsidRDefault="009A4468" w:rsidP="009A4468">
                <w:r w:rsidRPr="009A4468">
                  <w:t>Jordon</w:t>
                </w:r>
              </w:p>
            </w:tc>
          </w:sdtContent>
        </w:sdt>
      </w:tr>
      <w:tr w:rsidR="00B574C9" w:rsidRPr="009A4468" w:rsidTr="001A6A06">
        <w:trPr>
          <w:trHeight w:val="986"/>
        </w:trPr>
        <w:tc>
          <w:tcPr>
            <w:tcW w:w="491" w:type="dxa"/>
            <w:vMerge/>
            <w:shd w:val="clear" w:color="auto" w:fill="A6A6A6" w:themeFill="background1" w:themeFillShade="A6"/>
          </w:tcPr>
          <w:p w:rsidR="00B574C9" w:rsidRPr="009A4468" w:rsidRDefault="00B574C9" w:rsidP="00CF1542">
            <w:pPr>
              <w:jc w:val="center"/>
              <w:rPr>
                <w:b/>
                <w:color w:val="FFFFFF" w:themeColor="background1"/>
              </w:rPr>
            </w:pPr>
          </w:p>
        </w:tc>
        <w:sdt>
          <w:sdtPr>
            <w:alias w:val="Biography"/>
            <w:tag w:val="authorBiography"/>
            <w:id w:val="938807824"/>
            <w:placeholder>
              <w:docPart w:val="0CCCA17151559941BF599B1C68D68DD9"/>
            </w:placeholder>
            <w:showingPlcHdr/>
          </w:sdtPr>
          <w:sdtContent>
            <w:tc>
              <w:tcPr>
                <w:tcW w:w="8525" w:type="dxa"/>
                <w:gridSpan w:val="4"/>
              </w:tcPr>
              <w:p w:rsidR="00B574C9" w:rsidRPr="009A4468" w:rsidRDefault="00B574C9" w:rsidP="00922950">
                <w:r w:rsidRPr="009A4468">
                  <w:rPr>
                    <w:rStyle w:val="PlaceholderText"/>
                  </w:rPr>
                  <w:t>[Enter your biography]</w:t>
                </w:r>
              </w:p>
            </w:tc>
          </w:sdtContent>
        </w:sdt>
      </w:tr>
      <w:tr w:rsidR="00B574C9" w:rsidRPr="009A4468" w:rsidTr="001A6A06">
        <w:trPr>
          <w:trHeight w:val="986"/>
        </w:trPr>
        <w:tc>
          <w:tcPr>
            <w:tcW w:w="491" w:type="dxa"/>
            <w:vMerge/>
            <w:shd w:val="clear" w:color="auto" w:fill="A6A6A6" w:themeFill="background1" w:themeFillShade="A6"/>
          </w:tcPr>
          <w:p w:rsidR="00B574C9" w:rsidRPr="009A4468" w:rsidRDefault="00B574C9" w:rsidP="00CF1542">
            <w:pPr>
              <w:jc w:val="center"/>
              <w:rPr>
                <w:b/>
                <w:color w:val="FFFFFF" w:themeColor="background1"/>
              </w:rPr>
            </w:pPr>
          </w:p>
        </w:tc>
        <w:sdt>
          <w:sdtPr>
            <w:alias w:val="Affiliation"/>
            <w:tag w:val="affiliation"/>
            <w:id w:val="2012937915"/>
            <w:placeholder>
              <w:docPart w:val="2C6B4336B8581C4B9747D210E486CF8E"/>
            </w:placeholder>
            <w:text/>
          </w:sdtPr>
          <w:sdtContent>
            <w:tc>
              <w:tcPr>
                <w:tcW w:w="8525" w:type="dxa"/>
                <w:gridSpan w:val="4"/>
              </w:tcPr>
              <w:p w:rsidR="00B574C9" w:rsidRPr="009A4468" w:rsidRDefault="00BC09EC" w:rsidP="00BC09EC">
                <w:r>
                  <w:t>City University of New York</w:t>
                </w:r>
              </w:p>
            </w:tc>
          </w:sdtContent>
        </w:sdt>
      </w:tr>
    </w:tbl>
    <w:p w:rsidR="003D3579" w:rsidRPr="009A4468"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A4468" w:rsidTr="00244BB0">
        <w:tc>
          <w:tcPr>
            <w:tcW w:w="9016" w:type="dxa"/>
            <w:shd w:val="clear" w:color="auto" w:fill="A6A6A6" w:themeFill="background1" w:themeFillShade="A6"/>
            <w:tcMar>
              <w:top w:w="113" w:type="dxa"/>
              <w:bottom w:w="113" w:type="dxa"/>
            </w:tcMar>
          </w:tcPr>
          <w:p w:rsidR="00244BB0" w:rsidRPr="009A4468" w:rsidRDefault="00244BB0" w:rsidP="00244BB0">
            <w:pPr>
              <w:jc w:val="center"/>
              <w:rPr>
                <w:b/>
                <w:color w:val="FFFFFF" w:themeColor="background1"/>
              </w:rPr>
            </w:pPr>
            <w:r w:rsidRPr="009A4468">
              <w:rPr>
                <w:b/>
                <w:color w:val="FFFFFF" w:themeColor="background1"/>
              </w:rPr>
              <w:t>Your article</w:t>
            </w:r>
          </w:p>
        </w:tc>
      </w:tr>
      <w:tr w:rsidR="003F0D73" w:rsidRPr="009A4468" w:rsidTr="003F0D73">
        <w:sdt>
          <w:sdtPr>
            <w:alias w:val="Article headword"/>
            <w:tag w:val="articleHeadword"/>
            <w:id w:val="-361440020"/>
            <w:placeholder>
              <w:docPart w:val="A6E49E16FDF62D49BFD5E5BB28B0FDC3"/>
            </w:placeholder>
            <w:text/>
          </w:sdtPr>
          <w:sdtContent>
            <w:tc>
              <w:tcPr>
                <w:tcW w:w="9016" w:type="dxa"/>
                <w:tcMar>
                  <w:top w:w="113" w:type="dxa"/>
                  <w:bottom w:w="113" w:type="dxa"/>
                </w:tcMar>
              </w:tcPr>
              <w:p w:rsidR="003F0D73" w:rsidRPr="009A4468" w:rsidRDefault="009A4468" w:rsidP="009A4468">
                <w:pPr>
                  <w:rPr>
                    <w:b/>
                  </w:rPr>
                </w:pPr>
                <w:r w:rsidRPr="009A4468">
                  <w:rPr>
                    <w:rFonts w:eastAsia="ＭＳ 明朝" w:cs="Times New Roman"/>
                    <w:lang w:val="en-US" w:bidi="en-US"/>
                  </w:rPr>
                  <w:t xml:space="preserve">Klimt, </w:t>
                </w:r>
                <w:r w:rsidRPr="009A4468">
                  <w:rPr>
                    <w:rFonts w:eastAsia="ＭＳ 明朝" w:cs="Times New Roman"/>
                    <w:lang w:val="en-US" w:eastAsia="ja-JP" w:bidi="en-US"/>
                  </w:rPr>
                  <w:t>Gustav</w:t>
                </w:r>
                <w:r w:rsidRPr="009A4468">
                  <w:rPr>
                    <w:rFonts w:eastAsia="ＭＳ 明朝" w:cs="Times New Roman"/>
                    <w:lang w:val="en-US" w:bidi="en-US"/>
                  </w:rPr>
                  <w:t xml:space="preserve"> (1862 – 1918)</w:t>
                </w:r>
              </w:p>
            </w:tc>
          </w:sdtContent>
        </w:sdt>
      </w:tr>
      <w:tr w:rsidR="00464699" w:rsidRPr="009A4468" w:rsidTr="009A4468">
        <w:sdt>
          <w:sdtPr>
            <w:alias w:val="Variant headwords"/>
            <w:tag w:val="variantHeadwords"/>
            <w:id w:val="173464402"/>
            <w:placeholder>
              <w:docPart w:val="BCF29C5E4914C341939B96AF8C8F04C1"/>
            </w:placeholder>
            <w:showingPlcHdr/>
          </w:sdtPr>
          <w:sdtContent>
            <w:tc>
              <w:tcPr>
                <w:tcW w:w="9016" w:type="dxa"/>
                <w:tcMar>
                  <w:top w:w="113" w:type="dxa"/>
                  <w:bottom w:w="113" w:type="dxa"/>
                </w:tcMar>
              </w:tcPr>
              <w:p w:rsidR="00464699" w:rsidRPr="009A4468" w:rsidRDefault="00464699" w:rsidP="00464699">
                <w:r w:rsidRPr="009A4468">
                  <w:rPr>
                    <w:rStyle w:val="PlaceholderText"/>
                    <w:b/>
                  </w:rPr>
                  <w:t xml:space="preserve">[Enter any </w:t>
                </w:r>
                <w:r w:rsidRPr="009A4468">
                  <w:rPr>
                    <w:rStyle w:val="PlaceholderText"/>
                    <w:b/>
                    <w:i/>
                  </w:rPr>
                  <w:t>variant forms</w:t>
                </w:r>
                <w:r w:rsidRPr="009A4468">
                  <w:rPr>
                    <w:rStyle w:val="PlaceholderText"/>
                    <w:b/>
                  </w:rPr>
                  <w:t xml:space="preserve"> of your headword – OPTIONAL]</w:t>
                </w:r>
              </w:p>
            </w:tc>
          </w:sdtContent>
        </w:sdt>
      </w:tr>
      <w:tr w:rsidR="00E85A05" w:rsidRPr="009A4468" w:rsidTr="003F0D73">
        <w:sdt>
          <w:sdtPr>
            <w:alias w:val="Abstract"/>
            <w:tag w:val="abstract"/>
            <w:id w:val="-635871867"/>
            <w:placeholder>
              <w:docPart w:val="36D288C1E92287498B378DCFE9698ABD"/>
            </w:placeholder>
          </w:sdtPr>
          <w:sdtContent>
            <w:commentRangeStart w:id="0" w:displacedByCustomXml="prev"/>
            <w:tc>
              <w:tcPr>
                <w:tcW w:w="9016" w:type="dxa"/>
                <w:tcMar>
                  <w:top w:w="113" w:type="dxa"/>
                  <w:bottom w:w="113" w:type="dxa"/>
                </w:tcMar>
              </w:tcPr>
              <w:p w:rsidR="009A4468" w:rsidRPr="009A4468" w:rsidRDefault="009A4468" w:rsidP="009A4468">
                <w:r w:rsidRPr="009A4468">
                  <w:t>Gustav Klimt</w:t>
                </w:r>
                <w:commentRangeEnd w:id="0"/>
                <w:r w:rsidR="00BC09EC">
                  <w:rPr>
                    <w:rStyle w:val="CommentReference"/>
                  </w:rPr>
                  <w:commentReference w:id="0"/>
                </w:r>
                <w:r w:rsidRPr="009A4468">
                  <w:t xml:space="preserve"> had an indelible influence on the artistic and cultural innovations that occurred in Vienna at the turn of the century. He was a founding member and public figurehead for the city’s Secession, an organization responsible for exhibitions that introduced the public to the latest developments in European modern art. His associations with leading members of the city’s cultural and intellectual elite, and his collaborations with leading artists, architects, and designers resulted in many important artworks.</w:t>
                </w:r>
                <w:bookmarkStart w:id="1" w:name="_GoBack"/>
                <w:bookmarkEnd w:id="1"/>
              </w:p>
              <w:p w:rsidR="009A4468" w:rsidRPr="009A4468" w:rsidRDefault="009A4468" w:rsidP="009A4468"/>
              <w:p w:rsidR="00E85A05" w:rsidRPr="009A4468" w:rsidRDefault="009A4468" w:rsidP="00E85A05">
                <w:pPr>
                  <w:rPr>
                    <w:rFonts w:cs="Tunga"/>
                  </w:rPr>
                </w:pPr>
                <w:r w:rsidRPr="009A4468">
                  <w:rPr>
                    <w:rFonts w:cs="Tunga"/>
                  </w:rPr>
                  <w:t xml:space="preserve">In 1876, at age fourteen, Klimt enrolled at the recently founded </w:t>
                </w:r>
                <w:proofErr w:type="spellStart"/>
                <w:r w:rsidRPr="009A4468">
                  <w:rPr>
                    <w:rFonts w:cs="Tunga"/>
                  </w:rPr>
                  <w:t>Kunstgewerbeschule</w:t>
                </w:r>
                <w:proofErr w:type="spellEnd"/>
                <w:r w:rsidRPr="009A4468">
                  <w:rPr>
                    <w:rFonts w:cs="Tunga"/>
                  </w:rPr>
                  <w:t xml:space="preserve"> (Imperial and Royal School of Applied Arts and Crafts), where he spent seven years. Klimt soon established his reputation for large paintings in public buildings as part of the redevelopment of the </w:t>
                </w:r>
                <w:proofErr w:type="spellStart"/>
                <w:r w:rsidRPr="009A4468">
                  <w:rPr>
                    <w:rFonts w:cs="Tunga"/>
                  </w:rPr>
                  <w:t>Ringstrasse</w:t>
                </w:r>
                <w:proofErr w:type="spellEnd"/>
                <w:r w:rsidRPr="009A4468">
                  <w:rPr>
                    <w:rFonts w:cs="Tunga"/>
                  </w:rPr>
                  <w:t xml:space="preserve">: a series on the history of theatre for the new </w:t>
                </w:r>
                <w:proofErr w:type="spellStart"/>
                <w:r w:rsidRPr="009A4468">
                  <w:rPr>
                    <w:rFonts w:cs="Tunga"/>
                  </w:rPr>
                  <w:t>Burgtheater</w:t>
                </w:r>
                <w:proofErr w:type="spellEnd"/>
                <w:r w:rsidRPr="009A4468">
                  <w:rPr>
                    <w:rFonts w:cs="Tunga"/>
                  </w:rPr>
                  <w:t xml:space="preserve"> (Imperial Court Theatre), 1886-88, was followed by murals in the </w:t>
                </w:r>
                <w:proofErr w:type="spellStart"/>
                <w:r w:rsidRPr="009A4468">
                  <w:rPr>
                    <w:rFonts w:cs="Tunga"/>
                  </w:rPr>
                  <w:t>Kunsthistorisches</w:t>
                </w:r>
                <w:proofErr w:type="spellEnd"/>
                <w:r w:rsidRPr="009A4468">
                  <w:rPr>
                    <w:rFonts w:cs="Tunga"/>
                  </w:rPr>
                  <w:t xml:space="preserve"> Museum (Art Museum), 1891, featuring female personifications of the arts of ancient cultures, showing Klimt’s growing interest in women as a primary subject in his work. Klimt received the Emperor’s prize for his realist painting </w:t>
                </w:r>
                <w:r w:rsidRPr="009A4468">
                  <w:rPr>
                    <w:rFonts w:cs="Tunga"/>
                    <w:i/>
                  </w:rPr>
                  <w:t>Auditorium Theatre</w:t>
                </w:r>
                <w:r w:rsidRPr="009A4468">
                  <w:rPr>
                    <w:rFonts w:cs="Tunga"/>
                  </w:rPr>
                  <w:t xml:space="preserve"> (1888), which includes more than one hundred portraits of leading Viennese citizens making up the theatre’s audience.</w:t>
                </w:r>
              </w:p>
            </w:tc>
          </w:sdtContent>
        </w:sdt>
      </w:tr>
      <w:tr w:rsidR="003F0D73" w:rsidRPr="009A4468" w:rsidTr="003F0D73">
        <w:sdt>
          <w:sdtPr>
            <w:alias w:val="Article text"/>
            <w:tag w:val="articleText"/>
            <w:id w:val="634067588"/>
            <w:placeholder>
              <w:docPart w:val="BCE4275EF6610744BE0B22AEEA89F6CE"/>
            </w:placeholder>
          </w:sdtPr>
          <w:sdtContent>
            <w:tc>
              <w:tcPr>
                <w:tcW w:w="9016" w:type="dxa"/>
                <w:tcMar>
                  <w:top w:w="113" w:type="dxa"/>
                  <w:bottom w:w="113" w:type="dxa"/>
                </w:tcMar>
              </w:tcPr>
              <w:p w:rsidR="009A4468" w:rsidRPr="009A4468" w:rsidRDefault="009A4468" w:rsidP="009A4468">
                <w:pPr>
                  <w:rPr>
                    <w:rStyle w:val="Heading1Char"/>
                  </w:rPr>
                </w:pPr>
                <w:r w:rsidRPr="009A4468">
                  <w:rPr>
                    <w:rStyle w:val="Heading1Char"/>
                  </w:rPr>
                  <w:t>Overview</w:t>
                </w:r>
              </w:p>
              <w:p w:rsidR="009A4468" w:rsidRPr="009A4468" w:rsidRDefault="009A4468" w:rsidP="009A4468">
                <w:r w:rsidRPr="009A4468">
                  <w:t>Gustav Klimt had an indelible influence on the artistic and cultural innovations that occurred in Vienna at the turn of the century. He was a founding member and public figurehead for the city’s Secession, an organization responsible for exhibitions that introduced the public to the latest developments in European modern art. His associations with leading members of the city’s cultural and intellectual elite, and his collaborations with leading artists, architects, and designers resulted in many important artworks.</w:t>
                </w:r>
              </w:p>
              <w:p w:rsidR="009A4468" w:rsidRPr="009A4468" w:rsidRDefault="009A4468" w:rsidP="009A4468"/>
              <w:p w:rsidR="009A4468" w:rsidRPr="009A4468" w:rsidRDefault="009A4468" w:rsidP="009A4468">
                <w:pPr>
                  <w:pStyle w:val="Heading1"/>
                  <w:outlineLvl w:val="0"/>
                </w:pPr>
                <w:r w:rsidRPr="009A4468">
                  <w:t>Early Work</w:t>
                </w:r>
              </w:p>
              <w:p w:rsidR="009A4468" w:rsidRPr="009A4468" w:rsidRDefault="009A4468" w:rsidP="009A4468">
                <w:pPr>
                  <w:rPr>
                    <w:rFonts w:cs="Tunga"/>
                  </w:rPr>
                </w:pPr>
                <w:r w:rsidRPr="009A4468">
                  <w:rPr>
                    <w:rFonts w:cs="Tunga"/>
                  </w:rPr>
                  <w:t xml:space="preserve">In 1876, at age fourteen, Klimt enrolled at the recently founded </w:t>
                </w:r>
                <w:proofErr w:type="spellStart"/>
                <w:r w:rsidRPr="009A4468">
                  <w:rPr>
                    <w:rFonts w:cs="Tunga"/>
                  </w:rPr>
                  <w:t>Kunstgewerbeschule</w:t>
                </w:r>
                <w:proofErr w:type="spellEnd"/>
                <w:r w:rsidRPr="009A4468">
                  <w:rPr>
                    <w:rFonts w:cs="Tunga"/>
                  </w:rPr>
                  <w:t xml:space="preserve"> (Imperial and Royal School of Applied Arts and Crafts), where he spent seven years. Klimt soon established his reputation for large paintings in public buildings as part of the redevelopment of the </w:t>
                </w:r>
                <w:proofErr w:type="spellStart"/>
                <w:r w:rsidRPr="009A4468">
                  <w:rPr>
                    <w:rFonts w:cs="Tunga"/>
                  </w:rPr>
                  <w:t>Ringstrasse</w:t>
                </w:r>
                <w:proofErr w:type="spellEnd"/>
                <w:r w:rsidRPr="009A4468">
                  <w:rPr>
                    <w:rFonts w:cs="Tunga"/>
                  </w:rPr>
                  <w:t xml:space="preserve">: a series on the history of theatre for the new </w:t>
                </w:r>
                <w:proofErr w:type="spellStart"/>
                <w:r w:rsidRPr="009A4468">
                  <w:rPr>
                    <w:rFonts w:cs="Tunga"/>
                  </w:rPr>
                  <w:t>Burgtheater</w:t>
                </w:r>
                <w:proofErr w:type="spellEnd"/>
                <w:r w:rsidRPr="009A4468">
                  <w:rPr>
                    <w:rFonts w:cs="Tunga"/>
                  </w:rPr>
                  <w:t xml:space="preserve"> (Imperial Court Theatre), 1886-88, was followed by murals in the </w:t>
                </w:r>
                <w:proofErr w:type="spellStart"/>
                <w:r w:rsidRPr="009A4468">
                  <w:rPr>
                    <w:rFonts w:cs="Tunga"/>
                  </w:rPr>
                  <w:t>Kunsthistorisches</w:t>
                </w:r>
                <w:proofErr w:type="spellEnd"/>
                <w:r w:rsidRPr="009A4468">
                  <w:rPr>
                    <w:rFonts w:cs="Tunga"/>
                  </w:rPr>
                  <w:t xml:space="preserve"> Museum (Art Museum), 1891, featuring female personifications of the arts of ancient cultures, showing Klimt’s growing interest in women as a primary subject in his work. Klimt received the Emperor’s prize for his realist painting </w:t>
                </w:r>
                <w:r w:rsidRPr="009A4468">
                  <w:rPr>
                    <w:rFonts w:cs="Tunga"/>
                    <w:i/>
                  </w:rPr>
                  <w:t>Auditorium Theatre</w:t>
                </w:r>
                <w:r w:rsidRPr="009A4468">
                  <w:rPr>
                    <w:rFonts w:cs="Tunga"/>
                  </w:rPr>
                  <w:t xml:space="preserve"> (1888), which includes more than one hundred portraits of leading Viennese </w:t>
                </w:r>
                <w:r w:rsidRPr="009A4468">
                  <w:rPr>
                    <w:rFonts w:cs="Tunga"/>
                  </w:rPr>
                  <w:lastRenderedPageBreak/>
                  <w:t>citizens making up the theatre’s audience.</w:t>
                </w:r>
              </w:p>
              <w:p w:rsidR="009A4468" w:rsidRPr="009A4468" w:rsidRDefault="009A4468" w:rsidP="009A4468">
                <w:pPr>
                  <w:rPr>
                    <w:rFonts w:cs="Tunga"/>
                  </w:rPr>
                </w:pPr>
              </w:p>
              <w:p w:rsidR="009A4468" w:rsidRDefault="009A4468" w:rsidP="009A4468">
                <w:pPr>
                  <w:rPr>
                    <w:rFonts w:cs="Tunga"/>
                  </w:rPr>
                </w:pPr>
                <w:r w:rsidRPr="009A4468">
                  <w:rPr>
                    <w:rFonts w:cs="Tunga"/>
                  </w:rPr>
                  <w:t xml:space="preserve">The painting </w:t>
                </w:r>
                <w:r w:rsidRPr="009A4468">
                  <w:rPr>
                    <w:rFonts w:cs="Tunga"/>
                    <w:i/>
                  </w:rPr>
                  <w:t>Schubert at the Piano</w:t>
                </w:r>
                <w:r w:rsidRPr="009A4468">
                  <w:rPr>
                    <w:rFonts w:cs="Tunga"/>
                  </w:rPr>
                  <w:t xml:space="preserve"> (1898-99) shows Klimt’s use of the soft palette and expressive brushwork associated with Impressionism to evoke the domestic calm of the composer’s early-19</w:t>
                </w:r>
                <w:r w:rsidRPr="009A4468">
                  <w:rPr>
                    <w:rFonts w:cs="Tunga"/>
                    <w:vertAlign w:val="superscript"/>
                  </w:rPr>
                  <w:t>th</w:t>
                </w:r>
                <w:r w:rsidRPr="009A4468">
                  <w:rPr>
                    <w:rFonts w:cs="Tunga"/>
                  </w:rPr>
                  <w:t xml:space="preserve"> Century </w:t>
                </w:r>
                <w:proofErr w:type="spellStart"/>
                <w:r w:rsidRPr="009A4468">
                  <w:rPr>
                    <w:rFonts w:cs="Tunga"/>
                  </w:rPr>
                  <w:t>Biedermeier</w:t>
                </w:r>
                <w:proofErr w:type="spellEnd"/>
                <w:r w:rsidRPr="009A4468">
                  <w:rPr>
                    <w:rFonts w:cs="Tunga"/>
                  </w:rPr>
                  <w:t xml:space="preserve"> era, a time similar to the artist’s in that music played a vital and important role in both. The symbolic work was praised as being uniquely Viennese in its time.</w:t>
                </w:r>
              </w:p>
              <w:p w:rsidR="00841213" w:rsidRDefault="00841213" w:rsidP="009A4468">
                <w:pPr>
                  <w:rPr>
                    <w:rFonts w:cs="Tunga"/>
                  </w:rPr>
                </w:pPr>
              </w:p>
              <w:p w:rsidR="00841213" w:rsidRDefault="00841213" w:rsidP="009A4468">
                <w:pPr>
                  <w:rPr>
                    <w:rFonts w:cs="Tunga"/>
                  </w:rPr>
                </w:pPr>
                <w:r>
                  <w:rPr>
                    <w:rFonts w:cs="Tunga"/>
                  </w:rPr>
                  <w:t>File: KlimtSchubertAtThePiano.jpg</w:t>
                </w:r>
              </w:p>
              <w:p w:rsidR="00841213" w:rsidRPr="009A4468" w:rsidRDefault="00841213" w:rsidP="00841213">
                <w:pPr>
                  <w:pStyle w:val="Caption"/>
                </w:pPr>
                <w:r>
                  <w:t xml:space="preserve">Figure </w:t>
                </w:r>
                <w:fldSimple w:instr=" SEQ Figure \* ARABIC ">
                  <w:r w:rsidR="00BC09EC">
                    <w:rPr>
                      <w:noProof/>
                    </w:rPr>
                    <w:t>1</w:t>
                  </w:r>
                </w:fldSimple>
                <w:r>
                  <w:t xml:space="preserve"> </w:t>
                </w:r>
                <w:r w:rsidRPr="00084AD2">
                  <w:rPr>
                    <w:i/>
                  </w:rPr>
                  <w:t>Schubert at the Piano</w:t>
                </w:r>
              </w:p>
              <w:p w:rsidR="00841213" w:rsidRPr="009A4468" w:rsidRDefault="00841213" w:rsidP="009A4468">
                <w:pPr>
                  <w:rPr>
                    <w:rFonts w:cs="Tunga"/>
                  </w:rPr>
                </w:pPr>
                <w:r>
                  <w:rPr>
                    <w:rFonts w:cs="Tunga"/>
                  </w:rPr>
                  <w:t xml:space="preserve">Source: </w:t>
                </w:r>
                <w:r w:rsidRPr="00841213">
                  <w:rPr>
                    <w:rFonts w:cs="Tunga"/>
                  </w:rPr>
                  <w:t>http://uploads7.wikiart.org/images/gustav-klimt/schubert-at-the-piano-ii.jpg</w:t>
                </w:r>
              </w:p>
              <w:p w:rsidR="009A4468" w:rsidRPr="009A4468" w:rsidRDefault="009A4468" w:rsidP="009A4468">
                <w:pPr>
                  <w:rPr>
                    <w:rFonts w:cs="Tunga"/>
                  </w:rPr>
                </w:pPr>
              </w:p>
              <w:p w:rsidR="009A4468" w:rsidRPr="009A4468" w:rsidRDefault="009A4468" w:rsidP="009A4468">
                <w:pPr>
                  <w:pStyle w:val="Heading1"/>
                  <w:outlineLvl w:val="0"/>
                </w:pPr>
                <w:r w:rsidRPr="009A4468">
                  <w:t xml:space="preserve">The Vienna Secession </w:t>
                </w:r>
              </w:p>
              <w:p w:rsidR="009A4468" w:rsidRPr="009A4468" w:rsidRDefault="009A4468" w:rsidP="009A4468">
                <w:pPr>
                  <w:rPr>
                    <w:rFonts w:cs="Tunga"/>
                  </w:rPr>
                </w:pPr>
                <w:r w:rsidRPr="009A4468">
                  <w:rPr>
                    <w:rFonts w:cs="Tunga"/>
                  </w:rPr>
                  <w:t>In 1897, Klimt and twenty of Vienna’s leading artists and architects formed the Vienna Secession to pursue a progressive, pan-European program of exhibitions. Klimt’s poster for the first exhibition in 1898 features Theseus slaying the Minotaur, with Athena, goddess of wisdom, courage, inspiration, and the arts, providing watchful supervision. The imagery has been interpreted as the youthful Secession organization ending the hegemony of traditional institutional policies.</w:t>
                </w:r>
              </w:p>
              <w:p w:rsidR="00841213" w:rsidRPr="009A4468" w:rsidRDefault="00841213" w:rsidP="009A4468">
                <w:pPr>
                  <w:rPr>
                    <w:rFonts w:cs="Tunga"/>
                  </w:rPr>
                </w:pPr>
              </w:p>
              <w:p w:rsidR="009A4468" w:rsidRDefault="009A4468" w:rsidP="009A4468">
                <w:pPr>
                  <w:rPr>
                    <w:rFonts w:cs="Tunga"/>
                  </w:rPr>
                </w:pPr>
                <w:r w:rsidRPr="009A4468">
                  <w:rPr>
                    <w:rFonts w:cs="Tunga"/>
                  </w:rPr>
                  <w:t xml:space="preserve">Athena appears resolutely modern in </w:t>
                </w:r>
                <w:r w:rsidRPr="009A4468">
                  <w:rPr>
                    <w:rFonts w:cs="Tunga"/>
                    <w:i/>
                  </w:rPr>
                  <w:t>Pallas Athena</w:t>
                </w:r>
                <w:r w:rsidRPr="009A4468">
                  <w:rPr>
                    <w:rFonts w:cs="Tunga"/>
                  </w:rPr>
                  <w:t xml:space="preserve"> (1898) where she introduces the embodiment of ‘the naked truth’, the subject of the subsequent painting </w:t>
                </w:r>
                <w:proofErr w:type="spellStart"/>
                <w:r w:rsidRPr="009A4468">
                  <w:rPr>
                    <w:rFonts w:cs="Tunga"/>
                    <w:i/>
                  </w:rPr>
                  <w:t>Nuda</w:t>
                </w:r>
                <w:proofErr w:type="spellEnd"/>
                <w:r w:rsidRPr="009A4468">
                  <w:rPr>
                    <w:rFonts w:cs="Tunga"/>
                    <w:i/>
                  </w:rPr>
                  <w:t xml:space="preserve"> </w:t>
                </w:r>
                <w:proofErr w:type="spellStart"/>
                <w:r w:rsidRPr="009A4468">
                  <w:rPr>
                    <w:rFonts w:cs="Tunga"/>
                    <w:i/>
                  </w:rPr>
                  <w:t>Veritas</w:t>
                </w:r>
                <w:proofErr w:type="spellEnd"/>
                <w:r w:rsidRPr="009A4468">
                  <w:rPr>
                    <w:rFonts w:cs="Tunga"/>
                  </w:rPr>
                  <w:t xml:space="preserve"> (1899). The woman’s abundant naturalistic red hair is an incendiary sign for the prevailing hypocrisy of artistic conventions.</w:t>
                </w:r>
              </w:p>
              <w:p w:rsidR="00841213" w:rsidRDefault="00841213" w:rsidP="009A4468">
                <w:pPr>
                  <w:rPr>
                    <w:rFonts w:cs="Tunga"/>
                  </w:rPr>
                </w:pPr>
              </w:p>
              <w:p w:rsidR="00841213" w:rsidRDefault="00841213" w:rsidP="009A4468">
                <w:pPr>
                  <w:rPr>
                    <w:rFonts w:cs="Tunga"/>
                  </w:rPr>
                </w:pPr>
                <w:r>
                  <w:rPr>
                    <w:rFonts w:cs="Tunga"/>
                  </w:rPr>
                  <w:t>File: KlimtPallasAthena.jpg</w:t>
                </w:r>
              </w:p>
              <w:p w:rsidR="00841213" w:rsidRPr="009A4468" w:rsidRDefault="00841213" w:rsidP="00841213">
                <w:pPr>
                  <w:pStyle w:val="Caption"/>
                </w:pPr>
                <w:r>
                  <w:t xml:space="preserve">Figure </w:t>
                </w:r>
                <w:fldSimple w:instr=" SEQ Figure \* ARABIC ">
                  <w:r w:rsidR="00BC09EC">
                    <w:rPr>
                      <w:noProof/>
                    </w:rPr>
                    <w:t>2</w:t>
                  </w:r>
                </w:fldSimple>
                <w:r>
                  <w:t xml:space="preserve"> </w:t>
                </w:r>
                <w:r w:rsidRPr="00087979">
                  <w:rPr>
                    <w:i/>
                  </w:rPr>
                  <w:t>Pallas Athena</w:t>
                </w:r>
              </w:p>
              <w:p w:rsidR="00841213" w:rsidRPr="009A4468" w:rsidRDefault="00841213" w:rsidP="009A4468">
                <w:pPr>
                  <w:rPr>
                    <w:rFonts w:cs="Tunga"/>
                  </w:rPr>
                </w:pPr>
                <w:r>
                  <w:rPr>
                    <w:rFonts w:cs="Tunga"/>
                  </w:rPr>
                  <w:t xml:space="preserve">Source: </w:t>
                </w:r>
                <w:r w:rsidRPr="00841213">
                  <w:rPr>
                    <w:rFonts w:cs="Tunga"/>
                  </w:rPr>
                  <w:t>http://traumwerk.stanford.edu/philolog/klimt-pa.jpg</w:t>
                </w:r>
              </w:p>
              <w:p w:rsidR="009A4468" w:rsidRPr="009A4468" w:rsidRDefault="009A4468" w:rsidP="009A4468">
                <w:pPr>
                  <w:rPr>
                    <w:rFonts w:cs="Tunga"/>
                  </w:rPr>
                </w:pPr>
              </w:p>
              <w:p w:rsidR="009A4468" w:rsidRPr="009A4468" w:rsidRDefault="009A4468" w:rsidP="009A4468">
                <w:pPr>
                  <w:pStyle w:val="Heading1"/>
                  <w:outlineLvl w:val="0"/>
                </w:pPr>
                <w:r w:rsidRPr="009A4468">
                  <w:t>University Faculty Murals</w:t>
                </w:r>
              </w:p>
              <w:p w:rsidR="009A4468" w:rsidRDefault="009A4468" w:rsidP="009A4468">
                <w:r w:rsidRPr="009A4468">
                  <w:t xml:space="preserve">In 1896, Klimt began a commission for three paintings to adorn the Great Hall of the University of Vienna. For seven years, these images were at the </w:t>
                </w:r>
                <w:proofErr w:type="spellStart"/>
                <w:r w:rsidRPr="009A4468">
                  <w:t>center</w:t>
                </w:r>
                <w:proofErr w:type="spellEnd"/>
                <w:r w:rsidRPr="009A4468">
                  <w:t xml:space="preserve"> of heated debates among the university’s faculty, local journalists, artists, and intellectuals, regarding artistic freedom. The theme was to be the triumph of light and reason over darkness and ignorance, a metaphor for the university’s purpose. Instead of a scene of Enlightenment rationality, </w:t>
                </w:r>
                <w:r w:rsidRPr="009A4468">
                  <w:rPr>
                    <w:i/>
                  </w:rPr>
                  <w:t>Philosophy</w:t>
                </w:r>
                <w:r w:rsidRPr="009A4468">
                  <w:t xml:space="preserve"> (1900) shows the perpetual instability and chaotic nature of human existence and the mural was immediately criticized for its apparent lack of aesthetic beauty and narrative clarity.</w:t>
                </w:r>
              </w:p>
              <w:p w:rsidR="00BC09EC" w:rsidRDefault="00BC09EC" w:rsidP="009A4468"/>
              <w:p w:rsidR="00BC09EC" w:rsidRDefault="00BC09EC" w:rsidP="009A4468">
                <w:r>
                  <w:t>File: KlimtPhilosophy.jpg</w:t>
                </w:r>
              </w:p>
              <w:p w:rsidR="00BC09EC" w:rsidRPr="009A4468" w:rsidRDefault="00BC09EC" w:rsidP="00BC09EC">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rPr>
                    <w:i/>
                  </w:rPr>
                  <w:t>Philosophy</w:t>
                </w:r>
              </w:p>
              <w:p w:rsidR="00BC09EC" w:rsidRPr="009A4468" w:rsidRDefault="00BC09EC" w:rsidP="009A4468">
                <w:r>
                  <w:t xml:space="preserve">Source: </w:t>
                </w:r>
                <w:r w:rsidRPr="00BC09EC">
                  <w:t>https://upload.wikimedia.org/wikipedia/commons/d/de/Philosophy-final-state-1907.jpg</w:t>
                </w:r>
              </w:p>
              <w:p w:rsidR="009A4468" w:rsidRPr="009A4468" w:rsidRDefault="009A4468" w:rsidP="009A4468"/>
              <w:p w:rsidR="009A4468" w:rsidRPr="009A4468" w:rsidRDefault="009A4468" w:rsidP="009A4468">
                <w:r w:rsidRPr="009A4468">
                  <w:t xml:space="preserve">The realistically observed, rather than idealized figures, populating </w:t>
                </w:r>
                <w:r w:rsidRPr="009A4468">
                  <w:rPr>
                    <w:i/>
                  </w:rPr>
                  <w:t>Medicine</w:t>
                </w:r>
                <w:r w:rsidRPr="009A4468">
                  <w:t>, completed in 1901, also circumvented expectations. Hygeia, the ancient personification for medicine’s benefits, appears in the foreground removed from the writhing mass of humanity she is powerless to aid. The biological and physical imperatives of mankind and the uncompromising presence of mortality, rather than any sense of divine creation, are represented with the pregnant female at top right and the nearby figure of death.</w:t>
                </w:r>
              </w:p>
              <w:p w:rsidR="009A4468" w:rsidRPr="009A4468" w:rsidRDefault="009A4468" w:rsidP="009A4468"/>
              <w:p w:rsidR="009A4468" w:rsidRPr="009A4468" w:rsidRDefault="009A4468" w:rsidP="009A4468">
                <w:r w:rsidRPr="009A4468">
                  <w:rPr>
                    <w:i/>
                  </w:rPr>
                  <w:t>Jurisprudence</w:t>
                </w:r>
                <w:r w:rsidRPr="009A4468">
                  <w:t xml:space="preserve">, exhibited in 1903, reflects the toll that the preceding controversy had taken on the artist. The embodiments of truth, law, and justice appear as remote constructs at the top as the Furies unleash punishment and retribution on a frail old man, signifying the irrationality that governs human </w:t>
                </w:r>
                <w:proofErr w:type="spellStart"/>
                <w:r w:rsidRPr="009A4468">
                  <w:t>behavior</w:t>
                </w:r>
                <w:proofErr w:type="spellEnd"/>
                <w:r w:rsidRPr="009A4468">
                  <w:t>.</w:t>
                </w:r>
              </w:p>
              <w:p w:rsidR="009A4468" w:rsidRPr="009A4468" w:rsidRDefault="009A4468" w:rsidP="009A4468"/>
              <w:p w:rsidR="009A4468" w:rsidRPr="009A4468" w:rsidRDefault="009A4468" w:rsidP="009A4468">
                <w:pPr>
                  <w:rPr>
                    <w:rFonts w:cs="Tunga"/>
                  </w:rPr>
                </w:pPr>
                <w:r w:rsidRPr="009A4468">
                  <w:rPr>
                    <w:rFonts w:cs="Tunga"/>
                  </w:rPr>
                  <w:t xml:space="preserve">The </w:t>
                </w:r>
                <w:r w:rsidRPr="009A4468">
                  <w:rPr>
                    <w:rFonts w:cs="Tunga"/>
                    <w:i/>
                  </w:rPr>
                  <w:t xml:space="preserve">Beethoven Frieze </w:t>
                </w:r>
                <w:r w:rsidRPr="009A4468">
                  <w:rPr>
                    <w:rFonts w:cs="Tunga"/>
                  </w:rPr>
                  <w:t>was made for the Vienna Secession’s 14</w:t>
                </w:r>
                <w:r w:rsidRPr="009A4468">
                  <w:rPr>
                    <w:rFonts w:cs="Tunga"/>
                    <w:vertAlign w:val="superscript"/>
                  </w:rPr>
                  <w:t>th</w:t>
                </w:r>
                <w:r w:rsidRPr="009A4468">
                  <w:rPr>
                    <w:rFonts w:cs="Tunga"/>
                  </w:rPr>
                  <w:t xml:space="preserve"> exhibition in </w:t>
                </w:r>
                <w:proofErr w:type="spellStart"/>
                <w:r w:rsidRPr="009A4468">
                  <w:rPr>
                    <w:rFonts w:cs="Tunga"/>
                  </w:rPr>
                  <w:t>honor</w:t>
                </w:r>
                <w:proofErr w:type="spellEnd"/>
                <w:r w:rsidRPr="009A4468">
                  <w:rPr>
                    <w:rFonts w:cs="Tunga"/>
                  </w:rPr>
                  <w:t xml:space="preserve"> of the composer in 1902. In it, the golden knight responds to humanity’s pleas to deliver them beyond life’s diversionary temptations, depicted in the middle wall, to realize genuine </w:t>
                </w:r>
                <w:proofErr w:type="spellStart"/>
                <w:r w:rsidRPr="009A4468">
                  <w:rPr>
                    <w:rFonts w:cs="Tunga"/>
                  </w:rPr>
                  <w:t>fulfillment</w:t>
                </w:r>
                <w:proofErr w:type="spellEnd"/>
                <w:r w:rsidRPr="009A4468">
                  <w:rPr>
                    <w:rFonts w:cs="Tunga"/>
                  </w:rPr>
                  <w:t xml:space="preserve">, seen in the figures within golden waves flanked by choral singers, inspired by the last movement of Beethoven’s </w:t>
                </w:r>
                <w:r w:rsidRPr="009A4468">
                  <w:rPr>
                    <w:rFonts w:cs="Tunga"/>
                    <w:i/>
                  </w:rPr>
                  <w:t>Ninth Symphony</w:t>
                </w:r>
                <w:r w:rsidRPr="009A4468">
                  <w:rPr>
                    <w:rFonts w:cs="Tunga"/>
                  </w:rPr>
                  <w:t>. Here, unity and happiness for mankind is to be found through creative expression, with the triumphant power of art a stark contrast to the powerlessness of individuals in the Faculty murals.</w:t>
                </w:r>
              </w:p>
              <w:p w:rsidR="009A4468" w:rsidRPr="009A4468" w:rsidRDefault="009A4468" w:rsidP="009A4468">
                <w:pPr>
                  <w:rPr>
                    <w:rFonts w:cs="Tunga"/>
                  </w:rPr>
                </w:pPr>
              </w:p>
              <w:p w:rsidR="009A4468" w:rsidRPr="009A4468" w:rsidRDefault="009A4468" w:rsidP="00BC09EC">
                <w:pPr>
                  <w:pStyle w:val="Heading1"/>
                </w:pPr>
                <w:r w:rsidRPr="009A4468">
                  <w:t>Portraits of Society Women and Landscape Paintings</w:t>
                </w:r>
              </w:p>
              <w:p w:rsidR="009A4468" w:rsidRPr="009A4468" w:rsidRDefault="009A4468" w:rsidP="009A4468">
                <w:r w:rsidRPr="009A4468">
                  <w:t xml:space="preserve">In the highly stratified society of Vienna, many of the wealthiest Jewish individuals, lacking political equality, exercised their influence through artistic and cultural patronage. Many acquired Klimt’s work as an indication of their social prominence and liberal beliefs. Their portraits highlight the diversity of sources that Klimt freely incorporated into the decorative motifs that give each figure their alluring individuality, from Byzantine, Egyptian, Baroque, and Japanese elements, alongside his contemporaries’ geometric </w:t>
                </w:r>
                <w:proofErr w:type="spellStart"/>
                <w:r w:rsidRPr="009A4468">
                  <w:t>Jugendstil</w:t>
                </w:r>
                <w:proofErr w:type="spellEnd"/>
                <w:r w:rsidRPr="009A4468">
                  <w:t xml:space="preserve">, in portraits of Margaret </w:t>
                </w:r>
                <w:proofErr w:type="spellStart"/>
                <w:r w:rsidRPr="009A4468">
                  <w:t>Stonborough</w:t>
                </w:r>
                <w:proofErr w:type="spellEnd"/>
                <w:r w:rsidRPr="009A4468">
                  <w:t xml:space="preserve">-Wittgenstein (1905), </w:t>
                </w:r>
                <w:proofErr w:type="spellStart"/>
                <w:r w:rsidRPr="009A4468">
                  <w:t>Fritza</w:t>
                </w:r>
                <w:proofErr w:type="spellEnd"/>
                <w:r w:rsidRPr="009A4468">
                  <w:t xml:space="preserve"> </w:t>
                </w:r>
                <w:proofErr w:type="spellStart"/>
                <w:r w:rsidRPr="009A4468">
                  <w:t>Riedler</w:t>
                </w:r>
                <w:proofErr w:type="spellEnd"/>
                <w:r w:rsidRPr="009A4468">
                  <w:t xml:space="preserve"> (1906), Adele Bloch-Bauer (1907), and </w:t>
                </w:r>
                <w:proofErr w:type="spellStart"/>
                <w:r w:rsidRPr="009A4468">
                  <w:t>Friederike</w:t>
                </w:r>
                <w:proofErr w:type="spellEnd"/>
                <w:r w:rsidRPr="009A4468">
                  <w:t xml:space="preserve"> Maria Beer (1916)</w:t>
                </w:r>
              </w:p>
              <w:p w:rsidR="009A4468" w:rsidRDefault="009A4468" w:rsidP="009A4468"/>
              <w:p w:rsidR="00BC09EC" w:rsidRDefault="00BC09EC" w:rsidP="009A4468">
                <w:r>
                  <w:t xml:space="preserve">File: </w:t>
                </w:r>
                <w:r w:rsidRPr="00BC09EC">
                  <w:t>KlimtAdeleBloch-Bauer</w:t>
                </w:r>
                <w:r>
                  <w:t>.jpg</w:t>
                </w:r>
              </w:p>
              <w:p w:rsidR="00BC09EC" w:rsidRDefault="00BC09EC" w:rsidP="00BC09EC">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Portrait of Adele Bloch-Bauer</w:t>
                </w:r>
              </w:p>
              <w:p w:rsidR="00BC09EC" w:rsidRDefault="00BC09EC" w:rsidP="009A4468">
                <w:r>
                  <w:t xml:space="preserve">Source: </w:t>
                </w:r>
                <w:r w:rsidRPr="00BC09EC">
                  <w:t>https://en.wikipedia.org/wiki/Gustav_Klimt#/media/File</w:t>
                </w:r>
                <w:proofErr w:type="gramStart"/>
                <w:r w:rsidRPr="00BC09EC">
                  <w:t>:Gustav</w:t>
                </w:r>
                <w:proofErr w:type="gramEnd"/>
                <w:r w:rsidRPr="00BC09EC">
                  <w:t>_Klimt_046.jpg</w:t>
                </w:r>
              </w:p>
              <w:p w:rsidR="00BC09EC" w:rsidRPr="009A4468" w:rsidRDefault="00BC09EC" w:rsidP="009A4468"/>
              <w:p w:rsidR="009A4468" w:rsidRPr="009A4468" w:rsidRDefault="009A4468" w:rsidP="009A4468">
                <w:r w:rsidRPr="009A4468">
                  <w:t xml:space="preserve">One of the most enigmatic relationships chronicled in paintings is between Klimt and the fashion designer Emilie </w:t>
                </w:r>
                <w:proofErr w:type="spellStart"/>
                <w:r w:rsidRPr="009A4468">
                  <w:t>Flöge</w:t>
                </w:r>
                <w:proofErr w:type="spellEnd"/>
                <w:r w:rsidRPr="009A4468">
                  <w:t xml:space="preserve">, a woman of unusual independence for the time. The pair knew each other for twenty-seven years and though they never married, they were extremely close, as seen in </w:t>
                </w:r>
                <w:r w:rsidRPr="009A4468">
                  <w:rPr>
                    <w:i/>
                  </w:rPr>
                  <w:t>The Kiss</w:t>
                </w:r>
                <w:r w:rsidRPr="009A4468">
                  <w:t xml:space="preserve"> (1907-08) thought to depict the artist with Emilie.</w:t>
                </w:r>
              </w:p>
              <w:p w:rsidR="009A4468" w:rsidRPr="009A4468" w:rsidRDefault="009A4468" w:rsidP="009A4468"/>
              <w:p w:rsidR="009A4468" w:rsidRPr="009A4468" w:rsidRDefault="009A4468" w:rsidP="009A4468">
                <w:r w:rsidRPr="009A4468">
                  <w:t xml:space="preserve">The numerous landscape paintings done while spending summers with Emilie and her family at the lakes surrounding Vienna were readily acquired by patrons for their idyllic </w:t>
                </w:r>
                <w:proofErr w:type="spellStart"/>
                <w:r w:rsidRPr="009A4468">
                  <w:t>tranquility</w:t>
                </w:r>
                <w:proofErr w:type="spellEnd"/>
                <w:r w:rsidRPr="009A4468">
                  <w:t xml:space="preserve">. The kaleidoscopic </w:t>
                </w:r>
                <w:proofErr w:type="spellStart"/>
                <w:r w:rsidRPr="009A4468">
                  <w:t>colors</w:t>
                </w:r>
                <w:proofErr w:type="spellEnd"/>
                <w:r w:rsidRPr="009A4468">
                  <w:t xml:space="preserve">, expressive line, and inviting brushwork show Klimt’s </w:t>
                </w:r>
                <w:proofErr w:type="spellStart"/>
                <w:r w:rsidRPr="009A4468">
                  <w:t>ongoing</w:t>
                </w:r>
                <w:proofErr w:type="spellEnd"/>
                <w:r w:rsidRPr="009A4468">
                  <w:t xml:space="preserve"> interest in Post-Impressionism.</w:t>
                </w:r>
              </w:p>
              <w:p w:rsidR="009A4468" w:rsidRPr="009A4468" w:rsidRDefault="009A4468" w:rsidP="009A4468"/>
              <w:p w:rsidR="009A4468" w:rsidRPr="009A4468" w:rsidRDefault="009A4468" w:rsidP="009A4468">
                <w:pPr>
                  <w:pStyle w:val="Heading1"/>
                  <w:outlineLvl w:val="0"/>
                </w:pPr>
                <w:r w:rsidRPr="009A4468">
                  <w:t>Late Work</w:t>
                </w:r>
              </w:p>
              <w:p w:rsidR="009A4468" w:rsidRPr="009A4468" w:rsidRDefault="009A4468" w:rsidP="009A4468">
                <w:r w:rsidRPr="009A4468">
                  <w:t xml:space="preserve">The final period of Klimt’s life shows his continuing interest in archetypal subjects – life and death, punctuated by love, desire, and birth, in works including </w:t>
                </w:r>
                <w:r w:rsidRPr="009A4468">
                  <w:rPr>
                    <w:i/>
                  </w:rPr>
                  <w:t>The Virgin</w:t>
                </w:r>
                <w:r w:rsidRPr="009A4468">
                  <w:t xml:space="preserve"> (1913) and </w:t>
                </w:r>
                <w:r w:rsidRPr="009A4468">
                  <w:rPr>
                    <w:i/>
                  </w:rPr>
                  <w:t>The Bride</w:t>
                </w:r>
                <w:r w:rsidRPr="009A4468">
                  <w:t xml:space="preserve">, unfinished in 1918. The linear, architectural construction and the rich </w:t>
                </w:r>
                <w:proofErr w:type="spellStart"/>
                <w:r w:rsidRPr="009A4468">
                  <w:t>colors</w:t>
                </w:r>
                <w:proofErr w:type="spellEnd"/>
                <w:r w:rsidRPr="009A4468">
                  <w:t xml:space="preserve"> of these works show the influence of Klimt’s young protégé EGON SCHIELE, who along with OSKAR KOKOSCHKA, were introduced to the Viennese public through Klimt’s commitment to their work. </w:t>
                </w:r>
              </w:p>
              <w:p w:rsidR="009A4468" w:rsidRPr="009A4468" w:rsidRDefault="009A4468" w:rsidP="009A4468"/>
              <w:p w:rsidR="009A4468" w:rsidRPr="009A4468" w:rsidRDefault="009A4468" w:rsidP="009A4468">
                <w:pPr>
                  <w:pStyle w:val="Heading1"/>
                  <w:outlineLvl w:val="0"/>
                </w:pPr>
                <w:r w:rsidRPr="009A4468">
                  <w:t xml:space="preserve">Legacy </w:t>
                </w:r>
              </w:p>
              <w:p w:rsidR="009A4468" w:rsidRPr="009A4468" w:rsidRDefault="009A4468" w:rsidP="009A4468">
                <w:r w:rsidRPr="009A4468">
                  <w:t xml:space="preserve">Though Klimt is well known for his ‘golden’ decorative style, his work is complex and multi-layered in meaning and appearance. He was a skilled and versatile draftsman whose evocative sketches </w:t>
                </w:r>
                <w:r w:rsidRPr="009A4468">
                  <w:lastRenderedPageBreak/>
                  <w:t>show the direct inspiration he found in women. His paintings present timely reinterpretations of Classical or archetypal subjects merged with the formal and spatial abstractions and decorative patterning that characterizes turn of the century imagery. Klimt’s work is as unique as his position for he bridges</w:t>
                </w:r>
                <w:r w:rsidRPr="009A4468">
                  <w:rPr>
                    <w:rFonts w:cs="Tunga"/>
                  </w:rPr>
                  <w:t xml:space="preserve"> academic realism and narrative subjects dominant in much of the 19</w:t>
                </w:r>
                <w:r w:rsidRPr="009A4468">
                  <w:rPr>
                    <w:rFonts w:cs="Tunga"/>
                    <w:vertAlign w:val="superscript"/>
                  </w:rPr>
                  <w:t>th</w:t>
                </w:r>
                <w:r w:rsidRPr="009A4468">
                  <w:rPr>
                    <w:rFonts w:cs="Tunga"/>
                  </w:rPr>
                  <w:t xml:space="preserve"> century with the preference for abstraction </w:t>
                </w:r>
                <w:r w:rsidRPr="009A4468">
                  <w:t>that defined the beginning of the 20</w:t>
                </w:r>
                <w:r w:rsidRPr="009A4468">
                  <w:rPr>
                    <w:vertAlign w:val="superscript"/>
                  </w:rPr>
                  <w:t>th</w:t>
                </w:r>
                <w:r w:rsidRPr="009A4468">
                  <w:t xml:space="preserve"> century. His influence continues to be felt among contemporary artists for his commitment to truth and individuality, while the legacy of his work remains closely related to issues of restitution resulting from the events of the Second World War.</w:t>
                </w:r>
              </w:p>
              <w:p w:rsidR="009A4468" w:rsidRPr="009A4468" w:rsidRDefault="009A4468" w:rsidP="009A4468"/>
              <w:p w:rsidR="009A4468" w:rsidRPr="009A4468" w:rsidRDefault="009A4468" w:rsidP="009A4468">
                <w:pPr>
                  <w:pStyle w:val="Heading1"/>
                  <w:outlineLvl w:val="0"/>
                </w:pPr>
                <w:r w:rsidRPr="009A4468">
                  <w:t>Timeline:</w:t>
                </w:r>
              </w:p>
              <w:p w:rsidR="009A4468" w:rsidRPr="009A4468" w:rsidRDefault="009A4468" w:rsidP="009A4468">
                <w:pPr>
                  <w:rPr>
                    <w:rFonts w:cs="Tunga"/>
                  </w:rPr>
                </w:pPr>
                <w:r w:rsidRPr="009A4468">
                  <w:rPr>
                    <w:rFonts w:cs="Tunga"/>
                  </w:rPr>
                  <w:t>1862 Gustav Klimt is born on the outskirts of Vienna, July 14, 1862.</w:t>
                </w:r>
              </w:p>
              <w:p w:rsidR="009A4468" w:rsidRPr="009A4468" w:rsidRDefault="009A4468" w:rsidP="009A4468">
                <w:pPr>
                  <w:rPr>
                    <w:rFonts w:cs="Tunga"/>
                  </w:rPr>
                </w:pPr>
              </w:p>
              <w:p w:rsidR="009A4468" w:rsidRPr="009A4468" w:rsidRDefault="009A4468" w:rsidP="009A4468">
                <w:pPr>
                  <w:rPr>
                    <w:rFonts w:cs="Tunga"/>
                  </w:rPr>
                </w:pPr>
                <w:r w:rsidRPr="009A4468">
                  <w:t xml:space="preserve">1876 accepted at the </w:t>
                </w:r>
                <w:proofErr w:type="spellStart"/>
                <w:r w:rsidRPr="009A4468">
                  <w:t>Kunstgewerbeschule</w:t>
                </w:r>
                <w:proofErr w:type="spellEnd"/>
                <w:r w:rsidRPr="009A4468">
                  <w:t xml:space="preserve"> School of Applied Arts, Vienna, founded in 1867</w:t>
                </w:r>
              </w:p>
              <w:p w:rsidR="009A4468" w:rsidRPr="009A4468" w:rsidRDefault="009A4468" w:rsidP="009A4468">
                <w:pPr>
                  <w:rPr>
                    <w:rFonts w:cs="Tunga"/>
                  </w:rPr>
                </w:pPr>
              </w:p>
              <w:p w:rsidR="009A4468" w:rsidRPr="009A4468" w:rsidRDefault="009A4468" w:rsidP="009A4468">
                <w:pPr>
                  <w:rPr>
                    <w:rFonts w:cs="Tunga"/>
                  </w:rPr>
                </w:pPr>
                <w:r w:rsidRPr="009A4468">
                  <w:t xml:space="preserve">1878-79 founds </w:t>
                </w:r>
                <w:proofErr w:type="spellStart"/>
                <w:r w:rsidRPr="009A4468">
                  <w:t>Künstler-Compagnie</w:t>
                </w:r>
                <w:proofErr w:type="spellEnd"/>
                <w:r w:rsidRPr="009A4468">
                  <w:t xml:space="preserve"> with fellow artists Franz </w:t>
                </w:r>
                <w:proofErr w:type="spellStart"/>
                <w:r w:rsidRPr="009A4468">
                  <w:t>Matsch</w:t>
                </w:r>
                <w:proofErr w:type="spellEnd"/>
                <w:r w:rsidRPr="009A4468">
                  <w:t xml:space="preserve"> and brother Ernst to receive commissions for large-scale paintings in public buildings</w:t>
                </w:r>
              </w:p>
              <w:p w:rsidR="009A4468" w:rsidRPr="009A4468" w:rsidRDefault="009A4468" w:rsidP="009A4468">
                <w:pPr>
                  <w:rPr>
                    <w:rFonts w:cs="Tunga"/>
                  </w:rPr>
                </w:pPr>
              </w:p>
              <w:p w:rsidR="009A4468" w:rsidRPr="009A4468" w:rsidRDefault="009A4468" w:rsidP="009A4468">
                <w:r w:rsidRPr="009A4468">
                  <w:rPr>
                    <w:rFonts w:cs="Tunga"/>
                  </w:rPr>
                  <w:t xml:space="preserve">1888 </w:t>
                </w:r>
                <w:proofErr w:type="spellStart"/>
                <w:r w:rsidRPr="009A4468">
                  <w:t>Künstler-Compagnie</w:t>
                </w:r>
                <w:proofErr w:type="spellEnd"/>
                <w:r w:rsidRPr="009A4468">
                  <w:t xml:space="preserve"> receives Golden Order of Merit for the </w:t>
                </w:r>
                <w:proofErr w:type="spellStart"/>
                <w:r w:rsidRPr="009A4468">
                  <w:t>Burgtheater</w:t>
                </w:r>
                <w:proofErr w:type="spellEnd"/>
                <w:r w:rsidRPr="009A4468">
                  <w:t xml:space="preserve"> paintings</w:t>
                </w:r>
              </w:p>
              <w:p w:rsidR="009A4468" w:rsidRPr="009A4468" w:rsidRDefault="009A4468" w:rsidP="009A4468"/>
              <w:p w:rsidR="009A4468" w:rsidRPr="009A4468" w:rsidRDefault="009A4468" w:rsidP="009A4468">
                <w:r w:rsidRPr="009A4468">
                  <w:t xml:space="preserve">1891 Klimt’s brother Ernst marries Helene </w:t>
                </w:r>
                <w:proofErr w:type="spellStart"/>
                <w:r w:rsidRPr="009A4468">
                  <w:t>Flöge</w:t>
                </w:r>
                <w:proofErr w:type="spellEnd"/>
                <w:r w:rsidRPr="009A4468">
                  <w:t xml:space="preserve">; Klimt paints the first portrait of seventeen year old Emilie </w:t>
                </w:r>
                <w:proofErr w:type="spellStart"/>
                <w:r w:rsidRPr="009A4468">
                  <w:t>Flöge</w:t>
                </w:r>
                <w:proofErr w:type="spellEnd"/>
              </w:p>
              <w:p w:rsidR="009A4468" w:rsidRPr="009A4468" w:rsidRDefault="009A4468" w:rsidP="009A4468">
                <w:pPr>
                  <w:rPr>
                    <w:rFonts w:cs="Tunga"/>
                  </w:rPr>
                </w:pPr>
                <w:r w:rsidRPr="009A4468">
                  <w:rPr>
                    <w:rFonts w:cs="Tunga"/>
                  </w:rPr>
                  <w:t xml:space="preserve">Klimt joins the </w:t>
                </w:r>
                <w:proofErr w:type="spellStart"/>
                <w:r w:rsidRPr="009A4468">
                  <w:rPr>
                    <w:rFonts w:cs="Tunga"/>
                  </w:rPr>
                  <w:t>K</w:t>
                </w:r>
                <w:r w:rsidRPr="009A4468">
                  <w:t>ü</w:t>
                </w:r>
                <w:r w:rsidRPr="009A4468">
                  <w:rPr>
                    <w:rFonts w:cs="Tunga"/>
                  </w:rPr>
                  <w:t>nstlerhausgenossenschaft</w:t>
                </w:r>
                <w:proofErr w:type="spellEnd"/>
                <w:r w:rsidRPr="009A4468">
                  <w:rPr>
                    <w:rFonts w:cs="Tunga"/>
                  </w:rPr>
                  <w:t xml:space="preserve"> (Vienna Artist’s Association), an organization from which he will resign in 1897 to found the Secession</w:t>
                </w:r>
              </w:p>
              <w:p w:rsidR="009A4468" w:rsidRPr="009A4468" w:rsidRDefault="009A4468" w:rsidP="009A4468">
                <w:pPr>
                  <w:rPr>
                    <w:rFonts w:cs="Tunga"/>
                  </w:rPr>
                </w:pPr>
              </w:p>
              <w:p w:rsidR="009A4468" w:rsidRPr="009A4468" w:rsidRDefault="009A4468" w:rsidP="009A4468">
                <w:pPr>
                  <w:rPr>
                    <w:rFonts w:cs="Tunga"/>
                  </w:rPr>
                </w:pPr>
                <w:r w:rsidRPr="009A4468">
                  <w:rPr>
                    <w:rFonts w:cs="Tunga"/>
                  </w:rPr>
                  <w:t>1897 Klimt is instrumental in founding the Vienna Secession; serves as its first president</w:t>
                </w:r>
              </w:p>
              <w:p w:rsidR="009A4468" w:rsidRPr="009A4468" w:rsidRDefault="009A4468" w:rsidP="009A4468">
                <w:pPr>
                  <w:rPr>
                    <w:rFonts w:cs="Tunga"/>
                  </w:rPr>
                </w:pPr>
                <w:r w:rsidRPr="009A4468">
                  <w:rPr>
                    <w:rFonts w:cs="Tunga"/>
                  </w:rPr>
                  <w:t xml:space="preserve">Spends first of many summers with the </w:t>
                </w:r>
                <w:proofErr w:type="spellStart"/>
                <w:r w:rsidRPr="009A4468">
                  <w:t>Flöge</w:t>
                </w:r>
                <w:proofErr w:type="spellEnd"/>
                <w:r w:rsidRPr="009A4468">
                  <w:t xml:space="preserve"> family; begins painting landscapes</w:t>
                </w:r>
              </w:p>
              <w:p w:rsidR="009A4468" w:rsidRPr="009A4468" w:rsidRDefault="009A4468" w:rsidP="009A4468">
                <w:pPr>
                  <w:rPr>
                    <w:rFonts w:cs="Tunga"/>
                  </w:rPr>
                </w:pPr>
              </w:p>
              <w:p w:rsidR="009A4468" w:rsidRPr="009A4468" w:rsidRDefault="009A4468" w:rsidP="009A4468">
                <w:pPr>
                  <w:rPr>
                    <w:rFonts w:cs="Tunga"/>
                  </w:rPr>
                </w:pPr>
                <w:r w:rsidRPr="009A4468">
                  <w:rPr>
                    <w:rFonts w:cs="Tunga"/>
                  </w:rPr>
                  <w:t>1898 first and second Secession exhibitions</w:t>
                </w:r>
              </w:p>
              <w:p w:rsidR="009A4468" w:rsidRPr="009A4468" w:rsidRDefault="009A4468" w:rsidP="009A4468">
                <w:pPr>
                  <w:rPr>
                    <w:rFonts w:cs="Tunga"/>
                  </w:rPr>
                </w:pPr>
              </w:p>
              <w:p w:rsidR="009A4468" w:rsidRPr="009A4468" w:rsidRDefault="009A4468" w:rsidP="009A4468">
                <w:pPr>
                  <w:rPr>
                    <w:rFonts w:cs="Tunga"/>
                  </w:rPr>
                </w:pPr>
                <w:r w:rsidRPr="009A4468">
                  <w:rPr>
                    <w:rFonts w:cs="Tunga"/>
                  </w:rPr>
                  <w:t xml:space="preserve">1900 </w:t>
                </w:r>
                <w:r w:rsidRPr="009A4468">
                  <w:rPr>
                    <w:rFonts w:cs="Tunga"/>
                    <w:i/>
                  </w:rPr>
                  <w:t>Philosophy</w:t>
                </w:r>
                <w:r w:rsidRPr="009A4468">
                  <w:rPr>
                    <w:rFonts w:cs="Tunga"/>
                  </w:rPr>
                  <w:t xml:space="preserve"> is </w:t>
                </w:r>
                <w:r w:rsidRPr="009A4468">
                  <w:t>exhibited at the Seventh Secession exhibition</w:t>
                </w:r>
              </w:p>
              <w:p w:rsidR="009A4468" w:rsidRPr="009A4468" w:rsidRDefault="009A4468" w:rsidP="009A4468">
                <w:pPr>
                  <w:rPr>
                    <w:rFonts w:cs="Tunga"/>
                  </w:rPr>
                </w:pPr>
              </w:p>
              <w:p w:rsidR="009A4468" w:rsidRPr="009A4468" w:rsidRDefault="009A4468" w:rsidP="009A4468">
                <w:pPr>
                  <w:rPr>
                    <w:rFonts w:cs="Tunga"/>
                  </w:rPr>
                </w:pPr>
                <w:r w:rsidRPr="009A4468">
                  <w:rPr>
                    <w:rFonts w:cs="Tunga"/>
                  </w:rPr>
                  <w:t xml:space="preserve">1901 </w:t>
                </w:r>
                <w:r w:rsidRPr="009A4468">
                  <w:rPr>
                    <w:rFonts w:cs="Tunga"/>
                    <w:i/>
                  </w:rPr>
                  <w:t>Medicine</w:t>
                </w:r>
                <w:r w:rsidRPr="009A4468">
                  <w:rPr>
                    <w:rFonts w:cs="Tunga"/>
                  </w:rPr>
                  <w:t xml:space="preserve"> is </w:t>
                </w:r>
                <w:r w:rsidRPr="009A4468">
                  <w:t>exhibited at the Tenth Secession exhibition</w:t>
                </w:r>
              </w:p>
              <w:p w:rsidR="009A4468" w:rsidRPr="009A4468" w:rsidRDefault="009A4468" w:rsidP="009A4468">
                <w:pPr>
                  <w:rPr>
                    <w:rFonts w:cs="Tunga"/>
                  </w:rPr>
                </w:pPr>
              </w:p>
              <w:p w:rsidR="009A4468" w:rsidRPr="009A4468" w:rsidRDefault="009A4468" w:rsidP="009A4468">
                <w:pPr>
                  <w:rPr>
                    <w:rFonts w:cs="Tunga"/>
                  </w:rPr>
                </w:pPr>
                <w:r w:rsidRPr="009A4468">
                  <w:rPr>
                    <w:rFonts w:cs="Tunga"/>
                  </w:rPr>
                  <w:t xml:space="preserve">1902 </w:t>
                </w:r>
                <w:r w:rsidRPr="009A4468">
                  <w:rPr>
                    <w:rFonts w:cs="Tunga"/>
                    <w:i/>
                  </w:rPr>
                  <w:t xml:space="preserve">The Beethoven Frieze </w:t>
                </w:r>
                <w:r w:rsidRPr="009A4468">
                  <w:rPr>
                    <w:rFonts w:cs="Tunga"/>
                  </w:rPr>
                  <w:t xml:space="preserve">is </w:t>
                </w:r>
                <w:r w:rsidRPr="009A4468">
                  <w:t xml:space="preserve">exhibited at the Fourteenth Secession </w:t>
                </w:r>
              </w:p>
              <w:p w:rsidR="009A4468" w:rsidRPr="009A4468" w:rsidRDefault="009A4468" w:rsidP="009A4468">
                <w:pPr>
                  <w:rPr>
                    <w:rFonts w:cs="Tunga"/>
                  </w:rPr>
                </w:pPr>
              </w:p>
              <w:p w:rsidR="009A4468" w:rsidRPr="009A4468" w:rsidRDefault="009A4468" w:rsidP="009A4468">
                <w:pPr>
                  <w:rPr>
                    <w:rFonts w:cs="Tunga"/>
                  </w:rPr>
                </w:pPr>
                <w:r w:rsidRPr="009A4468">
                  <w:rPr>
                    <w:rFonts w:cs="Tunga"/>
                  </w:rPr>
                  <w:t xml:space="preserve">1903 Secession members Josef Hoffmann and </w:t>
                </w:r>
                <w:proofErr w:type="spellStart"/>
                <w:r w:rsidRPr="009A4468">
                  <w:rPr>
                    <w:rFonts w:cs="Tunga"/>
                  </w:rPr>
                  <w:t>Koloman</w:t>
                </w:r>
                <w:proofErr w:type="spellEnd"/>
                <w:r w:rsidRPr="009A4468">
                  <w:rPr>
                    <w:rFonts w:cs="Tunga"/>
                  </w:rPr>
                  <w:t xml:space="preserve"> Moser found the Wiener </w:t>
                </w:r>
                <w:proofErr w:type="spellStart"/>
                <w:r w:rsidRPr="009A4468">
                  <w:rPr>
                    <w:rFonts w:cs="Tunga"/>
                  </w:rPr>
                  <w:t>Werkstätte</w:t>
                </w:r>
                <w:proofErr w:type="spellEnd"/>
                <w:r w:rsidRPr="009A4468">
                  <w:rPr>
                    <w:rFonts w:cs="Tunga"/>
                  </w:rPr>
                  <w:t xml:space="preserve"> </w:t>
                </w:r>
              </w:p>
              <w:p w:rsidR="009A4468" w:rsidRPr="009A4468" w:rsidRDefault="009A4468" w:rsidP="009A4468">
                <w:r w:rsidRPr="009A4468">
                  <w:rPr>
                    <w:rFonts w:cs="Tunga"/>
                    <w:i/>
                  </w:rPr>
                  <w:t>Medicine</w:t>
                </w:r>
                <w:r w:rsidRPr="009A4468">
                  <w:rPr>
                    <w:rFonts w:cs="Tunga"/>
                  </w:rPr>
                  <w:t xml:space="preserve"> is </w:t>
                </w:r>
                <w:r w:rsidRPr="009A4468">
                  <w:t>exhibited in a Secession exhibition devoted to Klimt, featuring over 80 works</w:t>
                </w:r>
              </w:p>
              <w:p w:rsidR="009A4468" w:rsidRPr="009A4468" w:rsidRDefault="009A4468" w:rsidP="009A4468">
                <w:pPr>
                  <w:rPr>
                    <w:rFonts w:cs="Tunga"/>
                  </w:rPr>
                </w:pPr>
                <w:r w:rsidRPr="009A4468">
                  <w:rPr>
                    <w:rFonts w:cs="Tunga"/>
                  </w:rPr>
                  <w:t>Klimt visits Ravenna, Italy; the mosaics in the Church of San Vitale have a great influence on his forthcoming portrait work</w:t>
                </w:r>
              </w:p>
              <w:p w:rsidR="009A4468" w:rsidRPr="009A4468" w:rsidRDefault="009A4468" w:rsidP="009A4468">
                <w:pPr>
                  <w:rPr>
                    <w:rFonts w:cs="Tunga"/>
                  </w:rPr>
                </w:pPr>
              </w:p>
              <w:p w:rsidR="009A4468" w:rsidRPr="009A4468" w:rsidRDefault="009A4468" w:rsidP="009A4468">
                <w:pPr>
                  <w:rPr>
                    <w:rFonts w:cs="Tunga"/>
                  </w:rPr>
                </w:pPr>
                <w:r w:rsidRPr="009A4468">
                  <w:rPr>
                    <w:rFonts w:cs="Tunga"/>
                  </w:rPr>
                  <w:t xml:space="preserve">1904 Klimt agrees to produce a marble frieze for the Wiener </w:t>
                </w:r>
                <w:proofErr w:type="spellStart"/>
                <w:r w:rsidRPr="009A4468">
                  <w:rPr>
                    <w:rFonts w:cs="Tunga"/>
                  </w:rPr>
                  <w:t>Werkstätte’s</w:t>
                </w:r>
                <w:proofErr w:type="spellEnd"/>
                <w:r w:rsidRPr="009A4468">
                  <w:rPr>
                    <w:rFonts w:cs="Tunga"/>
                  </w:rPr>
                  <w:t xml:space="preserve"> </w:t>
                </w:r>
              </w:p>
              <w:p w:rsidR="009A4468" w:rsidRPr="009A4468" w:rsidRDefault="009A4468" w:rsidP="009A4468">
                <w:pPr>
                  <w:rPr>
                    <w:rFonts w:cs="Tunga"/>
                  </w:rPr>
                </w:pPr>
                <w:proofErr w:type="spellStart"/>
                <w:proofErr w:type="gramStart"/>
                <w:r w:rsidRPr="009A4468">
                  <w:rPr>
                    <w:rFonts w:cs="Tunga"/>
                  </w:rPr>
                  <w:t>gesamtkunstwerk</w:t>
                </w:r>
                <w:proofErr w:type="spellEnd"/>
                <w:proofErr w:type="gramEnd"/>
                <w:r w:rsidRPr="009A4468">
                  <w:rPr>
                    <w:rFonts w:cs="Tunga"/>
                  </w:rPr>
                  <w:t xml:space="preserve"> commission - the </w:t>
                </w:r>
                <w:proofErr w:type="spellStart"/>
                <w:r w:rsidRPr="009A4468">
                  <w:rPr>
                    <w:rFonts w:cs="Tunga"/>
                  </w:rPr>
                  <w:t>Palais</w:t>
                </w:r>
                <w:proofErr w:type="spellEnd"/>
                <w:r w:rsidRPr="009A4468">
                  <w:rPr>
                    <w:rFonts w:cs="Tunga"/>
                  </w:rPr>
                  <w:t xml:space="preserve"> </w:t>
                </w:r>
                <w:proofErr w:type="spellStart"/>
                <w:r w:rsidRPr="009A4468">
                  <w:rPr>
                    <w:rFonts w:cs="Tunga"/>
                  </w:rPr>
                  <w:t>Stoclet</w:t>
                </w:r>
                <w:proofErr w:type="spellEnd"/>
                <w:r w:rsidRPr="009A4468">
                  <w:rPr>
                    <w:rFonts w:cs="Tunga"/>
                  </w:rPr>
                  <w:t>, Brussels, not completed until 1911</w:t>
                </w:r>
              </w:p>
              <w:p w:rsidR="009A4468" w:rsidRPr="009A4468" w:rsidRDefault="009A4468" w:rsidP="009A4468">
                <w:pPr>
                  <w:rPr>
                    <w:rFonts w:cs="Tunga"/>
                  </w:rPr>
                </w:pPr>
              </w:p>
              <w:p w:rsidR="009A4468" w:rsidRPr="009A4468" w:rsidRDefault="009A4468" w:rsidP="009A4468">
                <w:pPr>
                  <w:rPr>
                    <w:rFonts w:cs="Tunga"/>
                  </w:rPr>
                </w:pPr>
                <w:r w:rsidRPr="009A4468">
                  <w:rPr>
                    <w:rFonts w:cs="Tunga"/>
                  </w:rPr>
                  <w:t xml:space="preserve">1908 Klimt and his closest associates form the </w:t>
                </w:r>
                <w:proofErr w:type="spellStart"/>
                <w:r w:rsidRPr="009A4468">
                  <w:rPr>
                    <w:rFonts w:cs="Tunga"/>
                  </w:rPr>
                  <w:t>Kunstchau</w:t>
                </w:r>
                <w:proofErr w:type="spellEnd"/>
                <w:r w:rsidRPr="009A4468">
                  <w:rPr>
                    <w:rFonts w:cs="Tunga"/>
                  </w:rPr>
                  <w:t xml:space="preserve"> (Art Show), ending their contributions to the Secession with this alternate exhibition society</w:t>
                </w:r>
              </w:p>
              <w:p w:rsidR="009A4468" w:rsidRPr="009A4468" w:rsidRDefault="009A4468" w:rsidP="009A4468">
                <w:pPr>
                  <w:rPr>
                    <w:rFonts w:cs="Tunga"/>
                  </w:rPr>
                </w:pPr>
              </w:p>
              <w:p w:rsidR="009A4468" w:rsidRPr="009A4468" w:rsidRDefault="009A4468" w:rsidP="009A4468">
                <w:pPr>
                  <w:rPr>
                    <w:rFonts w:cs="Tunga"/>
                  </w:rPr>
                </w:pPr>
                <w:r w:rsidRPr="009A4468">
                  <w:rPr>
                    <w:rFonts w:cs="Tunga"/>
                  </w:rPr>
                  <w:t>1910s Klimt’s work is widely exhibited throughout Europe</w:t>
                </w:r>
              </w:p>
              <w:p w:rsidR="009A4468" w:rsidRPr="009A4468" w:rsidRDefault="009A4468" w:rsidP="009A4468">
                <w:pPr>
                  <w:rPr>
                    <w:rFonts w:cs="Tunga"/>
                  </w:rPr>
                </w:pPr>
              </w:p>
              <w:p w:rsidR="003F0D73" w:rsidRPr="009A4468" w:rsidRDefault="009A4468" w:rsidP="009A4468">
                <w:r w:rsidRPr="009A4468">
                  <w:rPr>
                    <w:rFonts w:cs="Tunga"/>
                  </w:rPr>
                  <w:t>1918 Klimt suffers a stroke in January; dies from complications in February</w:t>
                </w:r>
              </w:p>
            </w:tc>
          </w:sdtContent>
        </w:sdt>
      </w:tr>
      <w:tr w:rsidR="003235A7" w:rsidRPr="009A4468" w:rsidTr="003235A7">
        <w:tc>
          <w:tcPr>
            <w:tcW w:w="9016" w:type="dxa"/>
          </w:tcPr>
          <w:p w:rsidR="003235A7" w:rsidRPr="009A4468" w:rsidRDefault="003235A7" w:rsidP="008A5B87">
            <w:r w:rsidRPr="009A4468">
              <w:rPr>
                <w:u w:val="single"/>
              </w:rPr>
              <w:lastRenderedPageBreak/>
              <w:t>Further reading</w:t>
            </w:r>
            <w:r w:rsidRPr="009A4468">
              <w:t>:</w:t>
            </w:r>
          </w:p>
          <w:sdt>
            <w:sdtPr>
              <w:alias w:val="Further reading"/>
              <w:tag w:val="furtherReading"/>
              <w:id w:val="-1516217107"/>
              <w:placeholder>
                <w:docPart w:val="4DF6D20B8CAACA40B418D01D81C23D10"/>
              </w:placeholder>
            </w:sdtPr>
            <w:sdtContent>
              <w:p w:rsidR="009A4468" w:rsidRDefault="009A4468" w:rsidP="009A4468"/>
              <w:p w:rsidR="009A4468" w:rsidRDefault="009A4468" w:rsidP="009A4468">
                <w:sdt>
                  <w:sdtPr>
                    <w:id w:val="-141736351"/>
                    <w:citation/>
                  </w:sdtPr>
                  <w:sdtContent>
                    <w:r>
                      <w:fldChar w:fldCharType="begin"/>
                    </w:r>
                    <w:r>
                      <w:rPr>
                        <w:lang w:val="en-US"/>
                      </w:rPr>
                      <w:instrText xml:space="preserve"> CITATION Sch81 \l 1033 </w:instrText>
                    </w:r>
                    <w:r>
                      <w:fldChar w:fldCharType="separate"/>
                    </w:r>
                    <w:r>
                      <w:rPr>
                        <w:noProof/>
                        <w:lang w:val="en-US"/>
                      </w:rPr>
                      <w:t>(Schorske)</w:t>
                    </w:r>
                    <w:r>
                      <w:fldChar w:fldCharType="end"/>
                    </w:r>
                  </w:sdtContent>
                </w:sdt>
              </w:p>
              <w:p w:rsidR="009A4468" w:rsidRDefault="009A4468" w:rsidP="009A4468"/>
              <w:p w:rsidR="008972ED" w:rsidRDefault="008972ED" w:rsidP="009A4468">
                <w:sdt>
                  <w:sdtPr>
                    <w:id w:val="-636034801"/>
                    <w:citation/>
                  </w:sdtPr>
                  <w:sdtContent>
                    <w:r>
                      <w:fldChar w:fldCharType="begin"/>
                    </w:r>
                    <w:r>
                      <w:rPr>
                        <w:lang w:val="en-US"/>
                      </w:rPr>
                      <w:instrText xml:space="preserve"> CITATION Ver07 \l 1033 </w:instrText>
                    </w:r>
                    <w:r>
                      <w:fldChar w:fldCharType="separate"/>
                    </w:r>
                    <w:r>
                      <w:rPr>
                        <w:noProof/>
                        <w:lang w:val="en-US"/>
                      </w:rPr>
                      <w:t>(Vergo)</w:t>
                    </w:r>
                    <w:r>
                      <w:fldChar w:fldCharType="end"/>
                    </w:r>
                  </w:sdtContent>
                </w:sdt>
              </w:p>
              <w:p w:rsidR="008972ED" w:rsidRDefault="008972ED" w:rsidP="009A4468"/>
              <w:p w:rsidR="008972ED" w:rsidRDefault="008972ED" w:rsidP="009A4468">
                <w:sdt>
                  <w:sdtPr>
                    <w:id w:val="563152907"/>
                    <w:citation/>
                  </w:sdtPr>
                  <w:sdtContent>
                    <w:r>
                      <w:fldChar w:fldCharType="begin"/>
                    </w:r>
                    <w:r>
                      <w:rPr>
                        <w:lang w:val="en-US"/>
                      </w:rPr>
                      <w:instrText xml:space="preserve"> CITATION Smi98 \l 1033 </w:instrText>
                    </w:r>
                    <w:r>
                      <w:fldChar w:fldCharType="separate"/>
                    </w:r>
                    <w:r>
                      <w:rPr>
                        <w:noProof/>
                        <w:lang w:val="en-US"/>
                      </w:rPr>
                      <w:t>(Smith)</w:t>
                    </w:r>
                    <w:r>
                      <w:fldChar w:fldCharType="end"/>
                    </w:r>
                  </w:sdtContent>
                </w:sdt>
              </w:p>
              <w:p w:rsidR="008972ED" w:rsidRDefault="008972ED" w:rsidP="009A4468"/>
              <w:p w:rsidR="008972ED" w:rsidRDefault="008972ED" w:rsidP="009A4468">
                <w:sdt>
                  <w:sdtPr>
                    <w:id w:val="-1695674359"/>
                    <w:citation/>
                  </w:sdtPr>
                  <w:sdtContent>
                    <w:r>
                      <w:fldChar w:fldCharType="begin"/>
                    </w:r>
                    <w:r>
                      <w:rPr>
                        <w:lang w:val="en-US"/>
                      </w:rPr>
                      <w:instrText xml:space="preserve"> CITATION Zwe09 \l 1033 </w:instrText>
                    </w:r>
                    <w:r>
                      <w:fldChar w:fldCharType="separate"/>
                    </w:r>
                    <w:r>
                      <w:rPr>
                        <w:noProof/>
                        <w:lang w:val="en-US"/>
                      </w:rPr>
                      <w:t>(Zweig)</w:t>
                    </w:r>
                    <w:r>
                      <w:fldChar w:fldCharType="end"/>
                    </w:r>
                  </w:sdtContent>
                </w:sdt>
              </w:p>
              <w:p w:rsidR="008972ED" w:rsidRDefault="008972ED" w:rsidP="009A4468"/>
              <w:p w:rsidR="008972ED" w:rsidRDefault="008972ED" w:rsidP="009A4468">
                <w:sdt>
                  <w:sdtPr>
                    <w:id w:val="-250658294"/>
                    <w:citation/>
                  </w:sdtPr>
                  <w:sdtContent>
                    <w:r>
                      <w:fldChar w:fldCharType="begin"/>
                    </w:r>
                    <w:r>
                      <w:rPr>
                        <w:lang w:val="en-US"/>
                      </w:rPr>
                      <w:instrText xml:space="preserve"> CITATION Wei07 \l 1033 </w:instrText>
                    </w:r>
                    <w:r>
                      <w:fldChar w:fldCharType="separate"/>
                    </w:r>
                    <w:r>
                      <w:rPr>
                        <w:noProof/>
                        <w:lang w:val="en-US"/>
                      </w:rPr>
                      <w:t>(Weidinger)</w:t>
                    </w:r>
                    <w:r>
                      <w:fldChar w:fldCharType="end"/>
                    </w:r>
                  </w:sdtContent>
                </w:sdt>
              </w:p>
              <w:p w:rsidR="008972ED" w:rsidRDefault="008972ED" w:rsidP="009A4468"/>
              <w:p w:rsidR="008972ED" w:rsidRDefault="008972ED" w:rsidP="009A4468">
                <w:sdt>
                  <w:sdtPr>
                    <w:id w:val="1829086207"/>
                    <w:citation/>
                  </w:sdtPr>
                  <w:sdtContent>
                    <w:r>
                      <w:fldChar w:fldCharType="begin"/>
                    </w:r>
                    <w:r>
                      <w:rPr>
                        <w:lang w:val="en-US"/>
                      </w:rPr>
                      <w:instrText xml:space="preserve"> CITATION Str89 \l 1033 </w:instrText>
                    </w:r>
                    <w:r>
                      <w:fldChar w:fldCharType="separate"/>
                    </w:r>
                    <w:r>
                      <w:rPr>
                        <w:noProof/>
                        <w:lang w:val="en-US"/>
                      </w:rPr>
                      <w:t>(Strobl)</w:t>
                    </w:r>
                    <w:r>
                      <w:fldChar w:fldCharType="end"/>
                    </w:r>
                  </w:sdtContent>
                </w:sdt>
              </w:p>
              <w:p w:rsidR="008972ED" w:rsidRDefault="008972ED" w:rsidP="009A4468"/>
              <w:p w:rsidR="0070548E" w:rsidRDefault="0070548E" w:rsidP="009A4468">
                <w:sdt>
                  <w:sdtPr>
                    <w:id w:val="-827064340"/>
                    <w:citation/>
                  </w:sdtPr>
                  <w:sdtContent>
                    <w:r>
                      <w:fldChar w:fldCharType="begin"/>
                    </w:r>
                    <w:r>
                      <w:rPr>
                        <w:lang w:val="en-US"/>
                      </w:rPr>
                      <w:instrText xml:space="preserve"> CITATION Neb07 \l 1033 </w:instrText>
                    </w:r>
                    <w:r>
                      <w:fldChar w:fldCharType="separate"/>
                    </w:r>
                    <w:r>
                      <w:rPr>
                        <w:noProof/>
                        <w:lang w:val="en-US"/>
                      </w:rPr>
                      <w:t>(Nebehay)</w:t>
                    </w:r>
                    <w:r>
                      <w:fldChar w:fldCharType="end"/>
                    </w:r>
                  </w:sdtContent>
                </w:sdt>
              </w:p>
              <w:p w:rsidR="0070548E" w:rsidRDefault="0070548E" w:rsidP="009A4468"/>
              <w:p w:rsidR="0070548E" w:rsidRDefault="0070548E" w:rsidP="009A4468">
                <w:sdt>
                  <w:sdtPr>
                    <w:id w:val="-1488778316"/>
                    <w:citation/>
                  </w:sdtPr>
                  <w:sdtContent>
                    <w:r>
                      <w:fldChar w:fldCharType="begin"/>
                    </w:r>
                    <w:r>
                      <w:rPr>
                        <w:lang w:val="en-US"/>
                      </w:rPr>
                      <w:instrText xml:space="preserve"> CITATION Koj07 \l 1033 </w:instrText>
                    </w:r>
                    <w:r>
                      <w:fldChar w:fldCharType="separate"/>
                    </w:r>
                    <w:r>
                      <w:rPr>
                        <w:noProof/>
                        <w:lang w:val="en-US"/>
                      </w:rPr>
                      <w:t>(Koja)</w:t>
                    </w:r>
                    <w:r>
                      <w:fldChar w:fldCharType="end"/>
                    </w:r>
                  </w:sdtContent>
                </w:sdt>
              </w:p>
              <w:p w:rsidR="0070548E" w:rsidRDefault="0070548E" w:rsidP="009A4468"/>
              <w:p w:rsidR="0070548E" w:rsidRDefault="0070548E" w:rsidP="009A4468">
                <w:sdt>
                  <w:sdtPr>
                    <w:id w:val="302665938"/>
                    <w:citation/>
                  </w:sdtPr>
                  <w:sdtContent>
                    <w:r>
                      <w:fldChar w:fldCharType="begin"/>
                    </w:r>
                    <w:r>
                      <w:rPr>
                        <w:lang w:val="en-US"/>
                      </w:rPr>
                      <w:instrText xml:space="preserve"> CITATION Kli01 \l 1033 </w:instrText>
                    </w:r>
                    <w:r>
                      <w:fldChar w:fldCharType="separate"/>
                    </w:r>
                    <w:r>
                      <w:rPr>
                        <w:noProof/>
                        <w:lang w:val="en-US"/>
                      </w:rPr>
                      <w:t>(Klimt, Bailey and Collins)</w:t>
                    </w:r>
                    <w:r>
                      <w:fldChar w:fldCharType="end"/>
                    </w:r>
                  </w:sdtContent>
                </w:sdt>
                <w:r>
                  <w:rPr>
                    <w:rStyle w:val="CommentReference"/>
                  </w:rPr>
                  <w:commentReference w:id="2"/>
                </w:r>
              </w:p>
              <w:p w:rsidR="0070548E" w:rsidRDefault="0070548E" w:rsidP="009A4468"/>
              <w:p w:rsidR="0070548E" w:rsidRDefault="0070548E" w:rsidP="009A4468">
                <w:sdt>
                  <w:sdtPr>
                    <w:id w:val="577479247"/>
                    <w:citation/>
                  </w:sdtPr>
                  <w:sdtContent>
                    <w:r>
                      <w:fldChar w:fldCharType="begin"/>
                    </w:r>
                    <w:r>
                      <w:rPr>
                        <w:lang w:val="en-US"/>
                      </w:rPr>
                      <w:instrText xml:space="preserve"> CITATION Nat08 \l 1033 </w:instrText>
                    </w:r>
                    <w:r>
                      <w:fldChar w:fldCharType="separate"/>
                    </w:r>
                    <w:r>
                      <w:rPr>
                        <w:noProof/>
                        <w:lang w:val="en-US"/>
                      </w:rPr>
                      <w:t>(Natter and Grunenberg)</w:t>
                    </w:r>
                    <w:r>
                      <w:fldChar w:fldCharType="end"/>
                    </w:r>
                  </w:sdtContent>
                </w:sdt>
              </w:p>
              <w:p w:rsidR="0070548E" w:rsidRDefault="0070548E" w:rsidP="009A4468"/>
              <w:p w:rsidR="0070548E" w:rsidRDefault="0070548E" w:rsidP="009A4468">
                <w:sdt>
                  <w:sdtPr>
                    <w:id w:val="1910417350"/>
                    <w:citation/>
                  </w:sdtPr>
                  <w:sdtContent>
                    <w:r>
                      <w:fldChar w:fldCharType="begin"/>
                    </w:r>
                    <w:r>
                      <w:rPr>
                        <w:lang w:val="en-US"/>
                      </w:rPr>
                      <w:instrText xml:space="preserve"> CITATION Pri07 \l 1033 </w:instrText>
                    </w:r>
                    <w:r>
                      <w:fldChar w:fldCharType="separate"/>
                    </w:r>
                    <w:r>
                      <w:rPr>
                        <w:noProof/>
                        <w:lang w:val="en-US"/>
                      </w:rPr>
                      <w:t>(Price)</w:t>
                    </w:r>
                    <w:r>
                      <w:fldChar w:fldCharType="end"/>
                    </w:r>
                  </w:sdtContent>
                </w:sdt>
              </w:p>
              <w:p w:rsidR="0070548E" w:rsidRDefault="0070548E" w:rsidP="009A4468"/>
              <w:p w:rsidR="0070548E" w:rsidRDefault="0070548E" w:rsidP="009A4468">
                <w:sdt>
                  <w:sdtPr>
                    <w:id w:val="228350446"/>
                    <w:citation/>
                  </w:sdtPr>
                  <w:sdtContent>
                    <w:r>
                      <w:fldChar w:fldCharType="begin"/>
                    </w:r>
                    <w:r>
                      <w:rPr>
                        <w:lang w:val="en-US"/>
                      </w:rPr>
                      <w:instrText xml:space="preserve">CITATION Kli00 \l 1033 </w:instrText>
                    </w:r>
                    <w:r>
                      <w:fldChar w:fldCharType="separate"/>
                    </w:r>
                    <w:r>
                      <w:rPr>
                        <w:noProof/>
                        <w:lang w:val="en-US"/>
                      </w:rPr>
                      <w:t>(Natter and Frodl)</w:t>
                    </w:r>
                    <w:r>
                      <w:fldChar w:fldCharType="end"/>
                    </w:r>
                  </w:sdtContent>
                </w:sdt>
              </w:p>
              <w:p w:rsidR="0070548E" w:rsidRDefault="0070548E" w:rsidP="009A4468"/>
              <w:p w:rsidR="003235A7" w:rsidRPr="009A4468" w:rsidRDefault="0070548E" w:rsidP="00BC09EC">
                <w:pPr>
                  <w:keepNext/>
                </w:pPr>
                <w:sdt>
                  <w:sdtPr>
                    <w:id w:val="-1918081272"/>
                    <w:citation/>
                  </w:sdtPr>
                  <w:sdtContent>
                    <w:r>
                      <w:fldChar w:fldCharType="begin"/>
                    </w:r>
                    <w:r>
                      <w:rPr>
                        <w:lang w:val="en-US"/>
                      </w:rPr>
                      <w:instrText xml:space="preserve"> CITATION The05 \l 1033 </w:instrText>
                    </w:r>
                    <w:r>
                      <w:fldChar w:fldCharType="separate"/>
                    </w:r>
                    <w:r>
                      <w:rPr>
                        <w:noProof/>
                        <w:lang w:val="en-US"/>
                      </w:rPr>
                      <w:t>(The Naked Truth: Klimt)</w:t>
                    </w:r>
                    <w:r>
                      <w:fldChar w:fldCharType="end"/>
                    </w:r>
                  </w:sdtContent>
                </w:sdt>
              </w:p>
            </w:sdtContent>
          </w:sdt>
        </w:tc>
      </w:tr>
    </w:tbl>
    <w:p w:rsidR="00C27FAB" w:rsidRPr="009A4468" w:rsidRDefault="00C27FAB" w:rsidP="00BC09EC">
      <w:pPr>
        <w:pStyle w:val="Caption"/>
      </w:pPr>
    </w:p>
    <w:sectPr w:rsidR="00C27FAB" w:rsidRPr="009A4468">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5-10-05T22:49:00Z" w:initials="KT">
    <w:p w:rsidR="00BC09EC" w:rsidRDefault="00BC09EC">
      <w:pPr>
        <w:pStyle w:val="CommentText"/>
      </w:pPr>
      <w:r>
        <w:rPr>
          <w:rStyle w:val="CommentReference"/>
        </w:rPr>
        <w:annotationRef/>
      </w:r>
      <w:r>
        <w:t xml:space="preserve">Please note that the contributor included 13 images, all of which are in the folder. I looked up URL’s for all of them and included this information in the “comments” within the file itself. </w:t>
      </w:r>
    </w:p>
  </w:comment>
  <w:comment w:id="2" w:author="Kevin Tunnicliffe" w:date="2015-10-05T10:42:00Z" w:initials="KT">
    <w:p w:rsidR="00841213" w:rsidRDefault="00841213">
      <w:pPr>
        <w:pStyle w:val="CommentText"/>
      </w:pPr>
      <w:r>
        <w:rPr>
          <w:rStyle w:val="CommentReference"/>
        </w:rPr>
        <w:annotationRef/>
      </w:r>
      <w:r>
        <w:t>Not totally sure about the format of this citation.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213" w:rsidRDefault="00841213" w:rsidP="007A0D55">
      <w:pPr>
        <w:spacing w:after="0" w:line="240" w:lineRule="auto"/>
      </w:pPr>
      <w:r>
        <w:separator/>
      </w:r>
    </w:p>
  </w:endnote>
  <w:endnote w:type="continuationSeparator" w:id="0">
    <w:p w:rsidR="00841213" w:rsidRDefault="0084121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unga">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213" w:rsidRDefault="00841213" w:rsidP="007A0D55">
      <w:pPr>
        <w:spacing w:after="0" w:line="240" w:lineRule="auto"/>
      </w:pPr>
      <w:r>
        <w:separator/>
      </w:r>
    </w:p>
  </w:footnote>
  <w:footnote w:type="continuationSeparator" w:id="0">
    <w:p w:rsidR="00841213" w:rsidRDefault="0084121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213" w:rsidRDefault="0084121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841213" w:rsidRDefault="0084121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46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0548E"/>
    <w:rsid w:val="007411B9"/>
    <w:rsid w:val="00780D95"/>
    <w:rsid w:val="00780DC7"/>
    <w:rsid w:val="007A0D55"/>
    <w:rsid w:val="007B3377"/>
    <w:rsid w:val="007E5F44"/>
    <w:rsid w:val="00821DE3"/>
    <w:rsid w:val="00841213"/>
    <w:rsid w:val="00846CE1"/>
    <w:rsid w:val="008972ED"/>
    <w:rsid w:val="008A5B87"/>
    <w:rsid w:val="00922950"/>
    <w:rsid w:val="009A4468"/>
    <w:rsid w:val="009A7264"/>
    <w:rsid w:val="009D1606"/>
    <w:rsid w:val="009E18A1"/>
    <w:rsid w:val="009E73D7"/>
    <w:rsid w:val="00A27D2C"/>
    <w:rsid w:val="00A76FD9"/>
    <w:rsid w:val="00AB436D"/>
    <w:rsid w:val="00AD2F24"/>
    <w:rsid w:val="00AD4844"/>
    <w:rsid w:val="00B219AE"/>
    <w:rsid w:val="00B33145"/>
    <w:rsid w:val="00B574C9"/>
    <w:rsid w:val="00BC09EC"/>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44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4468"/>
    <w:rPr>
      <w:rFonts w:ascii="Lucida Grande" w:hAnsi="Lucida Grande" w:cs="Lucida Grande"/>
      <w:sz w:val="18"/>
      <w:szCs w:val="18"/>
    </w:rPr>
  </w:style>
  <w:style w:type="character" w:styleId="CommentReference">
    <w:name w:val="annotation reference"/>
    <w:basedOn w:val="DefaultParagraphFont"/>
    <w:uiPriority w:val="99"/>
    <w:semiHidden/>
    <w:rsid w:val="0070548E"/>
    <w:rPr>
      <w:sz w:val="18"/>
      <w:szCs w:val="18"/>
    </w:rPr>
  </w:style>
  <w:style w:type="paragraph" w:styleId="CommentText">
    <w:name w:val="annotation text"/>
    <w:basedOn w:val="Normal"/>
    <w:link w:val="CommentTextChar"/>
    <w:uiPriority w:val="99"/>
    <w:semiHidden/>
    <w:rsid w:val="0070548E"/>
    <w:pPr>
      <w:spacing w:line="240" w:lineRule="auto"/>
    </w:pPr>
    <w:rPr>
      <w:sz w:val="24"/>
      <w:szCs w:val="24"/>
    </w:rPr>
  </w:style>
  <w:style w:type="character" w:customStyle="1" w:styleId="CommentTextChar">
    <w:name w:val="Comment Text Char"/>
    <w:basedOn w:val="DefaultParagraphFont"/>
    <w:link w:val="CommentText"/>
    <w:uiPriority w:val="99"/>
    <w:semiHidden/>
    <w:rsid w:val="0070548E"/>
    <w:rPr>
      <w:sz w:val="24"/>
      <w:szCs w:val="24"/>
    </w:rPr>
  </w:style>
  <w:style w:type="paragraph" w:styleId="CommentSubject">
    <w:name w:val="annotation subject"/>
    <w:basedOn w:val="CommentText"/>
    <w:next w:val="CommentText"/>
    <w:link w:val="CommentSubjectChar"/>
    <w:uiPriority w:val="99"/>
    <w:semiHidden/>
    <w:rsid w:val="0070548E"/>
    <w:rPr>
      <w:b/>
      <w:bCs/>
      <w:sz w:val="20"/>
      <w:szCs w:val="20"/>
    </w:rPr>
  </w:style>
  <w:style w:type="character" w:customStyle="1" w:styleId="CommentSubjectChar">
    <w:name w:val="Comment Subject Char"/>
    <w:basedOn w:val="CommentTextChar"/>
    <w:link w:val="CommentSubject"/>
    <w:uiPriority w:val="99"/>
    <w:semiHidden/>
    <w:rsid w:val="0070548E"/>
    <w:rPr>
      <w:b/>
      <w:bCs/>
      <w:sz w:val="20"/>
      <w:szCs w:val="20"/>
    </w:rPr>
  </w:style>
  <w:style w:type="paragraph" w:styleId="Caption">
    <w:name w:val="caption"/>
    <w:basedOn w:val="Normal"/>
    <w:next w:val="Normal"/>
    <w:uiPriority w:val="35"/>
    <w:semiHidden/>
    <w:qFormat/>
    <w:rsid w:val="0084121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44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4468"/>
    <w:rPr>
      <w:rFonts w:ascii="Lucida Grande" w:hAnsi="Lucida Grande" w:cs="Lucida Grande"/>
      <w:sz w:val="18"/>
      <w:szCs w:val="18"/>
    </w:rPr>
  </w:style>
  <w:style w:type="character" w:styleId="CommentReference">
    <w:name w:val="annotation reference"/>
    <w:basedOn w:val="DefaultParagraphFont"/>
    <w:uiPriority w:val="99"/>
    <w:semiHidden/>
    <w:rsid w:val="0070548E"/>
    <w:rPr>
      <w:sz w:val="18"/>
      <w:szCs w:val="18"/>
    </w:rPr>
  </w:style>
  <w:style w:type="paragraph" w:styleId="CommentText">
    <w:name w:val="annotation text"/>
    <w:basedOn w:val="Normal"/>
    <w:link w:val="CommentTextChar"/>
    <w:uiPriority w:val="99"/>
    <w:semiHidden/>
    <w:rsid w:val="0070548E"/>
    <w:pPr>
      <w:spacing w:line="240" w:lineRule="auto"/>
    </w:pPr>
    <w:rPr>
      <w:sz w:val="24"/>
      <w:szCs w:val="24"/>
    </w:rPr>
  </w:style>
  <w:style w:type="character" w:customStyle="1" w:styleId="CommentTextChar">
    <w:name w:val="Comment Text Char"/>
    <w:basedOn w:val="DefaultParagraphFont"/>
    <w:link w:val="CommentText"/>
    <w:uiPriority w:val="99"/>
    <w:semiHidden/>
    <w:rsid w:val="0070548E"/>
    <w:rPr>
      <w:sz w:val="24"/>
      <w:szCs w:val="24"/>
    </w:rPr>
  </w:style>
  <w:style w:type="paragraph" w:styleId="CommentSubject">
    <w:name w:val="annotation subject"/>
    <w:basedOn w:val="CommentText"/>
    <w:next w:val="CommentText"/>
    <w:link w:val="CommentSubjectChar"/>
    <w:uiPriority w:val="99"/>
    <w:semiHidden/>
    <w:rsid w:val="0070548E"/>
    <w:rPr>
      <w:b/>
      <w:bCs/>
      <w:sz w:val="20"/>
      <w:szCs w:val="20"/>
    </w:rPr>
  </w:style>
  <w:style w:type="character" w:customStyle="1" w:styleId="CommentSubjectChar">
    <w:name w:val="Comment Subject Char"/>
    <w:basedOn w:val="CommentTextChar"/>
    <w:link w:val="CommentSubject"/>
    <w:uiPriority w:val="99"/>
    <w:semiHidden/>
    <w:rsid w:val="0070548E"/>
    <w:rPr>
      <w:b/>
      <w:bCs/>
      <w:sz w:val="20"/>
      <w:szCs w:val="20"/>
    </w:rPr>
  </w:style>
  <w:style w:type="paragraph" w:styleId="Caption">
    <w:name w:val="caption"/>
    <w:basedOn w:val="Normal"/>
    <w:next w:val="Normal"/>
    <w:uiPriority w:val="35"/>
    <w:semiHidden/>
    <w:qFormat/>
    <w:rsid w:val="0084121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621FC67FEADA4187EC36F1855227E4"/>
        <w:category>
          <w:name w:val="General"/>
          <w:gallery w:val="placeholder"/>
        </w:category>
        <w:types>
          <w:type w:val="bbPlcHdr"/>
        </w:types>
        <w:behaviors>
          <w:behavior w:val="content"/>
        </w:behaviors>
        <w:guid w:val="{37C27E0D-48F4-0345-BA04-AABC6C829CD5}"/>
      </w:docPartPr>
      <w:docPartBody>
        <w:p w:rsidR="00000000" w:rsidRDefault="004E117A">
          <w:pPr>
            <w:pStyle w:val="72621FC67FEADA4187EC36F1855227E4"/>
          </w:pPr>
          <w:r w:rsidRPr="00CC586D">
            <w:rPr>
              <w:rStyle w:val="PlaceholderText"/>
              <w:b/>
              <w:color w:val="FFFFFF" w:themeColor="background1"/>
            </w:rPr>
            <w:t>[Salutation]</w:t>
          </w:r>
        </w:p>
      </w:docPartBody>
    </w:docPart>
    <w:docPart>
      <w:docPartPr>
        <w:name w:val="65B4A62AE7863D45BE1E729683B2B0BA"/>
        <w:category>
          <w:name w:val="General"/>
          <w:gallery w:val="placeholder"/>
        </w:category>
        <w:types>
          <w:type w:val="bbPlcHdr"/>
        </w:types>
        <w:behaviors>
          <w:behavior w:val="content"/>
        </w:behaviors>
        <w:guid w:val="{1D28C945-914D-5648-AFE2-B7643B0A61C0}"/>
      </w:docPartPr>
      <w:docPartBody>
        <w:p w:rsidR="00000000" w:rsidRDefault="004E117A">
          <w:pPr>
            <w:pStyle w:val="65B4A62AE7863D45BE1E729683B2B0BA"/>
          </w:pPr>
          <w:r>
            <w:rPr>
              <w:rStyle w:val="PlaceholderText"/>
            </w:rPr>
            <w:t>[First name]</w:t>
          </w:r>
        </w:p>
      </w:docPartBody>
    </w:docPart>
    <w:docPart>
      <w:docPartPr>
        <w:name w:val="F77BA5EA448D1946A529FB6046D929CB"/>
        <w:category>
          <w:name w:val="General"/>
          <w:gallery w:val="placeholder"/>
        </w:category>
        <w:types>
          <w:type w:val="bbPlcHdr"/>
        </w:types>
        <w:behaviors>
          <w:behavior w:val="content"/>
        </w:behaviors>
        <w:guid w:val="{5BA9F677-1310-204E-8740-376F13BC4460}"/>
      </w:docPartPr>
      <w:docPartBody>
        <w:p w:rsidR="00000000" w:rsidRDefault="004E117A">
          <w:pPr>
            <w:pStyle w:val="F77BA5EA448D1946A529FB6046D929CB"/>
          </w:pPr>
          <w:r>
            <w:rPr>
              <w:rStyle w:val="PlaceholderText"/>
            </w:rPr>
            <w:t>[Middle name]</w:t>
          </w:r>
        </w:p>
      </w:docPartBody>
    </w:docPart>
    <w:docPart>
      <w:docPartPr>
        <w:name w:val="8195F9BEF981074F9634F28BBF618A60"/>
        <w:category>
          <w:name w:val="General"/>
          <w:gallery w:val="placeholder"/>
        </w:category>
        <w:types>
          <w:type w:val="bbPlcHdr"/>
        </w:types>
        <w:behaviors>
          <w:behavior w:val="content"/>
        </w:behaviors>
        <w:guid w:val="{7E671CBA-406E-1540-BDC5-08826C06627D}"/>
      </w:docPartPr>
      <w:docPartBody>
        <w:p w:rsidR="00000000" w:rsidRDefault="004E117A">
          <w:pPr>
            <w:pStyle w:val="8195F9BEF981074F9634F28BBF618A60"/>
          </w:pPr>
          <w:r>
            <w:rPr>
              <w:rStyle w:val="PlaceholderText"/>
            </w:rPr>
            <w:t>[Last name]</w:t>
          </w:r>
        </w:p>
      </w:docPartBody>
    </w:docPart>
    <w:docPart>
      <w:docPartPr>
        <w:name w:val="0CCCA17151559941BF599B1C68D68DD9"/>
        <w:category>
          <w:name w:val="General"/>
          <w:gallery w:val="placeholder"/>
        </w:category>
        <w:types>
          <w:type w:val="bbPlcHdr"/>
        </w:types>
        <w:behaviors>
          <w:behavior w:val="content"/>
        </w:behaviors>
        <w:guid w:val="{F637737B-160D-CE41-9C3C-150298B30D01}"/>
      </w:docPartPr>
      <w:docPartBody>
        <w:p w:rsidR="00000000" w:rsidRDefault="004E117A">
          <w:pPr>
            <w:pStyle w:val="0CCCA17151559941BF599B1C68D68DD9"/>
          </w:pPr>
          <w:r>
            <w:rPr>
              <w:rStyle w:val="PlaceholderText"/>
            </w:rPr>
            <w:t>[Enter your biography]</w:t>
          </w:r>
        </w:p>
      </w:docPartBody>
    </w:docPart>
    <w:docPart>
      <w:docPartPr>
        <w:name w:val="2C6B4336B8581C4B9747D210E486CF8E"/>
        <w:category>
          <w:name w:val="General"/>
          <w:gallery w:val="placeholder"/>
        </w:category>
        <w:types>
          <w:type w:val="bbPlcHdr"/>
        </w:types>
        <w:behaviors>
          <w:behavior w:val="content"/>
        </w:behaviors>
        <w:guid w:val="{9C21A47F-C245-B64A-A8B3-BB353A5090E4}"/>
      </w:docPartPr>
      <w:docPartBody>
        <w:p w:rsidR="00000000" w:rsidRDefault="004E117A">
          <w:pPr>
            <w:pStyle w:val="2C6B4336B8581C4B9747D210E486CF8E"/>
          </w:pPr>
          <w:r>
            <w:rPr>
              <w:rStyle w:val="PlaceholderText"/>
            </w:rPr>
            <w:t>[Enter the institution with which you are affiliated]</w:t>
          </w:r>
        </w:p>
      </w:docPartBody>
    </w:docPart>
    <w:docPart>
      <w:docPartPr>
        <w:name w:val="A6E49E16FDF62D49BFD5E5BB28B0FDC3"/>
        <w:category>
          <w:name w:val="General"/>
          <w:gallery w:val="placeholder"/>
        </w:category>
        <w:types>
          <w:type w:val="bbPlcHdr"/>
        </w:types>
        <w:behaviors>
          <w:behavior w:val="content"/>
        </w:behaviors>
        <w:guid w:val="{3E7FCEA8-EC82-384B-84B4-475F7467770D}"/>
      </w:docPartPr>
      <w:docPartBody>
        <w:p w:rsidR="00000000" w:rsidRDefault="004E117A">
          <w:pPr>
            <w:pStyle w:val="A6E49E16FDF62D49BFD5E5BB28B0FDC3"/>
          </w:pPr>
          <w:r w:rsidRPr="00EF74F7">
            <w:rPr>
              <w:b/>
              <w:color w:val="808080" w:themeColor="background1" w:themeShade="80"/>
            </w:rPr>
            <w:t>[Enter the headword for your article]</w:t>
          </w:r>
        </w:p>
      </w:docPartBody>
    </w:docPart>
    <w:docPart>
      <w:docPartPr>
        <w:name w:val="BCF29C5E4914C341939B96AF8C8F04C1"/>
        <w:category>
          <w:name w:val="General"/>
          <w:gallery w:val="placeholder"/>
        </w:category>
        <w:types>
          <w:type w:val="bbPlcHdr"/>
        </w:types>
        <w:behaviors>
          <w:behavior w:val="content"/>
        </w:behaviors>
        <w:guid w:val="{793D5F00-C5C8-114E-9639-5D2F3A0724FB}"/>
      </w:docPartPr>
      <w:docPartBody>
        <w:p w:rsidR="00000000" w:rsidRDefault="004E117A">
          <w:pPr>
            <w:pStyle w:val="BCF29C5E4914C341939B96AF8C8F04C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6D288C1E92287498B378DCFE9698ABD"/>
        <w:category>
          <w:name w:val="General"/>
          <w:gallery w:val="placeholder"/>
        </w:category>
        <w:types>
          <w:type w:val="bbPlcHdr"/>
        </w:types>
        <w:behaviors>
          <w:behavior w:val="content"/>
        </w:behaviors>
        <w:guid w:val="{C2A2504A-07E8-F842-A929-C38A0134D85E}"/>
      </w:docPartPr>
      <w:docPartBody>
        <w:p w:rsidR="00000000" w:rsidRDefault="004E117A">
          <w:pPr>
            <w:pStyle w:val="36D288C1E92287498B378DCFE9698AB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CE4275EF6610744BE0B22AEEA89F6CE"/>
        <w:category>
          <w:name w:val="General"/>
          <w:gallery w:val="placeholder"/>
        </w:category>
        <w:types>
          <w:type w:val="bbPlcHdr"/>
        </w:types>
        <w:behaviors>
          <w:behavior w:val="content"/>
        </w:behaviors>
        <w:guid w:val="{84C006DD-96C8-4E47-A158-FBECCDA6D022}"/>
      </w:docPartPr>
      <w:docPartBody>
        <w:p w:rsidR="00000000" w:rsidRDefault="004E117A">
          <w:pPr>
            <w:pStyle w:val="BCE4275EF6610744BE0B22AEEA89F6C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DF6D20B8CAACA40B418D01D81C23D10"/>
        <w:category>
          <w:name w:val="General"/>
          <w:gallery w:val="placeholder"/>
        </w:category>
        <w:types>
          <w:type w:val="bbPlcHdr"/>
        </w:types>
        <w:behaviors>
          <w:behavior w:val="content"/>
        </w:behaviors>
        <w:guid w:val="{CEB02840-72F7-B64F-9DD2-CC4E1955DAC1}"/>
      </w:docPartPr>
      <w:docPartBody>
        <w:p w:rsidR="00000000" w:rsidRDefault="004E117A">
          <w:pPr>
            <w:pStyle w:val="4DF6D20B8CAACA40B418D01D81C23D1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unga">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621FC67FEADA4187EC36F1855227E4">
    <w:name w:val="72621FC67FEADA4187EC36F1855227E4"/>
  </w:style>
  <w:style w:type="paragraph" w:customStyle="1" w:styleId="65B4A62AE7863D45BE1E729683B2B0BA">
    <w:name w:val="65B4A62AE7863D45BE1E729683B2B0BA"/>
  </w:style>
  <w:style w:type="paragraph" w:customStyle="1" w:styleId="F77BA5EA448D1946A529FB6046D929CB">
    <w:name w:val="F77BA5EA448D1946A529FB6046D929CB"/>
  </w:style>
  <w:style w:type="paragraph" w:customStyle="1" w:styleId="8195F9BEF981074F9634F28BBF618A60">
    <w:name w:val="8195F9BEF981074F9634F28BBF618A60"/>
  </w:style>
  <w:style w:type="paragraph" w:customStyle="1" w:styleId="0CCCA17151559941BF599B1C68D68DD9">
    <w:name w:val="0CCCA17151559941BF599B1C68D68DD9"/>
  </w:style>
  <w:style w:type="paragraph" w:customStyle="1" w:styleId="2C6B4336B8581C4B9747D210E486CF8E">
    <w:name w:val="2C6B4336B8581C4B9747D210E486CF8E"/>
  </w:style>
  <w:style w:type="paragraph" w:customStyle="1" w:styleId="A6E49E16FDF62D49BFD5E5BB28B0FDC3">
    <w:name w:val="A6E49E16FDF62D49BFD5E5BB28B0FDC3"/>
  </w:style>
  <w:style w:type="paragraph" w:customStyle="1" w:styleId="BCF29C5E4914C341939B96AF8C8F04C1">
    <w:name w:val="BCF29C5E4914C341939B96AF8C8F04C1"/>
  </w:style>
  <w:style w:type="paragraph" w:customStyle="1" w:styleId="36D288C1E92287498B378DCFE9698ABD">
    <w:name w:val="36D288C1E92287498B378DCFE9698ABD"/>
  </w:style>
  <w:style w:type="paragraph" w:customStyle="1" w:styleId="BCE4275EF6610744BE0B22AEEA89F6CE">
    <w:name w:val="BCE4275EF6610744BE0B22AEEA89F6CE"/>
  </w:style>
  <w:style w:type="paragraph" w:customStyle="1" w:styleId="4DF6D20B8CAACA40B418D01D81C23D10">
    <w:name w:val="4DF6D20B8CAACA40B418D01D81C23D1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621FC67FEADA4187EC36F1855227E4">
    <w:name w:val="72621FC67FEADA4187EC36F1855227E4"/>
  </w:style>
  <w:style w:type="paragraph" w:customStyle="1" w:styleId="65B4A62AE7863D45BE1E729683B2B0BA">
    <w:name w:val="65B4A62AE7863D45BE1E729683B2B0BA"/>
  </w:style>
  <w:style w:type="paragraph" w:customStyle="1" w:styleId="F77BA5EA448D1946A529FB6046D929CB">
    <w:name w:val="F77BA5EA448D1946A529FB6046D929CB"/>
  </w:style>
  <w:style w:type="paragraph" w:customStyle="1" w:styleId="8195F9BEF981074F9634F28BBF618A60">
    <w:name w:val="8195F9BEF981074F9634F28BBF618A60"/>
  </w:style>
  <w:style w:type="paragraph" w:customStyle="1" w:styleId="0CCCA17151559941BF599B1C68D68DD9">
    <w:name w:val="0CCCA17151559941BF599B1C68D68DD9"/>
  </w:style>
  <w:style w:type="paragraph" w:customStyle="1" w:styleId="2C6B4336B8581C4B9747D210E486CF8E">
    <w:name w:val="2C6B4336B8581C4B9747D210E486CF8E"/>
  </w:style>
  <w:style w:type="paragraph" w:customStyle="1" w:styleId="A6E49E16FDF62D49BFD5E5BB28B0FDC3">
    <w:name w:val="A6E49E16FDF62D49BFD5E5BB28B0FDC3"/>
  </w:style>
  <w:style w:type="paragraph" w:customStyle="1" w:styleId="BCF29C5E4914C341939B96AF8C8F04C1">
    <w:name w:val="BCF29C5E4914C341939B96AF8C8F04C1"/>
  </w:style>
  <w:style w:type="paragraph" w:customStyle="1" w:styleId="36D288C1E92287498B378DCFE9698ABD">
    <w:name w:val="36D288C1E92287498B378DCFE9698ABD"/>
  </w:style>
  <w:style w:type="paragraph" w:customStyle="1" w:styleId="BCE4275EF6610744BE0B22AEEA89F6CE">
    <w:name w:val="BCE4275EF6610744BE0B22AEEA89F6CE"/>
  </w:style>
  <w:style w:type="paragraph" w:customStyle="1" w:styleId="4DF6D20B8CAACA40B418D01D81C23D10">
    <w:name w:val="4DF6D20B8CAACA40B418D01D81C23D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Sch81</b:Tag>
    <b:SourceType>Book</b:SourceType>
    <b:Guid>{5F68EE61-6562-894E-ADF1-F8E346404843}</b:Guid>
    <b:Author>
      <b:Author>
        <b:NameList>
          <b:Person>
            <b:Last>Schorske</b:Last>
            <b:First>Carl</b:First>
            <b:Middle>E.</b:Middle>
          </b:Person>
        </b:NameList>
      </b:Author>
    </b:Author>
    <b:Title>Fin-de-Siècle Vienna: Politics and Culture</b:Title>
    <b:City>New York</b:City>
    <b:Publisher>Vintage Books, Random House</b:Publisher>
    <b:Year>1981</b:Year>
    <b:RefOrder>1</b:RefOrder>
  </b:Source>
  <b:Source>
    <b:Tag>Ver07</b:Tag>
    <b:SourceType>Book</b:SourceType>
    <b:Guid>{7566B6AF-5771-8947-A9E3-19D32D54C508}</b:Guid>
    <b:Author>
      <b:Author>
        <b:NameList>
          <b:Person>
            <b:Last>Vergo</b:Last>
            <b:First>Peter</b:First>
          </b:Person>
        </b:NameList>
      </b:Author>
    </b:Author>
    <b:Title>Art in Vienna, 1898-1918</b:Title>
    <b:City>London</b:City>
    <b:Publisher>Phaidon Press</b:Publisher>
    <b:Year>2007</b:Year>
    <b:RefOrder>2</b:RefOrder>
  </b:Source>
  <b:Source>
    <b:Tag>Smi98</b:Tag>
    <b:SourceType>Book</b:SourceType>
    <b:Guid>{EFAAEBC5-D408-BF4E-B16C-1293534DE5FD}</b:Guid>
    <b:Author>
      <b:Author>
        <b:NameList>
          <b:Person>
            <b:Last>Smith</b:Last>
            <b:First>D.</b:First>
            <b:Middle>F.</b:Middle>
          </b:Person>
        </b:NameList>
      </b:Author>
    </b:Author>
    <b:Title>Vienna Secession 1898-1998: The Century of Artistic Freedom</b:Title>
    <b:City>Munich and New York</b:City>
    <b:Publisher>Prestel Verlag</b:Publisher>
    <b:Year>1998</b:Year>
    <b:RefOrder>3</b:RefOrder>
  </b:Source>
  <b:Source>
    <b:Tag>Zwe09</b:Tag>
    <b:SourceType>Book</b:SourceType>
    <b:Guid>{0B79AB6A-DD73-F34B-93B8-9BA7A8EC1278}</b:Guid>
    <b:Author>
      <b:Author>
        <b:NameList>
          <b:Person>
            <b:Last>Zweig</b:Last>
            <b:First>Stefan</b:First>
          </b:Person>
        </b:NameList>
      </b:Author>
    </b:Author>
    <b:Title>The World of Yesterday</b:Title>
    <b:City>London</b:City>
    <b:Publisher>Pushkin Press</b:Publisher>
    <b:Year>2009</b:Year>
    <b:RefOrder>4</b:RefOrder>
  </b:Source>
  <b:Source>
    <b:Tag>Wei07</b:Tag>
    <b:SourceType>Book</b:SourceType>
    <b:Guid>{0DA105E5-BA3B-9C49-8519-AF2C9F9D1D03}</b:Guid>
    <b:Title>Gustav Klimt catalogue raisonné</b:Title>
    <b:City>New York</b:City>
    <b:Publisher>Prestel Verlag</b:Publisher>
    <b:Year>2007</b:Year>
    <b:Author>
      <b:Editor>
        <b:NameList>
          <b:Person>
            <b:Last>Weidinger</b:Last>
            <b:First>Alfred</b:First>
          </b:Person>
        </b:NameList>
      </b:Editor>
    </b:Author>
    <b:RefOrder>5</b:RefOrder>
  </b:Source>
  <b:Source>
    <b:Tag>Str89</b:Tag>
    <b:SourceType>Book</b:SourceType>
    <b:Guid>{86441892-32CE-1649-8AEC-C5C42033AAE3}</b:Guid>
    <b:Author>
      <b:Editor>
        <b:NameList>
          <b:Person>
            <b:Last>Strobl</b:Last>
            <b:First>Alice</b:First>
          </b:Person>
        </b:NameList>
      </b:Editor>
    </b:Author>
    <b:Title>Gustav Klimt die Zeichnungen</b:Title>
    <b:City>Salzburg and Vienna</b:City>
    <b:Publisher>Galerie Welz and Albertina</b:Publisher>
    <b:Year>1989</b:Year>
    <b:NumberVolumes>4 Vol. catalogue raisonné</b:NumberVolumes>
    <b:RefOrder>6</b:RefOrder>
  </b:Source>
  <b:Source>
    <b:Tag>Neb07</b:Tag>
    <b:SourceType>Book</b:SourceType>
    <b:Guid>{B16FD8CC-61AC-244E-B962-8C8FD84A6CF1}</b:Guid>
    <b:Author>
      <b:Author>
        <b:NameList>
          <b:Person>
            <b:Last>Nebehay</b:Last>
            <b:First>Christian</b:First>
            <b:Middle>M.</b:Middle>
          </b:Person>
        </b:NameList>
      </b:Author>
    </b:Author>
    <b:Title>Gustav Klimt: From Drawing to Painting</b:Title>
    <b:City>London</b:City>
    <b:Publisher>Thames &amp; Hudson</b:Publisher>
    <b:Year>2007</b:Year>
    <b:RefOrder>7</b:RefOrder>
  </b:Source>
  <b:Source>
    <b:Tag>Koj07</b:Tag>
    <b:SourceType>Book</b:SourceType>
    <b:Guid>{84B1A100-1625-DF4F-A7A8-06C2A5046B49}</b:Guid>
    <b:Author>
      <b:Author>
        <b:NameList>
          <b:Person>
            <b:Last>Koja</b:Last>
            <b:First>Stephan</b:First>
          </b:Person>
        </b:NameList>
      </b:Author>
    </b:Author>
    <b:Title>Gustav Klimt: Landscapes</b:Title>
    <b:City>Munich and New York</b:City>
    <b:Publisher>Prestal Verlag</b:Publisher>
    <b:Year>2007</b:Year>
    <b:RefOrder>8</b:RefOrder>
  </b:Source>
  <b:Source>
    <b:Tag>Kli01</b:Tag>
    <b:SourceType>Book</b:SourceType>
    <b:Guid>{513B880E-826C-8846-B1B4-F8212DAF4366}</b:Guid>
    <b:Author>
      <b:Author>
        <b:NameList>
          <b:Person>
            <b:Last>Klimt</b:Last>
            <b:First>G.,</b:First>
            <b:Middle>1862-1918</b:Middle>
          </b:Person>
          <b:Person>
            <b:Last>Bailey</b:Last>
            <b:First>C.</b:First>
            <b:Middle>B.</b:Middle>
          </b:Person>
          <b:Person>
            <b:Last>Collins</b:Last>
            <b:First>J.</b:First>
            <b:Middle>B.</b:Middle>
          </b:Person>
        </b:NameList>
      </b:Author>
    </b:Author>
    <b:Title>Gustav Klimt: Modernism in the Making. Exh. cat.</b:Title>
    <b:City>New York</b:City>
    <b:Publisher>Harry N. Abrams, Inc. in association with the National Gallery of Canada</b:Publisher>
    <b:Year>2001</b:Year>
    <b:RefOrder>9</b:RefOrder>
  </b:Source>
  <b:Source>
    <b:Tag>Nat08</b:Tag>
    <b:SourceType>Book</b:SourceType>
    <b:Guid>{A7F997D7-889C-3B40-B758-92CC1763FD86}</b:Guid>
    <b:Title>Gustav Klimt: Painting, Design and Modern Life. Exh. cat.</b:Title>
    <b:City>London</b:City>
    <b:Publisher>Tate Publishing</b:Publisher>
    <b:Year>2008</b:Year>
    <b:Author>
      <b:Editor>
        <b:NameList>
          <b:Person>
            <b:Last>Natter</b:Last>
            <b:First>Tobias</b:First>
            <b:Middle>G.</b:Middle>
          </b:Person>
          <b:Person>
            <b:Last>Grunenberg</b:Last>
            <b:First>Christoph</b:First>
          </b:Person>
        </b:NameList>
      </b:Editor>
    </b:Author>
    <b:RefOrder>10</b:RefOrder>
  </b:Source>
  <b:Source>
    <b:Tag>Pri07</b:Tag>
    <b:SourceType>Book</b:SourceType>
    <b:Guid>{32ED4CDE-1390-E549-B847-9AE81EA639F2}</b:Guid>
    <b:Title>Gustav Klimt: The Ronald S. Lauder and Serge Sabarsky Collection.</b:Title>
    <b:City>New York</b:City>
    <b:Publisher>Neue Galerie</b:Publisher>
    <b:Year>2007</b:Year>
    <b:Author>
      <b:Editor>
        <b:NameList>
          <b:Person>
            <b:Last>Price</b:Last>
            <b:First>Renee</b:First>
          </b:Person>
        </b:NameList>
      </b:Editor>
    </b:Author>
    <b:RefOrder>11</b:RefOrder>
  </b:Source>
  <b:Source>
    <b:Tag>Kli00</b:Tag>
    <b:SourceType>Book</b:SourceType>
    <b:Guid>{FFAF6A63-B9FA-0C4E-8432-3CCAC4CC61F3}</b:Guid>
    <b:Author>
      <b:Editor>
        <b:NameList>
          <b:Person>
            <b:Last>Natter</b:Last>
            <b:First>Tobias</b:First>
          </b:Person>
          <b:Person>
            <b:Last>Frodl</b:Last>
            <b:First>Gerbert</b:First>
          </b:Person>
        </b:NameList>
      </b:Editor>
    </b:Author>
    <b:City>Vienna and Cologne</b:City>
    <b:Publisher>Österreichische Galerie Belvedere and DuMont Verlag</b:Publisher>
    <b:Year>2000</b:Year>
    <b:Title>cat., Klimt’s Women. Exh.</b:Title>
    <b:RefOrder>12</b:RefOrder>
  </b:Source>
  <b:Source>
    <b:Tag>The05</b:Tag>
    <b:SourceType>Book</b:SourceType>
    <b:Guid>{C680A096-8B22-C344-9441-E9704079F604}</b:Guid>
    <b:Author>
      <b:Author>
        <b:NameList>
          <b:Person>
            <b:Last>The Naked Truth: Klimt</b:Last>
            <b:First>Schiele,</b:First>
            <b:Middle>Kokoschka and Other Viennese Scandals</b:Middle>
          </b:Person>
        </b:NameList>
      </b:Author>
      <b:Editor>
        <b:NameList>
          <b:Person>
            <b:Last>Natter</b:Last>
            <b:First>Tobias</b:First>
          </b:Person>
        </b:NameList>
      </b:Editor>
    </b:Author>
    <b:City>Munich and New York</b:City>
    <b:Publisher>Prestal Verlag</b:Publisher>
    <b:Year>2005</b:Year>
    <b:RefOrder>13</b:RefOrder>
  </b:Source>
</b:Sources>
</file>

<file path=customXml/itemProps1.xml><?xml version="1.0" encoding="utf-8"?>
<ds:datastoreItem xmlns:ds="http://schemas.openxmlformats.org/officeDocument/2006/customXml" ds:itemID="{7A0DE7F4-1699-0A43-B06E-7C164822B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5</Pages>
  <Words>1794</Words>
  <Characters>10230</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2015-10-05T17:02:00Z</dcterms:created>
  <dcterms:modified xsi:type="dcterms:W3CDTF">2015-10-06T05:50:00Z</dcterms:modified>
</cp:coreProperties>
</file>