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Content>
            <w:tc>
              <w:tcPr>
                <w:tcW w:w="1259" w:type="dxa"/>
              </w:tcPr>
              <w:p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text/>
          </w:sdtPr>
          <w:sdtContent>
            <w:tc>
              <w:tcPr>
                <w:tcW w:w="2073" w:type="dxa"/>
              </w:tcPr>
              <w:p w:rsidR="00B574C9" w:rsidRDefault="00B87686" w:rsidP="00B87686">
                <w:r>
                  <w:t>Bruce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Content>
            <w:tc>
              <w:tcPr>
                <w:tcW w:w="2551" w:type="dxa"/>
              </w:tcPr>
              <w:p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text/>
          </w:sdtPr>
          <w:sdtContent>
            <w:tc>
              <w:tcPr>
                <w:tcW w:w="2642" w:type="dxa"/>
              </w:tcPr>
              <w:p w:rsidR="00B574C9" w:rsidRDefault="00B87686" w:rsidP="00B87686">
                <w:r>
                  <w:t>Elder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Content>
            <w:tc>
              <w:tcPr>
                <w:tcW w:w="8525" w:type="dxa"/>
                <w:gridSpan w:val="4"/>
              </w:tcPr>
              <w:p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text/>
          </w:sdtPr>
          <w:sdtContent>
            <w:tc>
              <w:tcPr>
                <w:tcW w:w="8525" w:type="dxa"/>
                <w:gridSpan w:val="4"/>
              </w:tcPr>
              <w:p w:rsidR="00B574C9" w:rsidRDefault="00B87686" w:rsidP="00B87686">
                <w:r>
                  <w:t>Ryerson University</w:t>
                </w:r>
              </w:p>
            </w:tc>
          </w:sdtContent>
        </w:sdt>
      </w:tr>
    </w:tbl>
    <w:p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text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3F0D73" w:rsidRPr="00FB589A" w:rsidRDefault="00B87686" w:rsidP="00B87686">
                <w:pPr>
                  <w:rPr>
                    <w:b/>
                  </w:rPr>
                </w:pPr>
                <w:proofErr w:type="spellStart"/>
                <w:r>
                  <w:rPr>
                    <w:b/>
                  </w:rPr>
                  <w:t>Worringer</w:t>
                </w:r>
                <w:proofErr w:type="spellEnd"/>
                <w:r>
                  <w:rPr>
                    <w:b/>
                  </w:rPr>
                  <w:t xml:space="preserve">, Wilhelm </w:t>
                </w:r>
              </w:p>
            </w:tc>
          </w:sdtContent>
        </w:sdt>
      </w:tr>
      <w:tr w:rsidR="00464699" w:rsidTr="004F0023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E85A05" w:rsidRDefault="00B87686" w:rsidP="00E85A05">
                <w:r w:rsidRPr="00B87686">
                  <w:t xml:space="preserve">Wilhelm </w:t>
                </w:r>
                <w:proofErr w:type="spellStart"/>
                <w:r w:rsidRPr="00B87686">
                  <w:t>Worringer</w:t>
                </w:r>
                <w:proofErr w:type="spellEnd"/>
                <w:r w:rsidRPr="00B87686">
                  <w:t xml:space="preserve"> was an art historian and art theorist whose writings had enormously wide-ranging influence. His dissertation for the University of Bern, </w:t>
                </w:r>
                <w:proofErr w:type="spellStart"/>
                <w:r w:rsidRPr="00B87686">
                  <w:rPr>
                    <w:i/>
                  </w:rPr>
                  <w:t>Abstraktion</w:t>
                </w:r>
                <w:proofErr w:type="spellEnd"/>
                <w:r w:rsidRPr="00B87686">
                  <w:rPr>
                    <w:i/>
                  </w:rPr>
                  <w:t xml:space="preserve"> und </w:t>
                </w:r>
                <w:proofErr w:type="spellStart"/>
                <w:r w:rsidRPr="00B87686">
                  <w:rPr>
                    <w:i/>
                  </w:rPr>
                  <w:t>Einfühlung</w:t>
                </w:r>
                <w:proofErr w:type="spellEnd"/>
                <w:r w:rsidRPr="00B87686">
                  <w:rPr>
                    <w:i/>
                  </w:rPr>
                  <w:t xml:space="preserve">: </w:t>
                </w:r>
                <w:proofErr w:type="spellStart"/>
                <w:r w:rsidRPr="00B87686">
                  <w:rPr>
                    <w:i/>
                  </w:rPr>
                  <w:t>ein</w:t>
                </w:r>
                <w:proofErr w:type="spellEnd"/>
                <w:r w:rsidRPr="00B87686">
                  <w:rPr>
                    <w:i/>
                  </w:rPr>
                  <w:t xml:space="preserve"> </w:t>
                </w:r>
                <w:proofErr w:type="spellStart"/>
                <w:r w:rsidRPr="00B87686">
                  <w:rPr>
                    <w:i/>
                  </w:rPr>
                  <w:t>Beitrag</w:t>
                </w:r>
                <w:proofErr w:type="spellEnd"/>
                <w:r w:rsidRPr="00B87686">
                  <w:rPr>
                    <w:i/>
                  </w:rPr>
                  <w:t xml:space="preserve"> </w:t>
                </w:r>
                <w:proofErr w:type="spellStart"/>
                <w:r w:rsidRPr="00B87686">
                  <w:rPr>
                    <w:i/>
                  </w:rPr>
                  <w:t>zur</w:t>
                </w:r>
                <w:proofErr w:type="spellEnd"/>
                <w:r w:rsidRPr="00B87686">
                  <w:rPr>
                    <w:i/>
                  </w:rPr>
                  <w:t xml:space="preserve"> </w:t>
                </w:r>
                <w:proofErr w:type="spellStart"/>
                <w:r w:rsidRPr="00B87686">
                  <w:rPr>
                    <w:i/>
                  </w:rPr>
                  <w:t>Stilpsychologie</w:t>
                </w:r>
                <w:proofErr w:type="spellEnd"/>
                <w:r w:rsidRPr="00B87686">
                  <w:t xml:space="preserve"> (1907, trade edition 1908; </w:t>
                </w:r>
                <w:r w:rsidRPr="00B87686">
                  <w:rPr>
                    <w:i/>
                  </w:rPr>
                  <w:t>Abstraction and Empathy: Essays in the Psychology of Style</w:t>
                </w:r>
                <w:r w:rsidRPr="00B87686">
                  <w:t>) was widely read and influenced German expressionism significantly.</w:t>
                </w:r>
              </w:p>
            </w:tc>
          </w:sdtContent>
        </w:sdt>
      </w:tr>
      <w:tr w:rsidR="003F0D73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</w:sdtPr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:rsidR="004F0023" w:rsidRPr="00B87686" w:rsidRDefault="004F0023" w:rsidP="00B87686">
                <w:r w:rsidRPr="00B87686">
                  <w:t xml:space="preserve">Wilhelm </w:t>
                </w:r>
                <w:proofErr w:type="spellStart"/>
                <w:r w:rsidRPr="00B87686">
                  <w:t>Worringer</w:t>
                </w:r>
                <w:proofErr w:type="spellEnd"/>
                <w:r w:rsidRPr="00B87686">
                  <w:t xml:space="preserve"> was an art historian and art theorist whose writings had enormously wide-ranging influence. His dissertation for the University of Bern, </w:t>
                </w:r>
                <w:proofErr w:type="spellStart"/>
                <w:r w:rsidRPr="00B87686">
                  <w:t>Abstraktion</w:t>
                </w:r>
                <w:proofErr w:type="spellEnd"/>
                <w:r w:rsidRPr="00B87686">
                  <w:t xml:space="preserve"> und </w:t>
                </w:r>
                <w:proofErr w:type="spellStart"/>
                <w:r w:rsidRPr="00B87686">
                  <w:t>Einfühlung</w:t>
                </w:r>
                <w:proofErr w:type="spellEnd"/>
                <w:r w:rsidRPr="00B87686">
                  <w:t xml:space="preserve">: </w:t>
                </w:r>
                <w:proofErr w:type="spellStart"/>
                <w:r w:rsidRPr="00B87686">
                  <w:t>ein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Beitrag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zur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Stilpsychologie</w:t>
                </w:r>
                <w:proofErr w:type="spellEnd"/>
                <w:r w:rsidRPr="00B87686">
                  <w:t xml:space="preserve"> (1907, trade edition 1908; Abstraction and Empathy: Essays in the Psychology of Style) was widely read and influenced German expressionism significantly. The book’s title suggests the deep influence that the aesthetic theories of Theodor </w:t>
                </w:r>
                <w:proofErr w:type="spellStart"/>
                <w:r w:rsidRPr="00B87686">
                  <w:t>Lipps</w:t>
                </w:r>
                <w:proofErr w:type="spellEnd"/>
                <w:r w:rsidRPr="00B87686">
                  <w:t xml:space="preserve"> (1851–1914) had on its genesis, for </w:t>
                </w:r>
                <w:proofErr w:type="spellStart"/>
                <w:r w:rsidRPr="00B87686">
                  <w:t>Lipps</w:t>
                </w:r>
                <w:proofErr w:type="spellEnd"/>
                <w:r w:rsidRPr="00B87686">
                  <w:t xml:space="preserve"> produced the first scientific theory of </w:t>
                </w:r>
                <w:proofErr w:type="spellStart"/>
                <w:r w:rsidRPr="00B87686">
                  <w:t>Einfühlung</w:t>
                </w:r>
                <w:proofErr w:type="spellEnd"/>
                <w:r w:rsidRPr="00B87686">
                  <w:t xml:space="preserve">. </w:t>
                </w:r>
                <w:proofErr w:type="spellStart"/>
                <w:r w:rsidRPr="00B87686">
                  <w:t>Lipps’s</w:t>
                </w:r>
                <w:proofErr w:type="spellEnd"/>
                <w:r w:rsidRPr="00B87686">
                  <w:t xml:space="preserve"> influence led him to the belief that through artworks we can experience artists’ spiritual states. From </w:t>
                </w:r>
                <w:proofErr w:type="spellStart"/>
                <w:r w:rsidRPr="00B87686">
                  <w:t>Alois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Riegl</w:t>
                </w:r>
                <w:proofErr w:type="spellEnd"/>
                <w:r w:rsidRPr="00B87686">
                  <w:t xml:space="preserve"> (1858–1905), he adopted the idea that mimetic content counts for less than stylized form, which reflects an urge to form he termed </w:t>
                </w:r>
                <w:proofErr w:type="spellStart"/>
                <w:r w:rsidRPr="00B87686">
                  <w:t>Kunstwollen</w:t>
                </w:r>
                <w:proofErr w:type="spellEnd"/>
                <w:r w:rsidRPr="00B87686">
                  <w:t xml:space="preserve">. </w:t>
                </w:r>
                <w:proofErr w:type="spellStart"/>
                <w:r w:rsidRPr="00B87686">
                  <w:t>Worringer</w:t>
                </w:r>
                <w:proofErr w:type="spellEnd"/>
                <w:r w:rsidRPr="00B87686">
                  <w:t xml:space="preserve"> maintained that commitment to realistic representation demonstrated a confidence in the material world, while interest in abstraction reveals insecurity about the material world and a greater trust in spirituality. He extended these ideas in </w:t>
                </w:r>
                <w:proofErr w:type="spellStart"/>
                <w:r w:rsidRPr="00B87686">
                  <w:t>Formprobleme</w:t>
                </w:r>
                <w:proofErr w:type="spellEnd"/>
                <w:r w:rsidRPr="00B87686">
                  <w:t xml:space="preserve"> der </w:t>
                </w:r>
                <w:proofErr w:type="spellStart"/>
                <w:r w:rsidRPr="00B87686">
                  <w:t>Gotik</w:t>
                </w:r>
                <w:proofErr w:type="spellEnd"/>
                <w:r w:rsidRPr="00B87686">
                  <w:t xml:space="preserve"> (1911), </w:t>
                </w:r>
                <w:proofErr w:type="spellStart"/>
                <w:r w:rsidRPr="00B87686">
                  <w:t>Ägyptische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Kunst</w:t>
                </w:r>
                <w:proofErr w:type="spellEnd"/>
                <w:r w:rsidRPr="00B87686">
                  <w:t xml:space="preserve"> (1927; Egyptian Art) and </w:t>
                </w:r>
                <w:proofErr w:type="spellStart"/>
                <w:r w:rsidRPr="00B87686">
                  <w:t>Griechentum</w:t>
                </w:r>
                <w:proofErr w:type="spellEnd"/>
                <w:r w:rsidRPr="00B87686">
                  <w:t xml:space="preserve"> und </w:t>
                </w:r>
                <w:proofErr w:type="spellStart"/>
                <w:r w:rsidRPr="00B87686">
                  <w:t>Gotik</w:t>
                </w:r>
                <w:proofErr w:type="spellEnd"/>
                <w:r w:rsidRPr="00B87686">
                  <w:t xml:space="preserve"> (1928). T. E. </w:t>
                </w:r>
                <w:proofErr w:type="spellStart"/>
                <w:r w:rsidRPr="00B87686">
                  <w:t>Hulme</w:t>
                </w:r>
                <w:proofErr w:type="spellEnd"/>
                <w:r w:rsidRPr="00B87686">
                  <w:t xml:space="preserve"> (1883-1917) embraced many of </w:t>
                </w:r>
                <w:proofErr w:type="spellStart"/>
                <w:r w:rsidRPr="00B87686">
                  <w:t>Worringer’s</w:t>
                </w:r>
                <w:proofErr w:type="spellEnd"/>
                <w:r w:rsidRPr="00B87686">
                  <w:t xml:space="preserve"> ideas (including that of will to form), and through </w:t>
                </w:r>
                <w:proofErr w:type="spellStart"/>
                <w:r w:rsidRPr="00B87686">
                  <w:t>Hulme</w:t>
                </w:r>
                <w:proofErr w:type="spellEnd"/>
                <w:r w:rsidRPr="00B87686">
                  <w:t xml:space="preserve">, these ideas influenced early English modernism, especially </w:t>
                </w:r>
                <w:proofErr w:type="spellStart"/>
                <w:r w:rsidRPr="00B87686">
                  <w:t>Vorticism</w:t>
                </w:r>
                <w:proofErr w:type="spellEnd"/>
                <w:r w:rsidRPr="00B87686">
                  <w:t>.</w:t>
                </w:r>
              </w:p>
              <w:p w:rsidR="003F0D73" w:rsidRDefault="003F0D73" w:rsidP="00C27FAB"/>
            </w:tc>
          </w:sdtContent>
        </w:sdt>
      </w:tr>
      <w:tr w:rsidR="003235A7" w:rsidTr="003235A7">
        <w:tc>
          <w:tcPr>
            <w:tcW w:w="9016" w:type="dxa"/>
          </w:tcPr>
          <w:p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</w:sdtPr>
            <w:sdtContent>
              <w:p w:rsidR="004F0023" w:rsidRDefault="004F0023" w:rsidP="00B87686">
                <w:proofErr w:type="spellStart"/>
                <w:r w:rsidRPr="00A20645">
                  <w:t>Worringer</w:t>
                </w:r>
                <w:proofErr w:type="spellEnd"/>
                <w:r w:rsidRPr="00A20645">
                  <w:t xml:space="preserve">, W. (1907; 1908) </w:t>
                </w:r>
                <w:proofErr w:type="spellStart"/>
                <w:r w:rsidRPr="00B87686">
                  <w:t>Abstraktion</w:t>
                </w:r>
                <w:proofErr w:type="spellEnd"/>
                <w:r w:rsidRPr="00B87686">
                  <w:t xml:space="preserve"> und </w:t>
                </w:r>
                <w:proofErr w:type="spellStart"/>
                <w:r w:rsidRPr="00B87686">
                  <w:t>Einfühlung</w:t>
                </w:r>
                <w:proofErr w:type="spellEnd"/>
                <w:r w:rsidRPr="00B87686">
                  <w:t xml:space="preserve">: </w:t>
                </w:r>
                <w:proofErr w:type="spellStart"/>
                <w:r w:rsidRPr="00B87686">
                  <w:t>ein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Beitrag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zur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Stilpyschologie</w:t>
                </w:r>
                <w:proofErr w:type="spellEnd"/>
                <w:r w:rsidRPr="00B87686">
                  <w:t xml:space="preserve">, </w:t>
                </w:r>
                <w:r>
                  <w:t xml:space="preserve">Diss., Neuwied; Munich: R. Piper, trans M. Bullock as </w:t>
                </w:r>
                <w:r w:rsidRPr="00B87686">
                  <w:t>Abstraction and Empathy</w:t>
                </w:r>
                <w:r>
                  <w:t>, New York: International University Press, 1953.</w:t>
                </w:r>
              </w:p>
              <w:p w:rsidR="004F0023" w:rsidRDefault="004F0023" w:rsidP="00B87686">
                <w:r>
                  <w:t>------</w:t>
                </w:r>
                <w:r w:rsidRPr="00A20645">
                  <w:t xml:space="preserve"> (1912) </w:t>
                </w:r>
                <w:proofErr w:type="spellStart"/>
                <w:r w:rsidRPr="00B87686">
                  <w:t>Formprobleme</w:t>
                </w:r>
                <w:proofErr w:type="spellEnd"/>
                <w:r w:rsidRPr="00B87686">
                  <w:t xml:space="preserve"> der </w:t>
                </w:r>
                <w:proofErr w:type="spellStart"/>
                <w:r w:rsidRPr="00B87686">
                  <w:t>Gotik</w:t>
                </w:r>
                <w:proofErr w:type="spellEnd"/>
                <w:r w:rsidRPr="00B87686">
                  <w:t>,</w:t>
                </w:r>
                <w:r w:rsidRPr="00A41D97">
                  <w:t xml:space="preserve"> Munich: R. Piper</w:t>
                </w:r>
                <w:r>
                  <w:t>,</w:t>
                </w:r>
                <w:r w:rsidRPr="00A41D97">
                  <w:t xml:space="preserve"> </w:t>
                </w:r>
                <w:r>
                  <w:t xml:space="preserve">trans. Sir H. Read as </w:t>
                </w:r>
                <w:r w:rsidRPr="00B87686">
                  <w:t>Form in Gothic,</w:t>
                </w:r>
                <w:r>
                  <w:t xml:space="preserve"> London: A. </w:t>
                </w:r>
                <w:proofErr w:type="spellStart"/>
                <w:r>
                  <w:t>Tiranti</w:t>
                </w:r>
                <w:proofErr w:type="spellEnd"/>
                <w:r>
                  <w:t>, 1957.</w:t>
                </w:r>
              </w:p>
              <w:p w:rsidR="004F0023" w:rsidRDefault="004F0023" w:rsidP="00B87686">
                <w:r>
                  <w:t>------</w:t>
                </w:r>
                <w:r w:rsidRPr="00A20645">
                  <w:t xml:space="preserve"> (1927) </w:t>
                </w:r>
                <w:proofErr w:type="spellStart"/>
                <w:r w:rsidRPr="00B87686">
                  <w:t>Ägyptische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Kunst</w:t>
                </w:r>
                <w:proofErr w:type="spellEnd"/>
                <w:r w:rsidRPr="00B87686">
                  <w:t xml:space="preserve">: </w:t>
                </w:r>
                <w:proofErr w:type="spellStart"/>
                <w:r w:rsidRPr="00B87686">
                  <w:t>Probleme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ihrer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Wertung</w:t>
                </w:r>
                <w:proofErr w:type="spellEnd"/>
                <w:r w:rsidRPr="00B87686">
                  <w:t>,</w:t>
                </w:r>
                <w:r w:rsidRPr="00A41D97">
                  <w:t xml:space="preserve"> Munich:</w:t>
                </w:r>
                <w:r>
                  <w:t xml:space="preserve"> R.</w:t>
                </w:r>
                <w:r w:rsidRPr="00A41D97">
                  <w:t xml:space="preserve"> Pi</w:t>
                </w:r>
                <w:bookmarkStart w:id="0" w:name="_GoBack"/>
                <w:bookmarkEnd w:id="0"/>
                <w:r w:rsidRPr="00A41D97">
                  <w:t>per</w:t>
                </w:r>
                <w:r>
                  <w:t>, trans. as</w:t>
                </w:r>
                <w:r w:rsidRPr="00A41D97">
                  <w:t xml:space="preserve"> </w:t>
                </w:r>
                <w:r w:rsidRPr="00B87686">
                  <w:t xml:space="preserve">Egyptian Art, </w:t>
                </w:r>
                <w:r w:rsidRPr="00976855">
                  <w:t>ed.</w:t>
                </w:r>
                <w:r>
                  <w:t xml:space="preserve"> B. Rackham, </w:t>
                </w:r>
                <w:r w:rsidRPr="00B87686">
                  <w:t xml:space="preserve">et. </w:t>
                </w:r>
                <w:proofErr w:type="gramStart"/>
                <w:r w:rsidRPr="00B87686">
                  <w:t>al</w:t>
                </w:r>
                <w:proofErr w:type="gramEnd"/>
                <w:r w:rsidRPr="00B87686">
                  <w:t>.</w:t>
                </w:r>
                <w:r>
                  <w:t>, London: Putnam's Sons, 1928.</w:t>
                </w:r>
              </w:p>
              <w:p w:rsidR="004F0023" w:rsidRPr="00B87686" w:rsidRDefault="004F0023" w:rsidP="00B87686">
                <w:r>
                  <w:t>------</w:t>
                </w:r>
                <w:r w:rsidRPr="00A20645">
                  <w:t xml:space="preserve"> (1928) </w:t>
                </w:r>
                <w:proofErr w:type="spellStart"/>
                <w:r w:rsidRPr="00B87686">
                  <w:t>Griechentum</w:t>
                </w:r>
                <w:proofErr w:type="spellEnd"/>
                <w:r w:rsidRPr="00B87686">
                  <w:t xml:space="preserve"> und </w:t>
                </w:r>
                <w:proofErr w:type="spellStart"/>
                <w:r w:rsidRPr="00B87686">
                  <w:t>Gotik</w:t>
                </w:r>
                <w:proofErr w:type="spellEnd"/>
                <w:r w:rsidRPr="00B87686">
                  <w:t xml:space="preserve">: </w:t>
                </w:r>
                <w:proofErr w:type="spellStart"/>
                <w:r w:rsidRPr="00B87686">
                  <w:t>vom</w:t>
                </w:r>
                <w:proofErr w:type="spellEnd"/>
                <w:r w:rsidRPr="00B87686">
                  <w:t xml:space="preserve"> </w:t>
                </w:r>
                <w:proofErr w:type="spellStart"/>
                <w:r w:rsidRPr="00B87686">
                  <w:t>Weltreich</w:t>
                </w:r>
                <w:proofErr w:type="spellEnd"/>
                <w:r w:rsidRPr="00B87686">
                  <w:t xml:space="preserve"> des </w:t>
                </w:r>
                <w:proofErr w:type="spellStart"/>
                <w:r w:rsidRPr="00B87686">
                  <w:t>Hellenismus</w:t>
                </w:r>
                <w:proofErr w:type="spellEnd"/>
                <w:r w:rsidRPr="00A20645">
                  <w:t>,</w:t>
                </w:r>
                <w:r>
                  <w:t xml:space="preserve"> Munich: R. Piper.</w:t>
                </w:r>
              </w:p>
              <w:p w:rsidR="004F0023" w:rsidRDefault="004F0023" w:rsidP="00B87686"/>
              <w:p w:rsidR="004F0023" w:rsidRPr="00B87686" w:rsidRDefault="004F0023" w:rsidP="00B87686">
                <w:r w:rsidRPr="00B87686">
                  <w:t>References and further reading</w:t>
                </w:r>
              </w:p>
              <w:p w:rsidR="004F0023" w:rsidRPr="00B87686" w:rsidRDefault="004F0023" w:rsidP="00B87686">
                <w:proofErr w:type="spellStart"/>
                <w:r>
                  <w:t>Arnheim</w:t>
                </w:r>
                <w:proofErr w:type="spellEnd"/>
                <w:r>
                  <w:t xml:space="preserve">, R. “Wilhelm </w:t>
                </w:r>
                <w:proofErr w:type="spellStart"/>
                <w:r>
                  <w:t>Worringer</w:t>
                </w:r>
                <w:proofErr w:type="spellEnd"/>
                <w:r>
                  <w:t xml:space="preserve"> on Abstraction and Empathy.” </w:t>
                </w:r>
                <w:r w:rsidRPr="00B87686">
                  <w:t xml:space="preserve">New Essays on the </w:t>
                </w:r>
              </w:p>
              <w:p w:rsidR="004F0023" w:rsidRDefault="004F0023" w:rsidP="00B87686">
                <w:r w:rsidRPr="00B87686">
                  <w:t xml:space="preserve">     Psychology of Art</w:t>
                </w:r>
                <w:r>
                  <w:t>. Berkeley and Los Angeles: University of California Press. 1986. 50-</w:t>
                </w:r>
              </w:p>
              <w:p w:rsidR="004F0023" w:rsidRDefault="004F0023" w:rsidP="00B87686">
                <w:r>
                  <w:t xml:space="preserve">     62. Print.</w:t>
                </w:r>
              </w:p>
              <w:p w:rsidR="004F0023" w:rsidRDefault="004F0023" w:rsidP="00B87686">
                <w:r>
                  <w:lastRenderedPageBreak/>
                  <w:t xml:space="preserve">Donahue, </w:t>
                </w:r>
                <w:r w:rsidRPr="008A6B9C">
                  <w:t>N</w:t>
                </w:r>
                <w:r>
                  <w:t>. H.</w:t>
                </w:r>
                <w:r w:rsidRPr="00B87686">
                  <w:t xml:space="preserve"> Invisible Cathedrals: The Expressionist Art History of Wilhelm </w:t>
                </w:r>
                <w:proofErr w:type="spellStart"/>
                <w:r w:rsidRPr="00B87686">
                  <w:t>Worringer</w:t>
                </w:r>
                <w:proofErr w:type="spellEnd"/>
                <w:r>
                  <w:t xml:space="preserve">. </w:t>
                </w:r>
              </w:p>
              <w:p w:rsidR="004F0023" w:rsidRDefault="004F0023" w:rsidP="00B87686">
                <w:r>
                  <w:t xml:space="preserve">     Pittsburgh: Penn State University Press. 1995. Print. </w:t>
                </w:r>
              </w:p>
              <w:p w:rsidR="004F0023" w:rsidRDefault="004F0023" w:rsidP="00B87686">
                <w:r>
                  <w:t xml:space="preserve">Foster, H. </w:t>
                </w:r>
                <w:r w:rsidRPr="00B87686">
                  <w:t>Prosthetic Gods</w:t>
                </w:r>
                <w:r>
                  <w:t xml:space="preserve">. Cambridge: MIT Press. 2004. Print. </w:t>
                </w:r>
              </w:p>
              <w:p w:rsidR="004F0023" w:rsidRDefault="004F0023" w:rsidP="00B87686">
                <w:r>
                  <w:t>Waite, G. “</w:t>
                </w:r>
                <w:proofErr w:type="spellStart"/>
                <w:r>
                  <w:t>Worringer’s</w:t>
                </w:r>
                <w:proofErr w:type="spellEnd"/>
                <w:r>
                  <w:t xml:space="preserve"> </w:t>
                </w:r>
                <w:r w:rsidRPr="00B87686">
                  <w:t>Abstraction and Empathy</w:t>
                </w:r>
                <w:r>
                  <w:t xml:space="preserve">: Remarks on its Reception and the </w:t>
                </w:r>
              </w:p>
              <w:p w:rsidR="004F0023" w:rsidRPr="00B87686" w:rsidRDefault="004F0023" w:rsidP="00B87686">
                <w:r>
                  <w:t xml:space="preserve">     Rhetoric of Criticism.”</w:t>
                </w:r>
                <w:r w:rsidRPr="00B87686">
                  <w:t xml:space="preserve"> The Turn of the Century: German Literature and Art, 1890-</w:t>
                </w:r>
              </w:p>
              <w:p w:rsidR="004F0023" w:rsidRDefault="004F0023" w:rsidP="00B87686">
                <w:r w:rsidRPr="00B87686">
                  <w:t xml:space="preserve">     1905</w:t>
                </w:r>
                <w:r>
                  <w:t xml:space="preserve">, eds.  G. </w:t>
                </w:r>
                <w:proofErr w:type="spellStart"/>
                <w:r>
                  <w:t>Chapple</w:t>
                </w:r>
                <w:proofErr w:type="spellEnd"/>
                <w:r>
                  <w:t xml:space="preserve"> and H. H. Schulte. </w:t>
                </w:r>
                <w:proofErr w:type="spellStart"/>
                <w:r>
                  <w:t>Bouvier</w:t>
                </w:r>
                <w:proofErr w:type="spellEnd"/>
                <w:r>
                  <w:t>. 1995. 197-223. Print.</w:t>
                </w:r>
              </w:p>
              <w:p w:rsidR="003235A7" w:rsidRDefault="004F0023" w:rsidP="00FB11DE"/>
            </w:sdtContent>
          </w:sdt>
        </w:tc>
      </w:tr>
    </w:tbl>
    <w:p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7686" w:rsidRDefault="00B87686" w:rsidP="007A0D55">
      <w:pPr>
        <w:spacing w:after="0" w:line="240" w:lineRule="auto"/>
      </w:pPr>
      <w:r>
        <w:separator/>
      </w:r>
    </w:p>
  </w:endnote>
  <w:endnote w:type="continuationSeparator" w:id="0">
    <w:p w:rsidR="00B87686" w:rsidRDefault="00B87686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00000003" w:usb1="00000000" w:usb2="00000000" w:usb3="00000000" w:csb0="00000001" w:csb1="00000000"/>
  </w:font>
  <w:font w:name="Droid Sans Fallback">
    <w:altName w:val="Times New Roman"/>
    <w:charset w:val="00"/>
    <w:family w:val="auto"/>
    <w:pitch w:val="variable"/>
  </w:font>
  <w:font w:name="Lohit Hindi">
    <w:altName w:val="Times New Roman"/>
    <w:charset w:val="00"/>
    <w:family w:val="auto"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7686" w:rsidRDefault="00B87686" w:rsidP="007A0D55">
      <w:pPr>
        <w:spacing w:after="0" w:line="240" w:lineRule="auto"/>
      </w:pPr>
      <w:r>
        <w:separator/>
      </w:r>
    </w:p>
  </w:footnote>
  <w:footnote w:type="continuationSeparator" w:id="0">
    <w:p w:rsidR="00B87686" w:rsidRDefault="00B87686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7686" w:rsidRDefault="00B87686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:rsidR="00B87686" w:rsidRDefault="00B87686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4F0023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87686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4F0023"/>
    <w:pPr>
      <w:spacing w:after="0" w:line="240" w:lineRule="auto"/>
    </w:pPr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0023"/>
    <w:rPr>
      <w:rFonts w:ascii="Lucida Grande" w:hAnsi="Lucida Grande"/>
      <w:sz w:val="18"/>
      <w:szCs w:val="18"/>
    </w:rPr>
  </w:style>
  <w:style w:type="paragraph" w:customStyle="1" w:styleId="Standard">
    <w:name w:val="Standard"/>
    <w:rsid w:val="004F0023"/>
    <w:pPr>
      <w:widowControl w:val="0"/>
      <w:tabs>
        <w:tab w:val="left" w:pos="709"/>
      </w:tabs>
      <w:suppressAutoHyphens/>
      <w:autoSpaceDN w:val="0"/>
      <w:spacing w:after="0" w:line="240" w:lineRule="auto"/>
      <w:textAlignment w:val="baseline"/>
    </w:pPr>
    <w:rPr>
      <w:rFonts w:ascii="Times New Roman" w:eastAsia="Droid Sans Fallback" w:hAnsi="Times New Roman" w:cs="Lohit Hindi"/>
      <w:color w:val="00000A"/>
      <w:kern w:val="3"/>
      <w:sz w:val="24"/>
      <w:szCs w:val="24"/>
      <w:lang w:val="en-CA" w:eastAsia="zh-CN" w:bidi="hi-I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  <w:style w:type="paragraph" w:styleId="BalloonText">
    <w:name w:val="Balloon Text"/>
    <w:basedOn w:val="Normal"/>
    <w:link w:val="BalloonTextChar"/>
    <w:uiPriority w:val="99"/>
    <w:semiHidden/>
    <w:rsid w:val="004F0023"/>
    <w:pPr>
      <w:spacing w:after="0" w:line="240" w:lineRule="auto"/>
    </w:pPr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0023"/>
    <w:rPr>
      <w:rFonts w:ascii="Lucida Grande" w:hAnsi="Lucida Grande"/>
      <w:sz w:val="18"/>
      <w:szCs w:val="18"/>
    </w:rPr>
  </w:style>
  <w:style w:type="paragraph" w:customStyle="1" w:styleId="Standard">
    <w:name w:val="Standard"/>
    <w:rsid w:val="004F0023"/>
    <w:pPr>
      <w:widowControl w:val="0"/>
      <w:tabs>
        <w:tab w:val="left" w:pos="709"/>
      </w:tabs>
      <w:suppressAutoHyphens/>
      <w:autoSpaceDN w:val="0"/>
      <w:spacing w:after="0" w:line="240" w:lineRule="auto"/>
      <w:textAlignment w:val="baseline"/>
    </w:pPr>
    <w:rPr>
      <w:rFonts w:ascii="Times New Roman" w:eastAsia="Droid Sans Fallback" w:hAnsi="Times New Roman" w:cs="Lohit Hindi"/>
      <w:color w:val="00000A"/>
      <w:kern w:val="3"/>
      <w:sz w:val="24"/>
      <w:szCs w:val="24"/>
      <w:lang w:val="en-CA" w:eastAsia="zh-CN" w:bidi="hi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00000003" w:usb1="00000000" w:usb2="00000000" w:usb3="00000000" w:csb0="00000001" w:csb1="00000000"/>
  </w:font>
  <w:font w:name="Droid Sans Fallback">
    <w:altName w:val="Times New Roman"/>
    <w:charset w:val="00"/>
    <w:family w:val="auto"/>
    <w:pitch w:val="variable"/>
  </w:font>
  <w:font w:name="Lohit Hindi">
    <w:altName w:val="Times New Roman"/>
    <w:charset w:val="00"/>
    <w:family w:val="auto"/>
    <w:pitch w:val="default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271291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0</TotalTime>
  <Pages>2</Pages>
  <Words>479</Words>
  <Characters>2733</Characters>
  <Application>Microsoft Macintosh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Samuel Coll</cp:lastModifiedBy>
  <cp:revision>2</cp:revision>
  <dcterms:created xsi:type="dcterms:W3CDTF">2014-04-01T19:32:00Z</dcterms:created>
  <dcterms:modified xsi:type="dcterms:W3CDTF">2014-04-01T19:32:00Z</dcterms:modified>
</cp:coreProperties>
</file>