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00" w:lineRule="auto"/>
        <w:rPr/>
      </w:pPr>
      <w:bookmarkStart w:colFirst="0" w:colLast="0" w:name="_stt2527we403" w:id="0"/>
      <w:bookmarkEnd w:id="0"/>
      <w:r w:rsidDel="00000000" w:rsidR="00000000" w:rsidRPr="00000000">
        <w:rPr>
          <w:rtl w:val="0"/>
        </w:rPr>
        <w:t xml:space="preserve">Images, Videos, Graphics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encourage you to add images and videos to illustrate articles.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cite the image source. This can be in form of a URL.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Original illustrations created by Onchain will receive the Onchain logo</w:t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Image/video file format, size etc.. - less screenshots, more original images - </w:t>
      </w:r>
      <w:r w:rsidDel="00000000" w:rsidR="00000000" w:rsidRPr="00000000">
        <w:rPr>
          <w:rtl w:val="0"/>
        </w:rPr>
        <w:t xml:space="preserve">SVG format for illustrations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Writers to make image suggestions and provide image sources - Lucas will review and can replace or rework acc. to branding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Images must always be 1920px width (the height will depends on how long the content is)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Shareable images must be placed in PNG/JPG format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 names (keep SEO in mind)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Alt-Text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Captions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