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192.00000000000003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 version:</w:t>
      </w:r>
    </w:p>
    <w:p w:rsidR="00000000" w:rsidDel="00000000" w:rsidP="00000000" w:rsidRDefault="00000000" w:rsidRPr="00000000" w14:paraId="00000004">
      <w:pPr>
        <w:widowControl w:val="0"/>
        <w:spacing w:line="192.00000000000003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192.00000000000003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Who we are:</w:t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Onchain Foundation is a non-profit collective of individuals </w:t>
      </w:r>
      <w:r w:rsidDel="00000000" w:rsidR="00000000" w:rsidRPr="00000000">
        <w:rPr>
          <w:color w:val="434343"/>
          <w:rtl w:val="0"/>
        </w:rPr>
        <w:t xml:space="preserve">passionate about blockchain and its potential to improve the world for all humans. 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examine the many ways in which blockchain is currently applied to provide a better understanding of the practical possibilities the technology offers.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Our Mission: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 provide knowledge that helps businesses understand and apply blockchain solutions to their current and future challenges.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Our Vision: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To become the primary source for discovering viable blockchain potential to advance business and humanity.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Our Goal/Purpose: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To bring people onchain by educating businesses and individuals about building blockchain-oriented solutions.</w:t>
      </w:r>
    </w:p>
    <w:p w:rsidR="00000000" w:rsidDel="00000000" w:rsidP="00000000" w:rsidRDefault="00000000" w:rsidRPr="00000000" w14:paraId="0000000F">
      <w:pPr>
        <w:widowControl w:val="0"/>
        <w:spacing w:after="200" w:line="192.00000000000003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192.00000000000003" w:lineRule="auto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