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游戏经济模型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GHOST SHOOTER是一款实时奖励结算的P2E游戏，我们的目标是带给玩家轻松、简单且高效的游戏体验。因此游戏的经济模型非常简单。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·经济</w:t>
      </w:r>
      <w:r>
        <w:rPr>
          <w:rFonts w:hint="eastAsia"/>
          <w:sz w:val="28"/>
          <w:szCs w:val="28"/>
          <w:lang w:val="en-US" w:eastAsia="zh-CN"/>
        </w:rPr>
        <w:t>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A.门票设置：</w:t>
      </w:r>
      <w:r>
        <w:rPr>
          <w:rFonts w:hint="eastAsia"/>
          <w:lang w:val="en-US" w:eastAsia="zh-CN"/>
        </w:rPr>
        <w:t>需要钱包地址至少持有225,000,000 $GHOSTSHOOTER 代币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B.奖励计算：</w:t>
      </w:r>
      <w:r>
        <w:rPr>
          <w:rFonts w:hint="eastAsia"/>
          <w:lang w:val="en-US" w:eastAsia="zh-CN"/>
        </w:rPr>
        <w:t>游戏即为矿池，你将使用召唤英雄在游戏中进行闯关，闯关视为挖矿，关卡完成所获得的代币将全部自动结算为代币自动发送到钱包中。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lang w:val="en-US" w:eastAsia="zh-CN"/>
        </w:rPr>
        <w:t>C.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我们将设计不同的角色NFT以支持玩家拥有不同的挖矿收益，也就是决定玩家的闯关难度以及获得代币的进度。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一张卡牌收益率为10%，则在自动结算时，你所获得的关卡代币奖励将以（1+10）%的收益率完成结算，并自动发放到钱包中。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其次每张卡牌将拥有不同的使用次数，一天的使用次数从1-20不等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卡牌的使用次数将随着稀有度增加而增加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提币：提币将会在游戏初期有限制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76"/>
        <w:gridCol w:w="852"/>
        <w:gridCol w:w="852"/>
        <w:gridCol w:w="852"/>
        <w:gridCol w:w="852"/>
        <w:gridCol w:w="1279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第三周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第四周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第五周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提币比例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65F3E"/>
    <w:multiLevelType w:val="singleLevel"/>
    <w:tmpl w:val="9E465F3E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2111C"/>
    <w:rsid w:val="4F22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2022-01-15T06:32:00Z</dcterms:created>
  <dc:creator>青禾</dc:creator>
  <cp:lastModifiedBy>青禾</cp:lastModifiedBy>
  <dcterms:modified xsi:type="dcterms:W3CDTF">2022-01-15T06:58:05Z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1AD43DC4A0FF40E1BE5050B62760795C</vt:lpwstr>
  </property>
</Properties>
</file>