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194" w14:textId="77777777" w:rsidR="00773774" w:rsidRDefault="00773774" w:rsidP="00773774">
      <w:pPr>
        <w:spacing w:after="120"/>
        <w:jc w:val="center"/>
        <w:rPr>
          <w:sz w:val="48"/>
          <w:szCs w:val="48"/>
        </w:rPr>
      </w:pPr>
      <w:r>
        <w:rPr>
          <w:sz w:val="48"/>
          <w:szCs w:val="48"/>
        </w:rPr>
        <w:t>Multi-Level Anomaly Detection in Financial Transactions: A Comparative Study of Machine Learning and Deep Learning Models</w:t>
      </w:r>
    </w:p>
    <w:p w14:paraId="5C2EAB0D" w14:textId="4C140E61" w:rsidR="005B3D74" w:rsidRPr="00DF5AAF" w:rsidRDefault="005B3D74" w:rsidP="00773774">
      <w:pPr>
        <w:spacing w:after="120"/>
        <w:jc w:val="center"/>
        <w:rPr>
          <w:sz w:val="22"/>
          <w:szCs w:val="22"/>
        </w:rPr>
      </w:pPr>
      <w:r w:rsidRPr="00DF5AAF">
        <w:rPr>
          <w:sz w:val="22"/>
          <w:szCs w:val="22"/>
        </w:rPr>
        <w:t>Q</w:t>
      </w:r>
      <w:r w:rsidR="00133606" w:rsidRPr="00DF5AAF">
        <w:rPr>
          <w:sz w:val="22"/>
          <w:szCs w:val="22"/>
        </w:rPr>
        <w:t xml:space="preserve">uarterly Report 3 - </w:t>
      </w:r>
      <w:r w:rsidR="00F82B78">
        <w:t>Hyperparameter Optimization and Multi-Class Risk Stratification</w:t>
      </w:r>
    </w:p>
    <w:p w14:paraId="0832CBE6" w14:textId="77777777" w:rsidR="00A77DF0" w:rsidRDefault="00A77DF0">
      <w:pPr>
        <w:spacing w:after="40"/>
        <w:jc w:val="center"/>
        <w:rPr>
          <w:sz w:val="22"/>
          <w:szCs w:val="22"/>
        </w:rPr>
      </w:pPr>
    </w:p>
    <w:p w14:paraId="03761BD5" w14:textId="72D59E9C" w:rsidR="005F748C" w:rsidRDefault="008F68DA">
      <w:pPr>
        <w:spacing w:after="40"/>
        <w:jc w:val="center"/>
      </w:pPr>
      <w:r>
        <w:rPr>
          <w:sz w:val="22"/>
          <w:szCs w:val="22"/>
        </w:rPr>
        <w:t>Siddartha Bandi</w:t>
      </w:r>
    </w:p>
    <w:p w14:paraId="03761BD6" w14:textId="77777777" w:rsidR="005F748C" w:rsidRDefault="00AE5380">
      <w:pPr>
        <w:spacing w:after="40"/>
        <w:jc w:val="center"/>
      </w:pPr>
      <w:r>
        <w:rPr>
          <w:i/>
          <w:iCs/>
        </w:rPr>
        <w:t>College of Engineering &amp; Mines, University of North Dakota</w:t>
      </w:r>
    </w:p>
    <w:p w14:paraId="03761BD7" w14:textId="77777777" w:rsidR="005F748C" w:rsidRDefault="00AE5380">
      <w:pPr>
        <w:spacing w:after="40"/>
        <w:jc w:val="center"/>
      </w:pPr>
      <w:r>
        <w:rPr>
          <w:i/>
          <w:iCs/>
        </w:rPr>
        <w:t>Grand Forks, ND, USA</w:t>
      </w:r>
    </w:p>
    <w:p w14:paraId="03761BD8" w14:textId="5B6D9F64" w:rsidR="005F748C" w:rsidRDefault="00233874">
      <w:pPr>
        <w:spacing w:after="160"/>
        <w:jc w:val="center"/>
        <w:rPr>
          <w:i/>
          <w:iCs/>
        </w:rPr>
      </w:pPr>
      <w:r>
        <w:rPr>
          <w:i/>
          <w:iCs/>
        </w:rPr>
        <w:t>s</w:t>
      </w:r>
      <w:r w:rsidR="008F68DA">
        <w:rPr>
          <w:i/>
          <w:iCs/>
        </w:rPr>
        <w:t>iddartha.bandi@und.edu</w:t>
      </w:r>
    </w:p>
    <w:p w14:paraId="78F4C402" w14:textId="2EDF6BE5" w:rsidR="00233874" w:rsidRPr="00DF5AAF" w:rsidRDefault="00233874" w:rsidP="00893CE1">
      <w:pPr>
        <w:spacing w:after="40"/>
        <w:jc w:val="center"/>
        <w:rPr>
          <w:sz w:val="22"/>
          <w:szCs w:val="22"/>
        </w:rPr>
      </w:pPr>
      <w:r w:rsidRPr="00DF5AAF">
        <w:rPr>
          <w:sz w:val="22"/>
          <w:szCs w:val="22"/>
        </w:rPr>
        <w:t>Course: DATA 994 – Capstone Project</w:t>
      </w:r>
      <w:r w:rsidR="00893CE1" w:rsidRPr="00DF5AAF">
        <w:rPr>
          <w:sz w:val="22"/>
          <w:szCs w:val="22"/>
        </w:rPr>
        <w:t xml:space="preserve"> | </w:t>
      </w:r>
      <w:r w:rsidRPr="00DF5AAF">
        <w:rPr>
          <w:sz w:val="22"/>
          <w:szCs w:val="22"/>
        </w:rPr>
        <w:t>Instructor: Dr. Marina E. Kim</w:t>
      </w:r>
    </w:p>
    <w:p w14:paraId="7A523A5A" w14:textId="77777777" w:rsidR="003F01B9" w:rsidRDefault="003F01B9">
      <w:pPr>
        <w:spacing w:after="80"/>
        <w:ind w:left="360" w:right="360"/>
        <w:jc w:val="both"/>
        <w:rPr>
          <w:b/>
          <w:bCs/>
          <w:i/>
          <w:iCs/>
          <w:sz w:val="18"/>
          <w:szCs w:val="18"/>
        </w:rPr>
      </w:pPr>
    </w:p>
    <w:p w14:paraId="03761BD9" w14:textId="3FA6BA9F" w:rsidR="005F748C" w:rsidRDefault="00AE5380">
      <w:pPr>
        <w:spacing w:after="80"/>
        <w:ind w:left="360" w:right="360"/>
        <w:jc w:val="both"/>
      </w:pPr>
      <w:r>
        <w:rPr>
          <w:b/>
          <w:bCs/>
          <w:i/>
          <w:iCs/>
          <w:sz w:val="18"/>
          <w:szCs w:val="18"/>
        </w:rPr>
        <w:t>Abstract—</w:t>
      </w:r>
      <w:r>
        <w:rPr>
          <w:sz w:val="18"/>
          <w:szCs w:val="18"/>
        </w:rPr>
        <w:t>This paper presents the Quarter 3 report of a four-quarter capstone investigating hierarchical anomaly detection for financial fraud. Building on five baseline models from Quarter 2</w:t>
      </w:r>
      <w:r w:rsidR="00DA3272">
        <w:rPr>
          <w:sz w:val="18"/>
          <w:szCs w:val="18"/>
        </w:rPr>
        <w:t xml:space="preserve">: </w:t>
      </w:r>
      <w:r>
        <w:rPr>
          <w:sz w:val="18"/>
          <w:szCs w:val="18"/>
        </w:rPr>
        <w:t xml:space="preserve">Random Forest, </w:t>
      </w:r>
      <w:proofErr w:type="spellStart"/>
      <w:r>
        <w:rPr>
          <w:sz w:val="18"/>
          <w:szCs w:val="18"/>
        </w:rPr>
        <w:t>XGBoost</w:t>
      </w:r>
      <w:proofErr w:type="spellEnd"/>
      <w:r>
        <w:rPr>
          <w:sz w:val="18"/>
          <w:szCs w:val="18"/>
        </w:rPr>
        <w:t>, Isolation Forest, Autoencoder, and LSTM</w:t>
      </w:r>
      <w:r w:rsidR="00ED14EE">
        <w:rPr>
          <w:sz w:val="18"/>
          <w:szCs w:val="18"/>
        </w:rPr>
        <w:t>. T</w:t>
      </w:r>
      <w:r>
        <w:rPr>
          <w:sz w:val="18"/>
          <w:szCs w:val="18"/>
        </w:rPr>
        <w:t xml:space="preserve">his report details systematic hyperparameter optimization and a Level 2 multi-class risk stratification framework applied to the Kaggle Credit Card Fraud Detection dataset (284,807 transactions, 0.172% fraud rate). Grid search across 150 model configurations yielded performance gains for </w:t>
      </w:r>
      <w:proofErr w:type="spellStart"/>
      <w:r>
        <w:rPr>
          <w:sz w:val="18"/>
          <w:szCs w:val="18"/>
        </w:rPr>
        <w:t>XGBoost</w:t>
      </w:r>
      <w:proofErr w:type="spellEnd"/>
      <w:r>
        <w:rPr>
          <w:sz w:val="18"/>
          <w:szCs w:val="18"/>
        </w:rPr>
        <w:t xml:space="preserve"> (+2.45%, AUPRC: 0.8687), Isolation Forest (+28.90%, AUPRC: 0.2693), and LSTM (+1.40%, AUPRC: 0.8133). A tercile-based Level 2 stratification framework concentrated 94–97% of fraudulent transactions in the High Risk tier across all five architectures</w:t>
      </w:r>
      <w:r w:rsidR="008D370F">
        <w:rPr>
          <w:sz w:val="18"/>
          <w:szCs w:val="18"/>
        </w:rPr>
        <w:t>. A</w:t>
      </w:r>
      <w:r>
        <w:rPr>
          <w:sz w:val="18"/>
          <w:szCs w:val="18"/>
        </w:rPr>
        <w:t xml:space="preserve"> model-agnostic property that validates the hierarchical detection approach and establishes a foundation for ensemble strategies in Quarter 4.</w:t>
      </w:r>
    </w:p>
    <w:p w14:paraId="03761BDA" w14:textId="77777777" w:rsidR="005F748C" w:rsidRDefault="00AE5380">
      <w:pPr>
        <w:ind w:left="360" w:right="360"/>
        <w:jc w:val="both"/>
      </w:pPr>
      <w:r>
        <w:rPr>
          <w:b/>
          <w:bCs/>
          <w:i/>
          <w:iCs/>
          <w:sz w:val="18"/>
          <w:szCs w:val="18"/>
        </w:rPr>
        <w:t>Keywords—</w:t>
      </w:r>
      <w:r>
        <w:rPr>
          <w:sz w:val="18"/>
          <w:szCs w:val="18"/>
        </w:rPr>
        <w:t xml:space="preserve">credit card fraud detection, anomaly detection, hyperparameter optimization, risk stratification, </w:t>
      </w:r>
      <w:proofErr w:type="spellStart"/>
      <w:r>
        <w:rPr>
          <w:sz w:val="18"/>
          <w:szCs w:val="18"/>
        </w:rPr>
        <w:t>XGBoost</w:t>
      </w:r>
      <w:proofErr w:type="spellEnd"/>
      <w:r>
        <w:rPr>
          <w:sz w:val="18"/>
          <w:szCs w:val="18"/>
        </w:rPr>
        <w:t>, Random Forest, LSTM, Autoencoder, Isolation Forest, AUPRC, class imbalance.</w:t>
      </w:r>
    </w:p>
    <w:p w14:paraId="03761BDB" w14:textId="77777777" w:rsidR="005F748C" w:rsidRDefault="005F748C">
      <w:pPr>
        <w:sectPr w:rsidR="005F748C" w:rsidSect="002D7A1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6" w:gutter="0"/>
          <w:cols w:space="720"/>
          <w:docGrid w:linePitch="360"/>
        </w:sectPr>
      </w:pPr>
    </w:p>
    <w:p w14:paraId="03761BDC" w14:textId="77777777" w:rsidR="005F748C" w:rsidRDefault="00AE5380">
      <w:pPr>
        <w:spacing w:before="160" w:after="80"/>
        <w:jc w:val="center"/>
      </w:pPr>
      <w:r>
        <w:rPr>
          <w:b/>
          <w:bCs/>
          <w:smallCaps/>
        </w:rPr>
        <w:t>I. INTRODUCTION</w:t>
      </w:r>
    </w:p>
    <w:p w14:paraId="03761BDD" w14:textId="77777777" w:rsidR="005F748C" w:rsidRDefault="00AE5380">
      <w:pPr>
        <w:spacing w:after="100"/>
        <w:ind w:firstLine="288"/>
        <w:jc w:val="both"/>
      </w:pPr>
      <w:r>
        <w:t>Financial fraud detection is one of the most demanding applications of machine learning, combining extreme class imbalance, high transaction volumes, and severe asymmetric costs between false negatives (missed fraud) and false positives (incorrectly flagged legitimate transactions). Global card payment fraud losses have exceeded $33 billion annually, with adversarial patterns evolving continuously in response to deployed detection systems.</w:t>
      </w:r>
    </w:p>
    <w:p w14:paraId="03761BDE" w14:textId="63B0AAF3" w:rsidR="005F748C" w:rsidRDefault="00AE5380">
      <w:pPr>
        <w:spacing w:after="100"/>
        <w:ind w:firstLine="288"/>
        <w:jc w:val="both"/>
      </w:pPr>
      <w:r>
        <w:t>The Kaggle Credit Card Fraud Detection dataset [1]</w:t>
      </w:r>
      <w:r w:rsidR="008D370F">
        <w:t xml:space="preserve"> </w:t>
      </w:r>
      <w:r>
        <w:t>284,807 European card transactions from September 2013, 492 fraudulent (0.172%), 28 PCA-anonymized features, class imbalance ratio 1:578</w:t>
      </w:r>
      <w:r w:rsidR="008D370F">
        <w:t xml:space="preserve"> s</w:t>
      </w:r>
      <w:r>
        <w:t>erves as the primary benchmark. Its severe class skew mirrors real-world deployment conditions, making it a widely adopted standard for comparative algorithmic evaluation.</w:t>
      </w:r>
    </w:p>
    <w:p w14:paraId="03761BDF" w14:textId="77777777" w:rsidR="005F748C" w:rsidRDefault="00AE5380">
      <w:pPr>
        <w:spacing w:after="100"/>
        <w:ind w:firstLine="288"/>
        <w:jc w:val="both"/>
      </w:pPr>
      <w:r>
        <w:t xml:space="preserve">This project investigates a two-level hierarchical detection framework. Level 1 binary classification assigns each transaction a continuous fraud probability score. Level 2 stratification partitions those scores into Low, Medium, and High risk tiers for proportional resource allocation. The four-quarter arc: Q1 (EDA), Q2 (five baseline models), Q3 (hyperparameter optimization and Level 2 stratification—this report), Q4 (ensemble combination). Q3 contributions: (1) systematic grid search across 150 model configurations, and (2) </w:t>
      </w:r>
      <w:r>
        <w:t>empirical evaluation of a tercile-based Level 2 framework against 98 held-out fraud cases.</w:t>
      </w:r>
    </w:p>
    <w:p w14:paraId="03761BE0" w14:textId="77777777" w:rsidR="005F748C" w:rsidRDefault="00AE5380">
      <w:pPr>
        <w:spacing w:after="100"/>
        <w:ind w:firstLine="288"/>
        <w:jc w:val="both"/>
      </w:pPr>
      <w:r>
        <w:t>The Area Under the Precision-Recall Curve (AUPRC) is adopted as the primary evaluation metric throughout. Standard accuracy and ROC-AUC are poorly suited to the 1:578 imbalance: a trivial all-negative classifier achieves 99.83% accuracy while detecting zero frauds. AUPRC directly quantifies minority-class performance across all decision thresholds, providing a more operationally relevant summary statistic.</w:t>
      </w:r>
    </w:p>
    <w:p w14:paraId="03761BE1" w14:textId="77777777" w:rsidR="005F748C" w:rsidRDefault="00AE5380">
      <w:pPr>
        <w:spacing w:before="160" w:after="80"/>
        <w:jc w:val="center"/>
      </w:pPr>
      <w:r>
        <w:rPr>
          <w:b/>
          <w:bCs/>
          <w:smallCaps/>
        </w:rPr>
        <w:t>II. RELATED WORK</w:t>
      </w:r>
    </w:p>
    <w:p w14:paraId="03761BE2" w14:textId="77777777" w:rsidR="005F748C" w:rsidRDefault="00AE5380">
      <w:pPr>
        <w:spacing w:after="100"/>
        <w:ind w:firstLine="288"/>
        <w:jc w:val="both"/>
      </w:pPr>
      <w:r>
        <w:t xml:space="preserve">Random Forest [2] and </w:t>
      </w:r>
      <w:proofErr w:type="spellStart"/>
      <w:r>
        <w:t>XGBoost</w:t>
      </w:r>
      <w:proofErr w:type="spellEnd"/>
      <w:r>
        <w:t xml:space="preserve"> [3] are the most widely deployed tabular fraud detectors, achieving AUPRC 0.82–0.93 and 0.85–0.92 respectively on this benchmark [4]. Random Forest’s bootstrap aggregation reduces prediction variance; </w:t>
      </w:r>
      <w:proofErr w:type="spellStart"/>
      <w:r>
        <w:t>XGBoost’s</w:t>
      </w:r>
      <w:proofErr w:type="spellEnd"/>
      <w:r>
        <w:t xml:space="preserve"> regularized gradient boosting and native </w:t>
      </w:r>
      <w:proofErr w:type="spellStart"/>
      <w:r>
        <w:t>scale_pos_weight</w:t>
      </w:r>
      <w:proofErr w:type="spellEnd"/>
      <w:r>
        <w:t xml:space="preserve"> provide explicit class imbalance control. Isolation Forest [5] exploits the principle that anomalies require fewer random partitions to isolate; its contamination parameter dominates performance [6].</w:t>
      </w:r>
    </w:p>
    <w:p w14:paraId="03761BE3" w14:textId="5609F5C6" w:rsidR="005F748C" w:rsidRDefault="00AE5380">
      <w:pPr>
        <w:spacing w:after="100"/>
        <w:ind w:firstLine="288"/>
        <w:jc w:val="both"/>
      </w:pPr>
      <w:r>
        <w:t xml:space="preserve">Autoencoder-based detection [7] trains on normal samples and uses reconstruction error as an anomaly </w:t>
      </w:r>
      <w:r w:rsidR="008D370F">
        <w:t>score but</w:t>
      </w:r>
      <w:r>
        <w:t xml:space="preserve"> overlapping error distributions on PCA-whitened data limit precision [8]. LSTM networks [9] are designed for temporal sequence modeling and have been applied to transaction </w:t>
      </w:r>
      <w:r>
        <w:lastRenderedPageBreak/>
        <w:t>streams [10], though their advantage diminishes on aggregate (non-sequential) datasets. Threshold-based risk stratification provides a practical framework for translating continuous anomaly scores into actionable investigation queues [11], with top-tier concentration yielding significantly higher fraud-per-review rates [12].</w:t>
      </w:r>
    </w:p>
    <w:p w14:paraId="03761BE4" w14:textId="77777777" w:rsidR="005F748C" w:rsidRDefault="00AE5380">
      <w:pPr>
        <w:spacing w:before="160" w:after="80"/>
        <w:jc w:val="center"/>
      </w:pPr>
      <w:r>
        <w:rPr>
          <w:b/>
          <w:bCs/>
          <w:smallCaps/>
        </w:rPr>
        <w:t>III. METHODOLOGY</w:t>
      </w:r>
    </w:p>
    <w:p w14:paraId="03761BE5" w14:textId="77777777" w:rsidR="005F748C" w:rsidRDefault="00AE5380">
      <w:pPr>
        <w:spacing w:before="100" w:after="40"/>
      </w:pPr>
      <w:r>
        <w:rPr>
          <w:b/>
          <w:bCs/>
          <w:i/>
          <w:iCs/>
        </w:rPr>
        <w:t>A. Dataset and Preprocessing</w:t>
      </w:r>
    </w:p>
    <w:p w14:paraId="03761BE6" w14:textId="67EDCDC0" w:rsidR="005F748C" w:rsidRDefault="00AE5380">
      <w:pPr>
        <w:spacing w:after="100"/>
        <w:ind w:firstLine="288"/>
        <w:jc w:val="both"/>
      </w:pPr>
      <w:r>
        <w:t>The dataset was partitioned using stratified sampling (70% train / 15% validation / 15% test), preserving the 0.172% fraud rate. The test set contains 98 fraudulent transactions</w:t>
      </w:r>
      <w:r w:rsidR="00DA3272">
        <w:t xml:space="preserve">, </w:t>
      </w:r>
      <w:r>
        <w:t xml:space="preserve">the ground truth for all Level 2 evaluation. The Amount feature was scaled using </w:t>
      </w:r>
      <w:proofErr w:type="spellStart"/>
      <w:r>
        <w:t>RobustScaler</w:t>
      </w:r>
      <w:proofErr w:type="spellEnd"/>
      <w:r>
        <w:t>; PCA features V1–V28 were standardized to zero mean and unit variance for neural network models. Q1 EDA identified V14, V4, V11, V17, and V12 as the most discriminative features.</w:t>
      </w:r>
    </w:p>
    <w:p w14:paraId="03761BE7" w14:textId="77777777" w:rsidR="005F748C" w:rsidRDefault="00AE5380">
      <w:pPr>
        <w:spacing w:before="100" w:after="40"/>
      </w:pPr>
      <w:r>
        <w:rPr>
          <w:b/>
          <w:bCs/>
          <w:i/>
          <w:iCs/>
        </w:rPr>
        <w:t>B. Model Architectures</w:t>
      </w:r>
    </w:p>
    <w:p w14:paraId="03761BE8" w14:textId="77777777" w:rsidR="005F748C" w:rsidRDefault="00AE5380">
      <w:pPr>
        <w:spacing w:after="100"/>
        <w:ind w:firstLine="288"/>
        <w:jc w:val="both"/>
      </w:pPr>
      <w:r>
        <w:t xml:space="preserve">Five architecturally distinct models spanning supervised, unsupervised, and deep learning paradigms were evaluated. Random Forest: 200 bootstrap-aggregated trees, Gini impurity, balanced class weighting. </w:t>
      </w:r>
      <w:proofErr w:type="spellStart"/>
      <w:r>
        <w:t>XGBoost</w:t>
      </w:r>
      <w:proofErr w:type="spellEnd"/>
      <w:r>
        <w:t xml:space="preserve">: histogram-based gradient-boosted ensemble with L1/L2 regularization and auto-computed </w:t>
      </w:r>
      <w:proofErr w:type="spellStart"/>
      <w:r>
        <w:t>scale_pos_weight</w:t>
      </w:r>
      <w:proofErr w:type="spellEnd"/>
      <w:r>
        <w:t>. Isolation Forest: recursive random partitioning with contamination as primary tuning parameter. Autoencoder: symmetric bottleneck [30→20→10→20→30] trained on legitimate transactions, using the 83.97th-percentile reconstruction error as the anomaly threshold. LSTM: two-layer recurrent network (64→32 units), dense sigmoid output, class-weighted binary cross-entropy, 0.2 dropout.</w:t>
      </w:r>
    </w:p>
    <w:p w14:paraId="03761BE9" w14:textId="77777777" w:rsidR="005F748C" w:rsidRDefault="00AE5380">
      <w:pPr>
        <w:spacing w:before="100" w:after="40"/>
      </w:pPr>
      <w:r>
        <w:rPr>
          <w:b/>
          <w:bCs/>
          <w:i/>
          <w:iCs/>
        </w:rPr>
        <w:t>C. Hyperparameter Optimization</w:t>
      </w:r>
    </w:p>
    <w:p w14:paraId="03761BEA" w14:textId="77777777" w:rsidR="005F748C" w:rsidRDefault="00AE5380">
      <w:pPr>
        <w:spacing w:after="100"/>
        <w:ind w:firstLine="288"/>
        <w:jc w:val="both"/>
      </w:pPr>
      <w:r>
        <w:t>Grid search was performed across pre-specified parameter spaces. Random Forest: 48 configs (</w:t>
      </w:r>
      <w:proofErr w:type="spellStart"/>
      <w:r>
        <w:t>n_estimators</w:t>
      </w:r>
      <w:proofErr w:type="spellEnd"/>
      <w:r>
        <w:t xml:space="preserve">, </w:t>
      </w:r>
      <w:proofErr w:type="spellStart"/>
      <w:r>
        <w:t>max_depth</w:t>
      </w:r>
      <w:proofErr w:type="spellEnd"/>
      <w:r>
        <w:t xml:space="preserve">, </w:t>
      </w:r>
      <w:proofErr w:type="spellStart"/>
      <w:r>
        <w:t>min_samples</w:t>
      </w:r>
      <w:proofErr w:type="spellEnd"/>
      <w:r>
        <w:t xml:space="preserve">, </w:t>
      </w:r>
      <w:proofErr w:type="spellStart"/>
      <w:r>
        <w:t>class_weight</w:t>
      </w:r>
      <w:proofErr w:type="spellEnd"/>
      <w:r>
        <w:t xml:space="preserve">). </w:t>
      </w:r>
      <w:proofErr w:type="spellStart"/>
      <w:r>
        <w:t>XGBoost</w:t>
      </w:r>
      <w:proofErr w:type="spellEnd"/>
      <w:r>
        <w:t xml:space="preserve">: 48 configs (depth, </w:t>
      </w:r>
      <w:proofErr w:type="spellStart"/>
      <w:r>
        <w:t>learning_rate</w:t>
      </w:r>
      <w:proofErr w:type="spellEnd"/>
      <w:r>
        <w:t xml:space="preserve">, subsample, </w:t>
      </w:r>
      <w:proofErr w:type="spellStart"/>
      <w:r>
        <w:t>colsample_bytree</w:t>
      </w:r>
      <w:proofErr w:type="spellEnd"/>
      <w:r>
        <w:t xml:space="preserve">). Isolation Forest: 24 configs (contamination ∈ {0.00172, 0.005, 0.01}, </w:t>
      </w:r>
      <w:proofErr w:type="spellStart"/>
      <w:r>
        <w:t>n_estimators</w:t>
      </w:r>
      <w:proofErr w:type="spellEnd"/>
      <w:r>
        <w:t xml:space="preserve">, </w:t>
      </w:r>
      <w:proofErr w:type="spellStart"/>
      <w:r>
        <w:t>max_samples</w:t>
      </w:r>
      <w:proofErr w:type="spellEnd"/>
      <w:r>
        <w:t>). Autoencoder: 3 bottleneck architectures. LSTM: 27 configs (layer units, dropout). Total: 150 configurations. Validation AUPRC guided model selection; final metrics were computed on the held-out test set to prevent selection bias.</w:t>
      </w:r>
    </w:p>
    <w:p w14:paraId="03761BEB" w14:textId="77777777" w:rsidR="005F748C" w:rsidRDefault="00AE5380">
      <w:pPr>
        <w:spacing w:before="100" w:after="40"/>
      </w:pPr>
      <w:r>
        <w:rPr>
          <w:b/>
          <w:bCs/>
          <w:i/>
          <w:iCs/>
        </w:rPr>
        <w:t>D. Level 2 Risk Stratification</w:t>
      </w:r>
    </w:p>
    <w:p w14:paraId="03761BEC" w14:textId="77777777" w:rsidR="005F748C" w:rsidRDefault="00AE5380">
      <w:pPr>
        <w:spacing w:after="100"/>
        <w:ind w:firstLine="288"/>
        <w:jc w:val="both"/>
      </w:pPr>
      <w:r>
        <w:t>Level 1 models generate continuous fraud scores in [0,1]. Supervised models produce probabilities directly; Isolation Forest anomaly scores and Autoencoder reconstruction errors are min-max normalized to [0,1]. Level 2 stratification applies tercile thresholds T₃₃ and T₆₇ (33rd and 67th percentiles of the full test set score distribution), creating approximately equal-sized Low (score &lt; T₃₃), Medium (T₃₃ ≤ score &lt; T₆₇), and High (score ≥ T₆₇) risk tiers. This approach is threshold-free and model-agnostic: tier boundaries adapt to each model’s score distribution.</w:t>
      </w:r>
    </w:p>
    <w:p w14:paraId="03761BED" w14:textId="77777777" w:rsidR="005F748C" w:rsidRDefault="00AE5380">
      <w:pPr>
        <w:spacing w:before="160" w:after="80"/>
        <w:jc w:val="center"/>
      </w:pPr>
      <w:r>
        <w:rPr>
          <w:b/>
          <w:bCs/>
          <w:smallCaps/>
        </w:rPr>
        <w:t>IV. RESULTS</w:t>
      </w:r>
    </w:p>
    <w:p w14:paraId="03761BEE" w14:textId="77777777" w:rsidR="005F748C" w:rsidRDefault="00AE5380">
      <w:pPr>
        <w:spacing w:before="100" w:after="40"/>
      </w:pPr>
      <w:r>
        <w:rPr>
          <w:b/>
          <w:bCs/>
          <w:i/>
          <w:iCs/>
        </w:rPr>
        <w:t>A. Quarter 2 Baseline Performance</w:t>
      </w:r>
    </w:p>
    <w:p w14:paraId="03761BEF" w14:textId="77777777" w:rsidR="005F748C" w:rsidRDefault="00AE5380">
      <w:pPr>
        <w:spacing w:after="100"/>
        <w:ind w:firstLine="288"/>
        <w:jc w:val="both"/>
      </w:pPr>
      <w:r>
        <w:t xml:space="preserve">Table I recapitulates Q2 baseline metrics for all five models. Random Forest achieved the highest AUPRC (0.8645) with the best F1-Score (0.7943), reflecting well-calibrated precision-recall tradeoffs. </w:t>
      </w:r>
      <w:proofErr w:type="spellStart"/>
      <w:r>
        <w:t>XGBoost</w:t>
      </w:r>
      <w:proofErr w:type="spellEnd"/>
      <w:r>
        <w:t xml:space="preserve"> ranked second in AUPRC (0.8601) with the highest recall (0.8980) at the cost of reduced precision (0.3964). LSTM delivered symmetric precision-recall performance (0.8061 each). Unsupervised models trailed: the Autoencoder’s very low precision (0.0285) reflects its class-agnostic training; Isolation Forest reached only AUPRC 0.2089. Figures 3 and 4 visualize the four-metric comparison and Precision-Recall curves.</w:t>
      </w:r>
    </w:p>
    <w:p w14:paraId="03761BF0" w14:textId="77777777" w:rsidR="005F748C" w:rsidRDefault="00AE5380">
      <w:pPr>
        <w:spacing w:before="120" w:after="40"/>
        <w:jc w:val="center"/>
      </w:pPr>
      <w:r>
        <w:rPr>
          <w:b/>
          <w:bCs/>
          <w:smallCaps/>
          <w:sz w:val="16"/>
          <w:szCs w:val="16"/>
        </w:rPr>
        <w:t>TABLE I</w:t>
      </w:r>
      <w:r>
        <w:rPr>
          <w:b/>
          <w:bCs/>
          <w:sz w:val="16"/>
          <w:szCs w:val="16"/>
        </w:rPr>
        <w:t xml:space="preserve">  Q2 BASELINE PERFORMANCE METRICS — TEST SET</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680"/>
        <w:gridCol w:w="652"/>
        <w:gridCol w:w="652"/>
        <w:gridCol w:w="652"/>
        <w:gridCol w:w="1000"/>
      </w:tblGrid>
      <w:tr w:rsidR="005F748C" w14:paraId="03761BF7" w14:textId="77777777" w:rsidTr="00A903D2">
        <w:tc>
          <w:tcPr>
            <w:tcW w:w="1404"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BF1" w14:textId="77777777" w:rsidR="005F748C" w:rsidRDefault="00AE5380">
            <w:pPr>
              <w:jc w:val="center"/>
            </w:pPr>
            <w:r>
              <w:rPr>
                <w:b/>
                <w:bCs/>
                <w:color w:val="FFFFFF"/>
                <w:sz w:val="16"/>
                <w:szCs w:val="16"/>
              </w:rPr>
              <w:t>Model</w:t>
            </w:r>
          </w:p>
        </w:tc>
        <w:tc>
          <w:tcPr>
            <w:tcW w:w="68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BF2" w14:textId="77777777" w:rsidR="005F748C" w:rsidRDefault="00AE5380">
            <w:pPr>
              <w:jc w:val="center"/>
            </w:pPr>
            <w:r>
              <w:rPr>
                <w:b/>
                <w:bCs/>
                <w:color w:val="FFFFFF"/>
                <w:sz w:val="16"/>
                <w:szCs w:val="16"/>
              </w:rPr>
              <w:t>AUPRC</w:t>
            </w:r>
          </w:p>
        </w:tc>
        <w:tc>
          <w:tcPr>
            <w:tcW w:w="652"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BF3" w14:textId="77777777" w:rsidR="005F748C" w:rsidRDefault="00AE5380">
            <w:pPr>
              <w:jc w:val="center"/>
            </w:pPr>
            <w:r>
              <w:rPr>
                <w:b/>
                <w:bCs/>
                <w:color w:val="FFFFFF"/>
                <w:sz w:val="16"/>
                <w:szCs w:val="16"/>
              </w:rPr>
              <w:t>F1</w:t>
            </w:r>
          </w:p>
        </w:tc>
        <w:tc>
          <w:tcPr>
            <w:tcW w:w="652"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BF4" w14:textId="77777777" w:rsidR="005F748C" w:rsidRDefault="00AE5380">
            <w:pPr>
              <w:jc w:val="center"/>
            </w:pPr>
            <w:r>
              <w:rPr>
                <w:b/>
                <w:bCs/>
                <w:color w:val="FFFFFF"/>
                <w:sz w:val="16"/>
                <w:szCs w:val="16"/>
              </w:rPr>
              <w:t>Prec.</w:t>
            </w:r>
          </w:p>
        </w:tc>
        <w:tc>
          <w:tcPr>
            <w:tcW w:w="652"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BF5" w14:textId="77777777" w:rsidR="005F748C" w:rsidRDefault="00AE5380">
            <w:pPr>
              <w:jc w:val="center"/>
            </w:pPr>
            <w:r>
              <w:rPr>
                <w:b/>
                <w:bCs/>
                <w:color w:val="FFFFFF"/>
                <w:sz w:val="16"/>
                <w:szCs w:val="16"/>
              </w:rPr>
              <w:t>Recall</w:t>
            </w:r>
          </w:p>
        </w:tc>
        <w:tc>
          <w:tcPr>
            <w:tcW w:w="100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BF6" w14:textId="77777777" w:rsidR="005F748C" w:rsidRDefault="00AE5380">
            <w:pPr>
              <w:jc w:val="center"/>
            </w:pPr>
            <w:r>
              <w:rPr>
                <w:b/>
                <w:bCs/>
                <w:color w:val="FFFFFF"/>
                <w:sz w:val="16"/>
                <w:szCs w:val="16"/>
              </w:rPr>
              <w:t>Type</w:t>
            </w:r>
          </w:p>
        </w:tc>
      </w:tr>
      <w:tr w:rsidR="005F748C" w14:paraId="03761BFE" w14:textId="77777777" w:rsidTr="00A903D2">
        <w:tc>
          <w:tcPr>
            <w:tcW w:w="1404"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BF8" w14:textId="77777777" w:rsidR="005F748C" w:rsidRDefault="00AE5380">
            <w:r>
              <w:rPr>
                <w:b/>
                <w:bCs/>
                <w:color w:val="111111"/>
                <w:sz w:val="16"/>
                <w:szCs w:val="16"/>
              </w:rPr>
              <w:t>Random Forest</w:t>
            </w:r>
          </w:p>
        </w:tc>
        <w:tc>
          <w:tcPr>
            <w:tcW w:w="68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BF9" w14:textId="77777777" w:rsidR="005F748C" w:rsidRDefault="00AE5380">
            <w:pPr>
              <w:jc w:val="center"/>
            </w:pPr>
            <w:r>
              <w:rPr>
                <w:color w:val="111111"/>
                <w:sz w:val="16"/>
                <w:szCs w:val="16"/>
              </w:rPr>
              <w:t>0.8645</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BFA" w14:textId="77777777" w:rsidR="005F748C" w:rsidRDefault="00AE5380">
            <w:pPr>
              <w:jc w:val="center"/>
            </w:pPr>
            <w:r>
              <w:rPr>
                <w:color w:val="111111"/>
                <w:sz w:val="16"/>
                <w:szCs w:val="16"/>
              </w:rPr>
              <w:t>0.7943</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BFB" w14:textId="77777777" w:rsidR="005F748C" w:rsidRDefault="00AE5380">
            <w:pPr>
              <w:jc w:val="center"/>
            </w:pPr>
            <w:r>
              <w:rPr>
                <w:color w:val="111111"/>
                <w:sz w:val="16"/>
                <w:szCs w:val="16"/>
              </w:rPr>
              <w:t>0.7477</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BFC" w14:textId="77777777" w:rsidR="005F748C" w:rsidRDefault="00AE5380">
            <w:pPr>
              <w:jc w:val="center"/>
            </w:pPr>
            <w:r>
              <w:rPr>
                <w:color w:val="111111"/>
                <w:sz w:val="16"/>
                <w:szCs w:val="16"/>
              </w:rPr>
              <w:t>0.8469</w:t>
            </w:r>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BFD" w14:textId="77777777" w:rsidR="005F748C" w:rsidRDefault="00AE5380">
            <w:pPr>
              <w:jc w:val="center"/>
            </w:pPr>
            <w:r>
              <w:rPr>
                <w:color w:val="111111"/>
                <w:sz w:val="16"/>
                <w:szCs w:val="16"/>
              </w:rPr>
              <w:t>Supervised</w:t>
            </w:r>
          </w:p>
        </w:tc>
      </w:tr>
      <w:tr w:rsidR="005F748C" w14:paraId="03761C05" w14:textId="77777777" w:rsidTr="00A903D2">
        <w:tc>
          <w:tcPr>
            <w:tcW w:w="1404"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BFF" w14:textId="77777777" w:rsidR="005F748C" w:rsidRDefault="00AE5380">
            <w:proofErr w:type="spellStart"/>
            <w:r>
              <w:rPr>
                <w:b/>
                <w:bCs/>
                <w:color w:val="111111"/>
                <w:sz w:val="16"/>
                <w:szCs w:val="16"/>
              </w:rPr>
              <w:t>XGBoost</w:t>
            </w:r>
            <w:proofErr w:type="spellEnd"/>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0" w14:textId="77777777" w:rsidR="005F748C" w:rsidRDefault="00AE5380">
            <w:pPr>
              <w:jc w:val="center"/>
            </w:pPr>
            <w:r>
              <w:rPr>
                <w:color w:val="111111"/>
                <w:sz w:val="16"/>
                <w:szCs w:val="16"/>
              </w:rPr>
              <w:t>0.8601</w:t>
            </w:r>
          </w:p>
        </w:tc>
        <w:tc>
          <w:tcPr>
            <w:tcW w:w="65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1" w14:textId="77777777" w:rsidR="005F748C" w:rsidRDefault="00AE5380">
            <w:pPr>
              <w:jc w:val="center"/>
            </w:pPr>
            <w:r>
              <w:rPr>
                <w:color w:val="111111"/>
                <w:sz w:val="16"/>
                <w:szCs w:val="16"/>
              </w:rPr>
              <w:t>0.5500</w:t>
            </w:r>
          </w:p>
        </w:tc>
        <w:tc>
          <w:tcPr>
            <w:tcW w:w="65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2" w14:textId="77777777" w:rsidR="005F748C" w:rsidRDefault="00AE5380">
            <w:pPr>
              <w:jc w:val="center"/>
            </w:pPr>
            <w:r>
              <w:rPr>
                <w:color w:val="111111"/>
                <w:sz w:val="16"/>
                <w:szCs w:val="16"/>
              </w:rPr>
              <w:t>0.3964</w:t>
            </w:r>
          </w:p>
        </w:tc>
        <w:tc>
          <w:tcPr>
            <w:tcW w:w="65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3" w14:textId="77777777" w:rsidR="005F748C" w:rsidRDefault="00AE5380">
            <w:pPr>
              <w:jc w:val="center"/>
            </w:pPr>
            <w:r>
              <w:rPr>
                <w:color w:val="111111"/>
                <w:sz w:val="16"/>
                <w:szCs w:val="16"/>
              </w:rPr>
              <w:t>0.8980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4" w14:textId="77777777" w:rsidR="005F748C" w:rsidRDefault="00AE5380">
            <w:pPr>
              <w:jc w:val="center"/>
            </w:pPr>
            <w:r>
              <w:rPr>
                <w:color w:val="111111"/>
                <w:sz w:val="16"/>
                <w:szCs w:val="16"/>
              </w:rPr>
              <w:t>Supervised</w:t>
            </w:r>
          </w:p>
        </w:tc>
      </w:tr>
      <w:tr w:rsidR="005F748C" w14:paraId="03761C0C" w14:textId="77777777" w:rsidTr="00A903D2">
        <w:tc>
          <w:tcPr>
            <w:tcW w:w="1404"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06" w14:textId="77777777" w:rsidR="005F748C" w:rsidRDefault="00AE5380">
            <w:r>
              <w:rPr>
                <w:b/>
                <w:bCs/>
                <w:color w:val="111111"/>
                <w:sz w:val="16"/>
                <w:szCs w:val="16"/>
              </w:rPr>
              <w:t>Isolation Forest</w:t>
            </w:r>
          </w:p>
        </w:tc>
        <w:tc>
          <w:tcPr>
            <w:tcW w:w="68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07" w14:textId="77777777" w:rsidR="005F748C" w:rsidRDefault="00AE5380">
            <w:pPr>
              <w:jc w:val="center"/>
            </w:pPr>
            <w:r>
              <w:rPr>
                <w:color w:val="111111"/>
                <w:sz w:val="16"/>
                <w:szCs w:val="16"/>
              </w:rPr>
              <w:t>0.2089</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08" w14:textId="77777777" w:rsidR="005F748C" w:rsidRDefault="00AE5380">
            <w:pPr>
              <w:jc w:val="center"/>
            </w:pPr>
            <w:r>
              <w:rPr>
                <w:color w:val="111111"/>
                <w:sz w:val="16"/>
                <w:szCs w:val="16"/>
              </w:rPr>
              <w:t>0.3220</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09" w14:textId="77777777" w:rsidR="005F748C" w:rsidRDefault="00AE5380">
            <w:pPr>
              <w:jc w:val="center"/>
            </w:pPr>
            <w:r>
              <w:rPr>
                <w:color w:val="111111"/>
                <w:sz w:val="16"/>
                <w:szCs w:val="16"/>
              </w:rPr>
              <w:t>0.3084</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0A" w14:textId="77777777" w:rsidR="005F748C" w:rsidRDefault="00AE5380">
            <w:pPr>
              <w:jc w:val="center"/>
            </w:pPr>
            <w:r>
              <w:rPr>
                <w:color w:val="111111"/>
                <w:sz w:val="16"/>
                <w:szCs w:val="16"/>
              </w:rPr>
              <w:t>0.3367</w:t>
            </w:r>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0B" w14:textId="77777777" w:rsidR="005F748C" w:rsidRDefault="00AE5380">
            <w:pPr>
              <w:jc w:val="center"/>
            </w:pPr>
            <w:r>
              <w:rPr>
                <w:color w:val="111111"/>
                <w:sz w:val="16"/>
                <w:szCs w:val="16"/>
              </w:rPr>
              <w:t>Unsupervised</w:t>
            </w:r>
          </w:p>
        </w:tc>
      </w:tr>
      <w:tr w:rsidR="005F748C" w14:paraId="03761C13" w14:textId="77777777" w:rsidTr="00A903D2">
        <w:tc>
          <w:tcPr>
            <w:tcW w:w="1404"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D" w14:textId="77777777" w:rsidR="005F748C" w:rsidRDefault="00AE5380">
            <w:r>
              <w:rPr>
                <w:b/>
                <w:bCs/>
                <w:color w:val="111111"/>
                <w:sz w:val="16"/>
                <w:szCs w:val="16"/>
              </w:rPr>
              <w:t>Autoencoder</w:t>
            </w:r>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E" w14:textId="77777777" w:rsidR="005F748C" w:rsidRDefault="00AE5380">
            <w:pPr>
              <w:jc w:val="center"/>
            </w:pPr>
            <w:r>
              <w:rPr>
                <w:color w:val="111111"/>
                <w:sz w:val="16"/>
                <w:szCs w:val="16"/>
              </w:rPr>
              <w:t>0.4531</w:t>
            </w:r>
          </w:p>
        </w:tc>
        <w:tc>
          <w:tcPr>
            <w:tcW w:w="65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0F" w14:textId="77777777" w:rsidR="005F748C" w:rsidRDefault="00AE5380">
            <w:pPr>
              <w:jc w:val="center"/>
            </w:pPr>
            <w:r>
              <w:rPr>
                <w:color w:val="111111"/>
                <w:sz w:val="16"/>
                <w:szCs w:val="16"/>
              </w:rPr>
              <w:t>0.0552</w:t>
            </w:r>
          </w:p>
        </w:tc>
        <w:tc>
          <w:tcPr>
            <w:tcW w:w="65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10" w14:textId="77777777" w:rsidR="005F748C" w:rsidRDefault="00AE5380">
            <w:pPr>
              <w:jc w:val="center"/>
            </w:pPr>
            <w:r>
              <w:rPr>
                <w:color w:val="111111"/>
                <w:sz w:val="16"/>
                <w:szCs w:val="16"/>
              </w:rPr>
              <w:t>0.0285</w:t>
            </w:r>
          </w:p>
        </w:tc>
        <w:tc>
          <w:tcPr>
            <w:tcW w:w="65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11" w14:textId="77777777" w:rsidR="005F748C" w:rsidRDefault="00AE5380">
            <w:pPr>
              <w:jc w:val="center"/>
            </w:pPr>
            <w:r>
              <w:rPr>
                <w:color w:val="111111"/>
                <w:sz w:val="16"/>
                <w:szCs w:val="16"/>
              </w:rPr>
              <w:t>0.8776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12" w14:textId="77777777" w:rsidR="005F748C" w:rsidRDefault="00AE5380">
            <w:pPr>
              <w:jc w:val="center"/>
            </w:pPr>
            <w:r>
              <w:rPr>
                <w:color w:val="111111"/>
                <w:sz w:val="16"/>
                <w:szCs w:val="16"/>
              </w:rPr>
              <w:t>Unsupervised</w:t>
            </w:r>
          </w:p>
        </w:tc>
      </w:tr>
      <w:tr w:rsidR="005F748C" w14:paraId="03761C1A" w14:textId="77777777" w:rsidTr="00A903D2">
        <w:tc>
          <w:tcPr>
            <w:tcW w:w="1404"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14" w14:textId="77777777" w:rsidR="005F748C" w:rsidRDefault="00AE5380">
            <w:r>
              <w:rPr>
                <w:b/>
                <w:bCs/>
                <w:color w:val="111111"/>
                <w:sz w:val="16"/>
                <w:szCs w:val="16"/>
              </w:rPr>
              <w:t>LSTM</w:t>
            </w:r>
          </w:p>
        </w:tc>
        <w:tc>
          <w:tcPr>
            <w:tcW w:w="68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15" w14:textId="77777777" w:rsidR="005F748C" w:rsidRDefault="00AE5380">
            <w:pPr>
              <w:jc w:val="center"/>
            </w:pPr>
            <w:r>
              <w:rPr>
                <w:color w:val="111111"/>
                <w:sz w:val="16"/>
                <w:szCs w:val="16"/>
              </w:rPr>
              <w:t>0.8290</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16" w14:textId="77777777" w:rsidR="005F748C" w:rsidRDefault="00AE5380">
            <w:pPr>
              <w:jc w:val="center"/>
            </w:pPr>
            <w:r>
              <w:rPr>
                <w:color w:val="111111"/>
                <w:sz w:val="16"/>
                <w:szCs w:val="16"/>
              </w:rPr>
              <w:t>0.8061</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17" w14:textId="77777777" w:rsidR="005F748C" w:rsidRDefault="00AE5380">
            <w:pPr>
              <w:jc w:val="center"/>
            </w:pPr>
            <w:r>
              <w:rPr>
                <w:color w:val="111111"/>
                <w:sz w:val="16"/>
                <w:szCs w:val="16"/>
              </w:rPr>
              <w:t>0.8061</w:t>
            </w:r>
          </w:p>
        </w:tc>
        <w:tc>
          <w:tcPr>
            <w:tcW w:w="65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18" w14:textId="77777777" w:rsidR="005F748C" w:rsidRDefault="00AE5380">
            <w:pPr>
              <w:jc w:val="center"/>
            </w:pPr>
            <w:r>
              <w:rPr>
                <w:color w:val="111111"/>
                <w:sz w:val="16"/>
                <w:szCs w:val="16"/>
              </w:rPr>
              <w:t>0.8061</w:t>
            </w:r>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19" w14:textId="77777777" w:rsidR="005F748C" w:rsidRDefault="00AE5380">
            <w:pPr>
              <w:jc w:val="center"/>
            </w:pPr>
            <w:r>
              <w:rPr>
                <w:color w:val="111111"/>
                <w:sz w:val="16"/>
                <w:szCs w:val="16"/>
              </w:rPr>
              <w:t>Supervised</w:t>
            </w:r>
          </w:p>
        </w:tc>
      </w:tr>
    </w:tbl>
    <w:p w14:paraId="2B5E75E0" w14:textId="6604CE46" w:rsidR="00A903D2" w:rsidRDefault="00A903D2">
      <w:pPr>
        <w:spacing w:before="40" w:after="120"/>
        <w:jc w:val="center"/>
        <w:rPr>
          <w:b/>
          <w:bCs/>
          <w:sz w:val="16"/>
          <w:szCs w:val="16"/>
        </w:rPr>
      </w:pPr>
      <w:r>
        <w:rPr>
          <w:b/>
          <w:bCs/>
          <w:noProof/>
          <w:sz w:val="16"/>
          <w:szCs w:val="16"/>
        </w:rPr>
        <w:drawing>
          <wp:inline distT="0" distB="0" distL="0" distR="0" wp14:anchorId="616A3B47" wp14:editId="45C89B32">
            <wp:extent cx="3200400" cy="1980565"/>
            <wp:effectExtent l="0" t="0" r="0" b="635"/>
            <wp:docPr id="2406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99817" name="Picture 2406998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1980565"/>
                    </a:xfrm>
                    <a:prstGeom prst="rect">
                      <a:avLst/>
                    </a:prstGeom>
                  </pic:spPr>
                </pic:pic>
              </a:graphicData>
            </a:graphic>
          </wp:inline>
        </w:drawing>
      </w:r>
    </w:p>
    <w:p w14:paraId="2760C963" w14:textId="26E12722" w:rsidR="00A903D2" w:rsidRDefault="00A903D2">
      <w:pPr>
        <w:spacing w:before="40" w:after="120"/>
        <w:jc w:val="center"/>
        <w:rPr>
          <w:b/>
          <w:bCs/>
          <w:sz w:val="16"/>
          <w:szCs w:val="16"/>
        </w:rPr>
      </w:pPr>
      <w:r>
        <w:rPr>
          <w:b/>
          <w:bCs/>
          <w:noProof/>
          <w:sz w:val="16"/>
          <w:szCs w:val="16"/>
        </w:rPr>
        <w:drawing>
          <wp:inline distT="0" distB="0" distL="0" distR="0" wp14:anchorId="26A70B6F" wp14:editId="511C4D26">
            <wp:extent cx="3200400" cy="2229485"/>
            <wp:effectExtent l="0" t="0" r="0" b="5715"/>
            <wp:docPr id="18093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7520" name="Picture 1809375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2229485"/>
                    </a:xfrm>
                    <a:prstGeom prst="rect">
                      <a:avLst/>
                    </a:prstGeom>
                  </pic:spPr>
                </pic:pic>
              </a:graphicData>
            </a:graphic>
          </wp:inline>
        </w:drawing>
      </w:r>
    </w:p>
    <w:p w14:paraId="03761C1E" w14:textId="6894968F" w:rsidR="005F748C" w:rsidRDefault="00AE5380">
      <w:pPr>
        <w:spacing w:before="40" w:after="120"/>
        <w:jc w:val="center"/>
      </w:pPr>
      <w:r>
        <w:rPr>
          <w:b/>
          <w:bCs/>
          <w:sz w:val="16"/>
          <w:szCs w:val="16"/>
        </w:rPr>
        <w:t xml:space="preserve">Fig. </w:t>
      </w:r>
      <w:r w:rsidR="00A903D2">
        <w:rPr>
          <w:b/>
          <w:bCs/>
          <w:sz w:val="16"/>
          <w:szCs w:val="16"/>
        </w:rPr>
        <w:t>1</w:t>
      </w:r>
      <w:r>
        <w:rPr>
          <w:b/>
          <w:bCs/>
          <w:sz w:val="16"/>
          <w:szCs w:val="16"/>
        </w:rPr>
        <w:t xml:space="preserve"> &amp; </w:t>
      </w:r>
      <w:r w:rsidR="00A903D2">
        <w:rPr>
          <w:b/>
          <w:bCs/>
          <w:sz w:val="16"/>
          <w:szCs w:val="16"/>
        </w:rPr>
        <w:t>2</w:t>
      </w:r>
      <w:r>
        <w:rPr>
          <w:b/>
          <w:bCs/>
          <w:sz w:val="16"/>
          <w:szCs w:val="16"/>
        </w:rPr>
        <w:t xml:space="preserve">. </w:t>
      </w:r>
      <w:r>
        <w:rPr>
          <w:i/>
          <w:iCs/>
          <w:sz w:val="16"/>
          <w:szCs w:val="16"/>
        </w:rPr>
        <w:t>Q2 baseline results: (left) four-metric comparison, (right) Precision-Recall curves confirming RF and XGB AUPRC leadership (≥0.86) vs. unsupervised models (≤0.45).</w:t>
      </w:r>
    </w:p>
    <w:p w14:paraId="03761C1F" w14:textId="77777777" w:rsidR="005F748C" w:rsidRDefault="00AE5380">
      <w:pPr>
        <w:spacing w:before="100" w:after="40"/>
      </w:pPr>
      <w:r>
        <w:rPr>
          <w:b/>
          <w:bCs/>
          <w:i/>
          <w:iCs/>
        </w:rPr>
        <w:t>B. Hyperparameter Optimization Results</w:t>
      </w:r>
    </w:p>
    <w:p w14:paraId="03761C20" w14:textId="4A67F94B" w:rsidR="005F748C" w:rsidRDefault="00AE5380">
      <w:pPr>
        <w:spacing w:after="100"/>
        <w:ind w:firstLine="288"/>
        <w:jc w:val="both"/>
      </w:pPr>
      <w:r>
        <w:t xml:space="preserve">Table II presents the full optimization results. </w:t>
      </w:r>
      <w:proofErr w:type="spellStart"/>
      <w:r>
        <w:t>XGBoost</w:t>
      </w:r>
      <w:proofErr w:type="spellEnd"/>
      <w:r>
        <w:t xml:space="preserve"> achieved the highest optimized AUPRC (0.8687, +2.45%) with </w:t>
      </w:r>
      <w:proofErr w:type="spellStart"/>
      <w:r>
        <w:t>max_depth</w:t>
      </w:r>
      <w:proofErr w:type="spellEnd"/>
      <w:r>
        <w:t xml:space="preserve">=6, </w:t>
      </w:r>
      <w:proofErr w:type="spellStart"/>
      <w:r>
        <w:t>learning_rate</w:t>
      </w:r>
      <w:proofErr w:type="spellEnd"/>
      <w:r>
        <w:t xml:space="preserve">=0.1, subsample=0.8, </w:t>
      </w:r>
      <w:proofErr w:type="spellStart"/>
      <w:r>
        <w:lastRenderedPageBreak/>
        <w:t>colsample_bytree</w:t>
      </w:r>
      <w:proofErr w:type="spellEnd"/>
      <w:r>
        <w:t>=0.8</w:t>
      </w:r>
      <w:r w:rsidR="006F3AB6">
        <w:t xml:space="preserve"> </w:t>
      </w:r>
      <w:r>
        <w:t>confirming that stochastic subsampling regularization is critical under extreme imbalance. Isolation Forest’s +28.90% gain</w:t>
      </w:r>
      <w:r w:rsidR="007510B0">
        <w:t xml:space="preserve"> </w:t>
      </w:r>
      <w:r>
        <w:t>the largest across all models</w:t>
      </w:r>
      <w:r w:rsidR="007510B0">
        <w:t xml:space="preserve"> </w:t>
      </w:r>
      <w:r>
        <w:t>was driven entirely by setting contamination=0.00172 to match the true fraud rate. Random Forest showed near-zero sensitivity (−0.08%), consistent with ensemble robustness. The Autoencoder produced identical AUPRC across all three architectures (0.4606, 0.00%), suggesting a performance ceiling governed by the reconstruction-error paradigm rather than bottleneck dimensions. LSTM improved moderately (+1.40%) with the 64/32/16 unit configuration.</w:t>
      </w:r>
    </w:p>
    <w:p w14:paraId="03761C21" w14:textId="77777777" w:rsidR="005F748C" w:rsidRDefault="00AE5380">
      <w:pPr>
        <w:spacing w:before="120" w:after="40"/>
        <w:jc w:val="center"/>
      </w:pPr>
      <w:r>
        <w:rPr>
          <w:b/>
          <w:bCs/>
          <w:smallCaps/>
          <w:sz w:val="16"/>
          <w:szCs w:val="16"/>
        </w:rPr>
        <w:t>TABLE II</w:t>
      </w:r>
      <w:r>
        <w:rPr>
          <w:b/>
          <w:bCs/>
          <w:sz w:val="16"/>
          <w:szCs w:val="16"/>
        </w:rPr>
        <w:t xml:space="preserve">  HYPERPARAMETER OPTIMIZATION: BASELINE VS. OPTIMIZED AUPRC</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651"/>
        <w:gridCol w:w="666"/>
        <w:gridCol w:w="732"/>
        <w:gridCol w:w="630"/>
        <w:gridCol w:w="1316"/>
      </w:tblGrid>
      <w:tr w:rsidR="005F748C" w14:paraId="03761C28" w14:textId="77777777" w:rsidTr="00A903D2">
        <w:tc>
          <w:tcPr>
            <w:tcW w:w="1045"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22" w14:textId="77777777" w:rsidR="005F748C" w:rsidRDefault="00AE5380">
            <w:pPr>
              <w:jc w:val="center"/>
            </w:pPr>
            <w:r>
              <w:rPr>
                <w:b/>
                <w:bCs/>
                <w:color w:val="FFFFFF"/>
                <w:sz w:val="16"/>
                <w:szCs w:val="16"/>
              </w:rPr>
              <w:t>Model</w:t>
            </w:r>
          </w:p>
        </w:tc>
        <w:tc>
          <w:tcPr>
            <w:tcW w:w="651"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23" w14:textId="77777777" w:rsidR="005F748C" w:rsidRDefault="00AE5380">
            <w:pPr>
              <w:jc w:val="center"/>
            </w:pPr>
            <w:r>
              <w:rPr>
                <w:b/>
                <w:bCs/>
                <w:color w:val="FFFFFF"/>
                <w:sz w:val="16"/>
                <w:szCs w:val="16"/>
              </w:rPr>
              <w:t>Base</w:t>
            </w:r>
          </w:p>
        </w:tc>
        <w:tc>
          <w:tcPr>
            <w:tcW w:w="666"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24" w14:textId="77777777" w:rsidR="005F748C" w:rsidRDefault="00AE5380">
            <w:pPr>
              <w:jc w:val="center"/>
            </w:pPr>
            <w:r>
              <w:rPr>
                <w:b/>
                <w:bCs/>
                <w:color w:val="FFFFFF"/>
                <w:sz w:val="16"/>
                <w:szCs w:val="16"/>
              </w:rPr>
              <w:t>Opt.</w:t>
            </w:r>
          </w:p>
        </w:tc>
        <w:tc>
          <w:tcPr>
            <w:tcW w:w="732"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25" w14:textId="77777777" w:rsidR="005F748C" w:rsidRDefault="00AE5380">
            <w:pPr>
              <w:jc w:val="center"/>
            </w:pPr>
            <w:r>
              <w:rPr>
                <w:b/>
                <w:bCs/>
                <w:color w:val="FFFFFF"/>
                <w:sz w:val="16"/>
                <w:szCs w:val="16"/>
              </w:rPr>
              <w:t>Δ%</w:t>
            </w:r>
          </w:p>
        </w:tc>
        <w:tc>
          <w:tcPr>
            <w:tcW w:w="63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26" w14:textId="77777777" w:rsidR="005F748C" w:rsidRDefault="00AE5380">
            <w:pPr>
              <w:jc w:val="center"/>
            </w:pPr>
            <w:r>
              <w:rPr>
                <w:b/>
                <w:bCs/>
                <w:color w:val="FFFFFF"/>
                <w:sz w:val="16"/>
                <w:szCs w:val="16"/>
              </w:rPr>
              <w:t>Time</w:t>
            </w:r>
          </w:p>
        </w:tc>
        <w:tc>
          <w:tcPr>
            <w:tcW w:w="1316"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27" w14:textId="77777777" w:rsidR="005F748C" w:rsidRDefault="00AE5380">
            <w:pPr>
              <w:jc w:val="center"/>
            </w:pPr>
            <w:r>
              <w:rPr>
                <w:b/>
                <w:bCs/>
                <w:color w:val="FFFFFF"/>
                <w:sz w:val="16"/>
                <w:szCs w:val="16"/>
              </w:rPr>
              <w:t>Key Config</w:t>
            </w:r>
          </w:p>
        </w:tc>
      </w:tr>
      <w:tr w:rsidR="005F748C" w14:paraId="03761C2F" w14:textId="77777777" w:rsidTr="00A903D2">
        <w:tc>
          <w:tcPr>
            <w:tcW w:w="1045"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29" w14:textId="77777777" w:rsidR="005F748C" w:rsidRDefault="00AE5380">
            <w:r>
              <w:rPr>
                <w:b/>
                <w:bCs/>
                <w:color w:val="111111"/>
                <w:sz w:val="16"/>
                <w:szCs w:val="16"/>
              </w:rPr>
              <w:t>Random Forest</w:t>
            </w:r>
          </w:p>
        </w:tc>
        <w:tc>
          <w:tcPr>
            <w:tcW w:w="651"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2A" w14:textId="77777777" w:rsidR="005F748C" w:rsidRDefault="00AE5380">
            <w:pPr>
              <w:jc w:val="center"/>
            </w:pPr>
            <w:r>
              <w:rPr>
                <w:color w:val="111111"/>
                <w:sz w:val="16"/>
                <w:szCs w:val="16"/>
              </w:rPr>
              <w:t>0.8643</w:t>
            </w:r>
          </w:p>
        </w:tc>
        <w:tc>
          <w:tcPr>
            <w:tcW w:w="666"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2B" w14:textId="77777777" w:rsidR="005F748C" w:rsidRDefault="00AE5380">
            <w:pPr>
              <w:jc w:val="center"/>
            </w:pPr>
            <w:r>
              <w:rPr>
                <w:color w:val="111111"/>
                <w:sz w:val="16"/>
                <w:szCs w:val="16"/>
              </w:rPr>
              <w:t>0.8636</w:t>
            </w:r>
          </w:p>
        </w:tc>
        <w:tc>
          <w:tcPr>
            <w:tcW w:w="73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2C" w14:textId="77777777" w:rsidR="005F748C" w:rsidRDefault="00AE5380">
            <w:pPr>
              <w:jc w:val="center"/>
            </w:pPr>
            <w:r>
              <w:rPr>
                <w:b/>
                <w:bCs/>
                <w:color w:val="C62828"/>
                <w:sz w:val="16"/>
                <w:szCs w:val="16"/>
              </w:rPr>
              <w:t>−0.08%</w:t>
            </w:r>
          </w:p>
        </w:tc>
        <w:tc>
          <w:tcPr>
            <w:tcW w:w="63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2D" w14:textId="77777777" w:rsidR="005F748C" w:rsidRDefault="00AE5380">
            <w:pPr>
              <w:jc w:val="center"/>
            </w:pPr>
            <w:r>
              <w:rPr>
                <w:color w:val="111111"/>
                <w:sz w:val="16"/>
                <w:szCs w:val="16"/>
              </w:rPr>
              <w:t>352 s</w:t>
            </w:r>
          </w:p>
        </w:tc>
        <w:tc>
          <w:tcPr>
            <w:tcW w:w="1316"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2E" w14:textId="77777777" w:rsidR="005F748C" w:rsidRDefault="00AE5380">
            <w:proofErr w:type="spellStart"/>
            <w:r>
              <w:rPr>
                <w:color w:val="111111"/>
                <w:sz w:val="16"/>
                <w:szCs w:val="16"/>
              </w:rPr>
              <w:t>max_depth</w:t>
            </w:r>
            <w:proofErr w:type="spellEnd"/>
            <w:r>
              <w:rPr>
                <w:color w:val="111111"/>
                <w:sz w:val="16"/>
                <w:szCs w:val="16"/>
              </w:rPr>
              <w:t xml:space="preserve">=20, </w:t>
            </w:r>
            <w:proofErr w:type="spellStart"/>
            <w:r>
              <w:rPr>
                <w:color w:val="111111"/>
                <w:sz w:val="16"/>
                <w:szCs w:val="16"/>
              </w:rPr>
              <w:t>n_est</w:t>
            </w:r>
            <w:proofErr w:type="spellEnd"/>
            <w:r>
              <w:rPr>
                <w:color w:val="111111"/>
                <w:sz w:val="16"/>
                <w:szCs w:val="16"/>
              </w:rPr>
              <w:t>=200</w:t>
            </w:r>
          </w:p>
        </w:tc>
      </w:tr>
      <w:tr w:rsidR="005F748C" w14:paraId="03761C36" w14:textId="77777777" w:rsidTr="00A903D2">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0" w14:textId="77777777" w:rsidR="005F748C" w:rsidRDefault="00AE5380">
            <w:proofErr w:type="spellStart"/>
            <w:r>
              <w:rPr>
                <w:b/>
                <w:bCs/>
                <w:color w:val="111111"/>
                <w:sz w:val="16"/>
                <w:szCs w:val="16"/>
              </w:rPr>
              <w:t>XGBoost</w:t>
            </w:r>
            <w:proofErr w:type="spellEnd"/>
          </w:p>
        </w:tc>
        <w:tc>
          <w:tcPr>
            <w:tcW w:w="651"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1" w14:textId="77777777" w:rsidR="005F748C" w:rsidRDefault="00AE5380">
            <w:pPr>
              <w:jc w:val="center"/>
            </w:pPr>
            <w:r>
              <w:rPr>
                <w:color w:val="111111"/>
                <w:sz w:val="16"/>
                <w:szCs w:val="16"/>
              </w:rPr>
              <w:t>0.8479</w:t>
            </w:r>
          </w:p>
        </w:tc>
        <w:tc>
          <w:tcPr>
            <w:tcW w:w="666"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2" w14:textId="77777777" w:rsidR="005F748C" w:rsidRDefault="00AE5380">
            <w:pPr>
              <w:jc w:val="center"/>
            </w:pPr>
            <w:r>
              <w:rPr>
                <w:color w:val="111111"/>
                <w:sz w:val="16"/>
                <w:szCs w:val="16"/>
              </w:rPr>
              <w:t>0.8687</w:t>
            </w:r>
          </w:p>
        </w:tc>
        <w:tc>
          <w:tcPr>
            <w:tcW w:w="73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3" w14:textId="77777777" w:rsidR="005F748C" w:rsidRDefault="00AE5380">
            <w:pPr>
              <w:jc w:val="center"/>
            </w:pPr>
            <w:r>
              <w:rPr>
                <w:b/>
                <w:bCs/>
                <w:color w:val="1B5E20"/>
                <w:sz w:val="16"/>
                <w:szCs w:val="16"/>
              </w:rPr>
              <w:t>+2.45%</w:t>
            </w:r>
          </w:p>
        </w:tc>
        <w:tc>
          <w:tcPr>
            <w:tcW w:w="63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4" w14:textId="77777777" w:rsidR="005F748C" w:rsidRDefault="00AE5380">
            <w:pPr>
              <w:jc w:val="center"/>
            </w:pPr>
            <w:r>
              <w:rPr>
                <w:color w:val="111111"/>
                <w:sz w:val="16"/>
                <w:szCs w:val="16"/>
              </w:rPr>
              <w:t>16 s</w:t>
            </w:r>
          </w:p>
        </w:tc>
        <w:tc>
          <w:tcPr>
            <w:tcW w:w="1316"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5" w14:textId="77777777" w:rsidR="005F748C" w:rsidRDefault="00AE5380">
            <w:r>
              <w:rPr>
                <w:color w:val="111111"/>
                <w:sz w:val="16"/>
                <w:szCs w:val="16"/>
              </w:rPr>
              <w:t xml:space="preserve">depth=6, </w:t>
            </w:r>
            <w:proofErr w:type="spellStart"/>
            <w:r>
              <w:rPr>
                <w:color w:val="111111"/>
                <w:sz w:val="16"/>
                <w:szCs w:val="16"/>
              </w:rPr>
              <w:t>lr</w:t>
            </w:r>
            <w:proofErr w:type="spellEnd"/>
            <w:r>
              <w:rPr>
                <w:color w:val="111111"/>
                <w:sz w:val="16"/>
                <w:szCs w:val="16"/>
              </w:rPr>
              <w:t>=0.1, sub=0.8</w:t>
            </w:r>
          </w:p>
        </w:tc>
      </w:tr>
      <w:tr w:rsidR="005F748C" w14:paraId="03761C3D" w14:textId="77777777" w:rsidTr="00A903D2">
        <w:tc>
          <w:tcPr>
            <w:tcW w:w="1045"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37" w14:textId="77777777" w:rsidR="005F748C" w:rsidRDefault="00AE5380">
            <w:r>
              <w:rPr>
                <w:b/>
                <w:bCs/>
                <w:color w:val="111111"/>
                <w:sz w:val="16"/>
                <w:szCs w:val="16"/>
              </w:rPr>
              <w:t>Isolation Forest</w:t>
            </w:r>
          </w:p>
        </w:tc>
        <w:tc>
          <w:tcPr>
            <w:tcW w:w="651"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38" w14:textId="77777777" w:rsidR="005F748C" w:rsidRDefault="00AE5380">
            <w:pPr>
              <w:jc w:val="center"/>
            </w:pPr>
            <w:r>
              <w:rPr>
                <w:color w:val="111111"/>
                <w:sz w:val="16"/>
                <w:szCs w:val="16"/>
              </w:rPr>
              <w:t>0.2089</w:t>
            </w:r>
          </w:p>
        </w:tc>
        <w:tc>
          <w:tcPr>
            <w:tcW w:w="666"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39" w14:textId="77777777" w:rsidR="005F748C" w:rsidRDefault="00AE5380">
            <w:pPr>
              <w:jc w:val="center"/>
            </w:pPr>
            <w:r>
              <w:rPr>
                <w:color w:val="111111"/>
                <w:sz w:val="16"/>
                <w:szCs w:val="16"/>
              </w:rPr>
              <w:t>0.2693</w:t>
            </w:r>
          </w:p>
        </w:tc>
        <w:tc>
          <w:tcPr>
            <w:tcW w:w="73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3A" w14:textId="77777777" w:rsidR="005F748C" w:rsidRDefault="00AE5380">
            <w:pPr>
              <w:jc w:val="center"/>
            </w:pPr>
            <w:r>
              <w:rPr>
                <w:b/>
                <w:bCs/>
                <w:color w:val="1B5E20"/>
                <w:sz w:val="16"/>
                <w:szCs w:val="16"/>
              </w:rPr>
              <w:t>+28.90%</w:t>
            </w:r>
          </w:p>
        </w:tc>
        <w:tc>
          <w:tcPr>
            <w:tcW w:w="63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3B" w14:textId="77777777" w:rsidR="005F748C" w:rsidRDefault="00AE5380">
            <w:pPr>
              <w:jc w:val="center"/>
            </w:pPr>
            <w:r>
              <w:rPr>
                <w:color w:val="111111"/>
                <w:sz w:val="16"/>
                <w:szCs w:val="16"/>
              </w:rPr>
              <w:t>14 s</w:t>
            </w:r>
          </w:p>
        </w:tc>
        <w:tc>
          <w:tcPr>
            <w:tcW w:w="1316"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3C" w14:textId="77777777" w:rsidR="005F748C" w:rsidRDefault="00AE5380">
            <w:proofErr w:type="spellStart"/>
            <w:r>
              <w:rPr>
                <w:color w:val="111111"/>
                <w:sz w:val="16"/>
                <w:szCs w:val="16"/>
              </w:rPr>
              <w:t>contam</w:t>
            </w:r>
            <w:proofErr w:type="spellEnd"/>
            <w:r>
              <w:rPr>
                <w:color w:val="111111"/>
                <w:sz w:val="16"/>
                <w:szCs w:val="16"/>
              </w:rPr>
              <w:t xml:space="preserve">=0.00172, </w:t>
            </w:r>
            <w:proofErr w:type="spellStart"/>
            <w:r>
              <w:rPr>
                <w:color w:val="111111"/>
                <w:sz w:val="16"/>
                <w:szCs w:val="16"/>
              </w:rPr>
              <w:t>n_est</w:t>
            </w:r>
            <w:proofErr w:type="spellEnd"/>
            <w:r>
              <w:rPr>
                <w:color w:val="111111"/>
                <w:sz w:val="16"/>
                <w:szCs w:val="16"/>
              </w:rPr>
              <w:t>=200</w:t>
            </w:r>
          </w:p>
        </w:tc>
      </w:tr>
      <w:tr w:rsidR="005F748C" w14:paraId="03761C44" w14:textId="77777777" w:rsidTr="00A903D2">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E" w14:textId="77777777" w:rsidR="005F748C" w:rsidRDefault="00AE5380">
            <w:r>
              <w:rPr>
                <w:b/>
                <w:bCs/>
                <w:color w:val="111111"/>
                <w:sz w:val="16"/>
                <w:szCs w:val="16"/>
              </w:rPr>
              <w:t>Autoencoder</w:t>
            </w:r>
          </w:p>
        </w:tc>
        <w:tc>
          <w:tcPr>
            <w:tcW w:w="651"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3F" w14:textId="77777777" w:rsidR="005F748C" w:rsidRDefault="00AE5380">
            <w:pPr>
              <w:jc w:val="center"/>
            </w:pPr>
            <w:r>
              <w:rPr>
                <w:color w:val="111111"/>
                <w:sz w:val="16"/>
                <w:szCs w:val="16"/>
              </w:rPr>
              <w:t>0.4606</w:t>
            </w:r>
          </w:p>
        </w:tc>
        <w:tc>
          <w:tcPr>
            <w:tcW w:w="666"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40" w14:textId="77777777" w:rsidR="005F748C" w:rsidRDefault="00AE5380">
            <w:pPr>
              <w:jc w:val="center"/>
            </w:pPr>
            <w:r>
              <w:rPr>
                <w:color w:val="111111"/>
                <w:sz w:val="16"/>
                <w:szCs w:val="16"/>
              </w:rPr>
              <w:t>0.4606</w:t>
            </w:r>
          </w:p>
        </w:tc>
        <w:tc>
          <w:tcPr>
            <w:tcW w:w="732"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41" w14:textId="77777777" w:rsidR="005F748C" w:rsidRDefault="00AE5380">
            <w:pPr>
              <w:jc w:val="center"/>
            </w:pPr>
            <w:r>
              <w:rPr>
                <w:b/>
                <w:bCs/>
                <w:color w:val="888888"/>
                <w:sz w:val="16"/>
                <w:szCs w:val="16"/>
              </w:rPr>
              <w:t>0.00%</w:t>
            </w:r>
          </w:p>
        </w:tc>
        <w:tc>
          <w:tcPr>
            <w:tcW w:w="63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42" w14:textId="77777777" w:rsidR="005F748C" w:rsidRDefault="00AE5380">
            <w:pPr>
              <w:jc w:val="center"/>
            </w:pPr>
            <w:r>
              <w:rPr>
                <w:color w:val="111111"/>
                <w:sz w:val="16"/>
                <w:szCs w:val="16"/>
              </w:rPr>
              <w:t>47 s</w:t>
            </w:r>
          </w:p>
        </w:tc>
        <w:tc>
          <w:tcPr>
            <w:tcW w:w="1316"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43" w14:textId="77777777" w:rsidR="005F748C" w:rsidRDefault="00AE5380">
            <w:r>
              <w:rPr>
                <w:color w:val="111111"/>
                <w:sz w:val="16"/>
                <w:szCs w:val="16"/>
              </w:rPr>
              <w:t>[30,20,10,20,30], no gain</w:t>
            </w:r>
          </w:p>
        </w:tc>
      </w:tr>
      <w:tr w:rsidR="005F748C" w14:paraId="03761C4B" w14:textId="77777777" w:rsidTr="00A903D2">
        <w:tc>
          <w:tcPr>
            <w:tcW w:w="1045"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45" w14:textId="77777777" w:rsidR="005F748C" w:rsidRDefault="00AE5380">
            <w:r>
              <w:rPr>
                <w:b/>
                <w:bCs/>
                <w:color w:val="111111"/>
                <w:sz w:val="16"/>
                <w:szCs w:val="16"/>
              </w:rPr>
              <w:t>LSTM</w:t>
            </w:r>
          </w:p>
        </w:tc>
        <w:tc>
          <w:tcPr>
            <w:tcW w:w="651"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46" w14:textId="77777777" w:rsidR="005F748C" w:rsidRDefault="00AE5380">
            <w:pPr>
              <w:jc w:val="center"/>
            </w:pPr>
            <w:r>
              <w:rPr>
                <w:color w:val="111111"/>
                <w:sz w:val="16"/>
                <w:szCs w:val="16"/>
              </w:rPr>
              <w:t>0.8021</w:t>
            </w:r>
          </w:p>
        </w:tc>
        <w:tc>
          <w:tcPr>
            <w:tcW w:w="666"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47" w14:textId="77777777" w:rsidR="005F748C" w:rsidRDefault="00AE5380">
            <w:pPr>
              <w:jc w:val="center"/>
            </w:pPr>
            <w:r>
              <w:rPr>
                <w:color w:val="111111"/>
                <w:sz w:val="16"/>
                <w:szCs w:val="16"/>
              </w:rPr>
              <w:t>0.8133</w:t>
            </w:r>
          </w:p>
        </w:tc>
        <w:tc>
          <w:tcPr>
            <w:tcW w:w="732"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48" w14:textId="77777777" w:rsidR="005F748C" w:rsidRDefault="00AE5380">
            <w:pPr>
              <w:jc w:val="center"/>
            </w:pPr>
            <w:r>
              <w:rPr>
                <w:b/>
                <w:bCs/>
                <w:color w:val="1B5E20"/>
                <w:sz w:val="16"/>
                <w:szCs w:val="16"/>
              </w:rPr>
              <w:t>+1.40%</w:t>
            </w:r>
          </w:p>
        </w:tc>
        <w:tc>
          <w:tcPr>
            <w:tcW w:w="63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49" w14:textId="77777777" w:rsidR="005F748C" w:rsidRDefault="00AE5380">
            <w:pPr>
              <w:jc w:val="center"/>
            </w:pPr>
            <w:r>
              <w:rPr>
                <w:color w:val="111111"/>
                <w:sz w:val="16"/>
                <w:szCs w:val="16"/>
              </w:rPr>
              <w:t>180 s</w:t>
            </w:r>
          </w:p>
        </w:tc>
        <w:tc>
          <w:tcPr>
            <w:tcW w:w="1316"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4A" w14:textId="77777777" w:rsidR="005F748C" w:rsidRDefault="00AE5380">
            <w:proofErr w:type="spellStart"/>
            <w:r>
              <w:rPr>
                <w:color w:val="111111"/>
                <w:sz w:val="16"/>
                <w:szCs w:val="16"/>
              </w:rPr>
              <w:t>lstm</w:t>
            </w:r>
            <w:proofErr w:type="spellEnd"/>
            <w:r>
              <w:rPr>
                <w:color w:val="111111"/>
                <w:sz w:val="16"/>
                <w:szCs w:val="16"/>
              </w:rPr>
              <w:t>=(64,32), drop=0.2</w:t>
            </w:r>
          </w:p>
        </w:tc>
      </w:tr>
    </w:tbl>
    <w:p w14:paraId="5661B65A" w14:textId="214A6445" w:rsidR="00A903D2" w:rsidRDefault="00A903D2">
      <w:pPr>
        <w:spacing w:before="40" w:after="120"/>
        <w:jc w:val="center"/>
        <w:rPr>
          <w:b/>
          <w:bCs/>
          <w:sz w:val="16"/>
          <w:szCs w:val="16"/>
        </w:rPr>
      </w:pPr>
      <w:r>
        <w:rPr>
          <w:b/>
          <w:bCs/>
          <w:noProof/>
          <w:sz w:val="16"/>
          <w:szCs w:val="16"/>
        </w:rPr>
        <w:drawing>
          <wp:inline distT="0" distB="0" distL="0" distR="0" wp14:anchorId="3DF56AD5" wp14:editId="59EF6C58">
            <wp:extent cx="3200400" cy="1126490"/>
            <wp:effectExtent l="0" t="0" r="0" b="3810"/>
            <wp:docPr id="2132855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55347" name="Picture 21328553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1126490"/>
                    </a:xfrm>
                    <a:prstGeom prst="rect">
                      <a:avLst/>
                    </a:prstGeom>
                  </pic:spPr>
                </pic:pic>
              </a:graphicData>
            </a:graphic>
          </wp:inline>
        </w:drawing>
      </w:r>
    </w:p>
    <w:p w14:paraId="03761C4F" w14:textId="21AD8D78" w:rsidR="005F748C" w:rsidRDefault="00AE5380">
      <w:pPr>
        <w:spacing w:before="40" w:after="120"/>
        <w:jc w:val="center"/>
      </w:pPr>
      <w:r>
        <w:rPr>
          <w:b/>
          <w:bCs/>
          <w:sz w:val="16"/>
          <w:szCs w:val="16"/>
        </w:rPr>
        <w:t xml:space="preserve">Fig. </w:t>
      </w:r>
      <w:r w:rsidR="00A903D2">
        <w:rPr>
          <w:b/>
          <w:bCs/>
          <w:sz w:val="16"/>
          <w:szCs w:val="16"/>
        </w:rPr>
        <w:t>3</w:t>
      </w:r>
      <w:r>
        <w:rPr>
          <w:b/>
          <w:bCs/>
          <w:sz w:val="16"/>
          <w:szCs w:val="16"/>
        </w:rPr>
        <w:t xml:space="preserve">. </w:t>
      </w:r>
      <w:r>
        <w:rPr>
          <w:i/>
          <w:iCs/>
          <w:sz w:val="16"/>
          <w:szCs w:val="16"/>
        </w:rPr>
        <w:t xml:space="preserve">Tuning comparison: baseline vs. optimized AUPRC (left) and % improvement (right). Isolation Forest shows the largest relative gain (+28.90%); </w:t>
      </w:r>
      <w:proofErr w:type="spellStart"/>
      <w:r>
        <w:rPr>
          <w:i/>
          <w:iCs/>
          <w:sz w:val="16"/>
          <w:szCs w:val="16"/>
        </w:rPr>
        <w:t>XGBoost</w:t>
      </w:r>
      <w:proofErr w:type="spellEnd"/>
      <w:r>
        <w:rPr>
          <w:i/>
          <w:iCs/>
          <w:sz w:val="16"/>
          <w:szCs w:val="16"/>
        </w:rPr>
        <w:t xml:space="preserve"> the highest absolute score (0.8687).</w:t>
      </w:r>
    </w:p>
    <w:p w14:paraId="03761C50" w14:textId="77777777" w:rsidR="005F748C" w:rsidRDefault="00AE5380">
      <w:pPr>
        <w:spacing w:before="100" w:after="40"/>
      </w:pPr>
      <w:r>
        <w:rPr>
          <w:b/>
          <w:bCs/>
          <w:i/>
          <w:iCs/>
        </w:rPr>
        <w:t>C. Level 2 Risk Stratification Results</w:t>
      </w:r>
    </w:p>
    <w:p w14:paraId="03761C51" w14:textId="626F6356" w:rsidR="005F748C" w:rsidRDefault="00AE5380">
      <w:pPr>
        <w:spacing w:after="100"/>
        <w:ind w:firstLine="288"/>
        <w:jc w:val="both"/>
      </w:pPr>
      <w:r>
        <w:t xml:space="preserve">Table III and Figures </w:t>
      </w:r>
      <w:r w:rsidR="007510B0">
        <w:t>4</w:t>
      </w:r>
      <w:r>
        <w:t>–</w:t>
      </w:r>
      <w:r w:rsidR="00A615E7">
        <w:t>9</w:t>
      </w:r>
      <w:r>
        <w:t xml:space="preserve"> present the Level 2 stratification results. The most significant finding is the striking consistency of High Risk fraud capture across all five architectures: 94.9–96.9% of actual fraudulent transactions are assigned to the High Risk tier regardless of model family. Random Forest, </w:t>
      </w:r>
      <w:proofErr w:type="spellStart"/>
      <w:r>
        <w:t>XGBoost</w:t>
      </w:r>
      <w:proofErr w:type="spellEnd"/>
      <w:r>
        <w:t>, and Autoencoder each capture 95 of 98 test frauds (96.9%); Isolation Forest and LSTM capture 94 (95.9%). The Low Risk tier contains at most 3 fraud escapes</w:t>
      </w:r>
      <w:r w:rsidR="007510B0">
        <w:t xml:space="preserve"> </w:t>
      </w:r>
      <w:r>
        <w:t>operationally acceptable for initial clearance. Medium Risk (1–3 frauds per model) represents genuinely uncertain cases best resolved through ensemble consensus in Q4.</w:t>
      </w:r>
    </w:p>
    <w:p w14:paraId="03761C52" w14:textId="77777777" w:rsidR="005F748C" w:rsidRDefault="00AE5380">
      <w:pPr>
        <w:spacing w:before="120" w:after="40"/>
        <w:jc w:val="center"/>
      </w:pPr>
      <w:r>
        <w:rPr>
          <w:b/>
          <w:bCs/>
          <w:smallCaps/>
          <w:sz w:val="16"/>
          <w:szCs w:val="16"/>
        </w:rPr>
        <w:t>TABLE III</w:t>
      </w:r>
      <w:r>
        <w:rPr>
          <w:b/>
          <w:bCs/>
          <w:sz w:val="16"/>
          <w:szCs w:val="16"/>
        </w:rPr>
        <w:t xml:space="preserve">  LEVEL 2 RISK STRATIFICATION — FRAUD DISTRIBUTION ACROSS TIERS (N=98 TEST FRAUDS)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760"/>
        <w:gridCol w:w="760"/>
        <w:gridCol w:w="900"/>
        <w:gridCol w:w="680"/>
        <w:gridCol w:w="900"/>
      </w:tblGrid>
      <w:tr w:rsidR="005F748C" w14:paraId="03761C59" w14:textId="77777777">
        <w:tc>
          <w:tcPr>
            <w:tcW w:w="104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53" w14:textId="77777777" w:rsidR="005F748C" w:rsidRDefault="00AE5380">
            <w:pPr>
              <w:jc w:val="center"/>
            </w:pPr>
            <w:r>
              <w:rPr>
                <w:b/>
                <w:bCs/>
                <w:color w:val="FFFFFF"/>
                <w:sz w:val="16"/>
                <w:szCs w:val="16"/>
              </w:rPr>
              <w:t>Model</w:t>
            </w:r>
          </w:p>
        </w:tc>
        <w:tc>
          <w:tcPr>
            <w:tcW w:w="76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54" w14:textId="77777777" w:rsidR="005F748C" w:rsidRDefault="00AE5380">
            <w:pPr>
              <w:jc w:val="center"/>
            </w:pPr>
            <w:r>
              <w:rPr>
                <w:b/>
                <w:bCs/>
                <w:color w:val="FFFFFF"/>
                <w:sz w:val="16"/>
                <w:szCs w:val="16"/>
              </w:rPr>
              <w:t>Low (n)</w:t>
            </w:r>
          </w:p>
        </w:tc>
        <w:tc>
          <w:tcPr>
            <w:tcW w:w="76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55" w14:textId="77777777" w:rsidR="005F748C" w:rsidRDefault="00AE5380">
            <w:pPr>
              <w:jc w:val="center"/>
            </w:pPr>
            <w:r>
              <w:rPr>
                <w:b/>
                <w:bCs/>
                <w:color w:val="FFFFFF"/>
                <w:sz w:val="16"/>
                <w:szCs w:val="16"/>
              </w:rPr>
              <w:t>Med. (n)</w:t>
            </w:r>
          </w:p>
        </w:tc>
        <w:tc>
          <w:tcPr>
            <w:tcW w:w="90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56" w14:textId="77777777" w:rsidR="005F748C" w:rsidRDefault="00AE5380">
            <w:pPr>
              <w:jc w:val="center"/>
            </w:pPr>
            <w:r>
              <w:rPr>
                <w:b/>
                <w:bCs/>
                <w:color w:val="FFFFFF"/>
                <w:sz w:val="16"/>
                <w:szCs w:val="16"/>
              </w:rPr>
              <w:t>High (n)</w:t>
            </w:r>
          </w:p>
        </w:tc>
        <w:tc>
          <w:tcPr>
            <w:tcW w:w="68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57" w14:textId="77777777" w:rsidR="005F748C" w:rsidRDefault="00AE5380">
            <w:pPr>
              <w:jc w:val="center"/>
            </w:pPr>
            <w:r>
              <w:rPr>
                <w:b/>
                <w:bCs/>
                <w:color w:val="FFFFFF"/>
                <w:sz w:val="16"/>
                <w:szCs w:val="16"/>
              </w:rPr>
              <w:t>Total</w:t>
            </w:r>
          </w:p>
        </w:tc>
        <w:tc>
          <w:tcPr>
            <w:tcW w:w="900" w:type="dxa"/>
            <w:tcBorders>
              <w:top w:val="single" w:sz="6" w:space="0" w:color="1A3A6B"/>
              <w:left w:val="single" w:sz="1" w:space="0" w:color="BBBBBB"/>
              <w:bottom w:val="single" w:sz="6" w:space="0" w:color="1A3A6B"/>
              <w:right w:val="single" w:sz="1" w:space="0" w:color="BBBBBB"/>
            </w:tcBorders>
            <w:shd w:val="clear" w:color="auto" w:fill="1A3A6B"/>
            <w:tcMar>
              <w:top w:w="40" w:type="dxa"/>
              <w:left w:w="60" w:type="dxa"/>
              <w:bottom w:w="40" w:type="dxa"/>
              <w:right w:w="60" w:type="dxa"/>
            </w:tcMar>
            <w:vAlign w:val="center"/>
          </w:tcPr>
          <w:p w14:paraId="03761C58" w14:textId="77777777" w:rsidR="005F748C" w:rsidRDefault="00AE5380">
            <w:pPr>
              <w:jc w:val="center"/>
            </w:pPr>
            <w:r>
              <w:rPr>
                <w:b/>
                <w:bCs/>
                <w:color w:val="FFFFFF"/>
                <w:sz w:val="16"/>
                <w:szCs w:val="16"/>
              </w:rPr>
              <w:t>Capture</w:t>
            </w:r>
          </w:p>
        </w:tc>
      </w:tr>
      <w:tr w:rsidR="005F748C" w14:paraId="03761C60" w14:textId="77777777">
        <w:tc>
          <w:tcPr>
            <w:tcW w:w="104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5A" w14:textId="77777777" w:rsidR="005F748C" w:rsidRDefault="00AE5380">
            <w:r>
              <w:rPr>
                <w:b/>
                <w:bCs/>
                <w:color w:val="111111"/>
                <w:sz w:val="16"/>
                <w:szCs w:val="16"/>
              </w:rPr>
              <w:t>Random Forest</w:t>
            </w:r>
          </w:p>
        </w:tc>
        <w:tc>
          <w:tcPr>
            <w:tcW w:w="760" w:type="dxa"/>
            <w:tcBorders>
              <w:top w:val="single" w:sz="1" w:space="0" w:color="BBBBBB"/>
              <w:left w:val="single" w:sz="1" w:space="0" w:color="BBBBBB"/>
              <w:bottom w:val="single" w:sz="1" w:space="0" w:color="BBBBBB"/>
              <w:right w:val="single" w:sz="1" w:space="0" w:color="BBBBBB"/>
            </w:tcBorders>
            <w:shd w:val="clear" w:color="auto" w:fill="E8F5E9"/>
            <w:tcMar>
              <w:top w:w="40" w:type="dxa"/>
              <w:left w:w="60" w:type="dxa"/>
              <w:bottom w:w="40" w:type="dxa"/>
              <w:right w:w="60" w:type="dxa"/>
            </w:tcMar>
          </w:tcPr>
          <w:p w14:paraId="03761C5B" w14:textId="77777777" w:rsidR="005F748C" w:rsidRDefault="00AE5380">
            <w:pPr>
              <w:jc w:val="center"/>
            </w:pPr>
            <w:r>
              <w:rPr>
                <w:color w:val="2E7D32"/>
                <w:sz w:val="16"/>
                <w:szCs w:val="16"/>
              </w:rPr>
              <w:t>2</w:t>
            </w:r>
          </w:p>
        </w:tc>
        <w:tc>
          <w:tcPr>
            <w:tcW w:w="76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5C" w14:textId="77777777" w:rsidR="005F748C" w:rsidRDefault="00AE5380">
            <w:pPr>
              <w:jc w:val="center"/>
            </w:pPr>
            <w:r>
              <w:rPr>
                <w:color w:val="111111"/>
                <w:sz w:val="16"/>
                <w:szCs w:val="16"/>
              </w:rPr>
              <w:t>1</w:t>
            </w:r>
          </w:p>
        </w:tc>
        <w:tc>
          <w:tcPr>
            <w:tcW w:w="900" w:type="dxa"/>
            <w:tcBorders>
              <w:top w:val="single" w:sz="1" w:space="0" w:color="BBBBBB"/>
              <w:left w:val="single" w:sz="1" w:space="0" w:color="BBBBBB"/>
              <w:bottom w:val="single" w:sz="1" w:space="0" w:color="BBBBBB"/>
              <w:right w:val="single" w:sz="1" w:space="0" w:color="BBBBBB"/>
            </w:tcBorders>
            <w:shd w:val="clear" w:color="auto" w:fill="FDECEA"/>
            <w:tcMar>
              <w:top w:w="40" w:type="dxa"/>
              <w:left w:w="60" w:type="dxa"/>
              <w:bottom w:w="40" w:type="dxa"/>
              <w:right w:w="60" w:type="dxa"/>
            </w:tcMar>
          </w:tcPr>
          <w:p w14:paraId="03761C5D" w14:textId="77777777" w:rsidR="005F748C" w:rsidRDefault="00AE5380">
            <w:pPr>
              <w:jc w:val="center"/>
            </w:pPr>
            <w:r>
              <w:rPr>
                <w:b/>
                <w:bCs/>
                <w:color w:val="B71C1C"/>
                <w:sz w:val="16"/>
                <w:szCs w:val="16"/>
              </w:rPr>
              <w:t>95</w:t>
            </w:r>
          </w:p>
        </w:tc>
        <w:tc>
          <w:tcPr>
            <w:tcW w:w="68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5E" w14:textId="77777777" w:rsidR="005F748C" w:rsidRDefault="00AE5380">
            <w:pPr>
              <w:jc w:val="center"/>
            </w:pPr>
            <w:r>
              <w:rPr>
                <w:b/>
                <w:bCs/>
                <w:color w:val="111111"/>
                <w:sz w:val="16"/>
                <w:szCs w:val="16"/>
              </w:rPr>
              <w:t>98</w:t>
            </w:r>
          </w:p>
        </w:tc>
        <w:tc>
          <w:tcPr>
            <w:tcW w:w="900" w:type="dxa"/>
            <w:tcBorders>
              <w:top w:val="single" w:sz="1" w:space="0" w:color="BBBBBB"/>
              <w:left w:val="single" w:sz="1" w:space="0" w:color="BBBBBB"/>
              <w:bottom w:val="single" w:sz="1" w:space="0" w:color="BBBBBB"/>
              <w:right w:val="single" w:sz="1" w:space="0" w:color="BBBBBB"/>
            </w:tcBorders>
            <w:shd w:val="clear" w:color="auto" w:fill="FFF8E1"/>
            <w:tcMar>
              <w:top w:w="40" w:type="dxa"/>
              <w:left w:w="60" w:type="dxa"/>
              <w:bottom w:w="40" w:type="dxa"/>
              <w:right w:w="60" w:type="dxa"/>
            </w:tcMar>
          </w:tcPr>
          <w:p w14:paraId="03761C5F" w14:textId="77777777" w:rsidR="005F748C" w:rsidRDefault="00AE5380">
            <w:pPr>
              <w:jc w:val="center"/>
            </w:pPr>
            <w:r>
              <w:rPr>
                <w:b/>
                <w:bCs/>
                <w:color w:val="E65100"/>
                <w:sz w:val="16"/>
                <w:szCs w:val="16"/>
              </w:rPr>
              <w:t>96.9%</w:t>
            </w:r>
          </w:p>
        </w:tc>
      </w:tr>
      <w:tr w:rsidR="005F748C" w14:paraId="03761C67" w14:textId="77777777">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61" w14:textId="77777777" w:rsidR="005F748C" w:rsidRDefault="00AE5380">
            <w:proofErr w:type="spellStart"/>
            <w:r>
              <w:rPr>
                <w:b/>
                <w:bCs/>
                <w:color w:val="111111"/>
                <w:sz w:val="16"/>
                <w:szCs w:val="16"/>
              </w:rPr>
              <w:t>XGBoost</w:t>
            </w:r>
            <w:proofErr w:type="spellEnd"/>
          </w:p>
        </w:tc>
        <w:tc>
          <w:tcPr>
            <w:tcW w:w="760" w:type="dxa"/>
            <w:tcBorders>
              <w:top w:val="single" w:sz="1" w:space="0" w:color="BBBBBB"/>
              <w:left w:val="single" w:sz="1" w:space="0" w:color="BBBBBB"/>
              <w:bottom w:val="single" w:sz="1" w:space="0" w:color="BBBBBB"/>
              <w:right w:val="single" w:sz="1" w:space="0" w:color="BBBBBB"/>
            </w:tcBorders>
            <w:shd w:val="clear" w:color="auto" w:fill="F1F8F1"/>
            <w:tcMar>
              <w:top w:w="40" w:type="dxa"/>
              <w:left w:w="60" w:type="dxa"/>
              <w:bottom w:w="40" w:type="dxa"/>
              <w:right w:w="60" w:type="dxa"/>
            </w:tcMar>
          </w:tcPr>
          <w:p w14:paraId="03761C62" w14:textId="77777777" w:rsidR="005F748C" w:rsidRDefault="00AE5380">
            <w:pPr>
              <w:jc w:val="center"/>
            </w:pPr>
            <w:r>
              <w:rPr>
                <w:color w:val="2E7D32"/>
                <w:sz w:val="16"/>
                <w:szCs w:val="16"/>
              </w:rPr>
              <w:t>1</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63" w14:textId="77777777" w:rsidR="005F748C" w:rsidRDefault="00AE5380">
            <w:pPr>
              <w:jc w:val="center"/>
            </w:pPr>
            <w:r>
              <w:rPr>
                <w:color w:val="111111"/>
                <w:sz w:val="16"/>
                <w:szCs w:val="16"/>
              </w:rPr>
              <w:t>2</w:t>
            </w:r>
          </w:p>
        </w:tc>
        <w:tc>
          <w:tcPr>
            <w:tcW w:w="900" w:type="dxa"/>
            <w:tcBorders>
              <w:top w:val="single" w:sz="1" w:space="0" w:color="BBBBBB"/>
              <w:left w:val="single" w:sz="1" w:space="0" w:color="BBBBBB"/>
              <w:bottom w:val="single" w:sz="1" w:space="0" w:color="BBBBBB"/>
              <w:right w:val="single" w:sz="1" w:space="0" w:color="BBBBBB"/>
            </w:tcBorders>
            <w:shd w:val="clear" w:color="auto" w:fill="FFF3F3"/>
            <w:tcMar>
              <w:top w:w="40" w:type="dxa"/>
              <w:left w:w="60" w:type="dxa"/>
              <w:bottom w:w="40" w:type="dxa"/>
              <w:right w:w="60" w:type="dxa"/>
            </w:tcMar>
          </w:tcPr>
          <w:p w14:paraId="03761C64" w14:textId="77777777" w:rsidR="005F748C" w:rsidRDefault="00AE5380">
            <w:pPr>
              <w:jc w:val="center"/>
            </w:pPr>
            <w:r>
              <w:rPr>
                <w:b/>
                <w:bCs/>
                <w:color w:val="B71C1C"/>
                <w:sz w:val="16"/>
                <w:szCs w:val="16"/>
              </w:rPr>
              <w:t>95</w:t>
            </w:r>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65" w14:textId="77777777" w:rsidR="005F748C" w:rsidRDefault="00AE5380">
            <w:pPr>
              <w:jc w:val="center"/>
            </w:pPr>
            <w:r>
              <w:rPr>
                <w:b/>
                <w:bCs/>
                <w:color w:val="111111"/>
                <w:sz w:val="16"/>
                <w:szCs w:val="16"/>
              </w:rPr>
              <w:t>98</w:t>
            </w:r>
          </w:p>
        </w:tc>
        <w:tc>
          <w:tcPr>
            <w:tcW w:w="900" w:type="dxa"/>
            <w:tcBorders>
              <w:top w:val="single" w:sz="1" w:space="0" w:color="BBBBBB"/>
              <w:left w:val="single" w:sz="1" w:space="0" w:color="BBBBBB"/>
              <w:bottom w:val="single" w:sz="1" w:space="0" w:color="BBBBBB"/>
              <w:right w:val="single" w:sz="1" w:space="0" w:color="BBBBBB"/>
            </w:tcBorders>
            <w:shd w:val="clear" w:color="auto" w:fill="FFFDE7"/>
            <w:tcMar>
              <w:top w:w="40" w:type="dxa"/>
              <w:left w:w="60" w:type="dxa"/>
              <w:bottom w:w="40" w:type="dxa"/>
              <w:right w:w="60" w:type="dxa"/>
            </w:tcMar>
          </w:tcPr>
          <w:p w14:paraId="03761C66" w14:textId="77777777" w:rsidR="005F748C" w:rsidRDefault="00AE5380">
            <w:pPr>
              <w:jc w:val="center"/>
            </w:pPr>
            <w:r>
              <w:rPr>
                <w:b/>
                <w:bCs/>
                <w:color w:val="E65100"/>
                <w:sz w:val="16"/>
                <w:szCs w:val="16"/>
              </w:rPr>
              <w:t>96.9%</w:t>
            </w:r>
          </w:p>
        </w:tc>
      </w:tr>
      <w:tr w:rsidR="005F748C" w14:paraId="03761C6E" w14:textId="77777777">
        <w:tc>
          <w:tcPr>
            <w:tcW w:w="104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68" w14:textId="77777777" w:rsidR="005F748C" w:rsidRDefault="00AE5380">
            <w:r>
              <w:rPr>
                <w:b/>
                <w:bCs/>
                <w:color w:val="111111"/>
                <w:sz w:val="16"/>
                <w:szCs w:val="16"/>
              </w:rPr>
              <w:t>Isolation Forest</w:t>
            </w:r>
          </w:p>
        </w:tc>
        <w:tc>
          <w:tcPr>
            <w:tcW w:w="760" w:type="dxa"/>
            <w:tcBorders>
              <w:top w:val="single" w:sz="1" w:space="0" w:color="BBBBBB"/>
              <w:left w:val="single" w:sz="1" w:space="0" w:color="BBBBBB"/>
              <w:bottom w:val="single" w:sz="1" w:space="0" w:color="BBBBBB"/>
              <w:right w:val="single" w:sz="1" w:space="0" w:color="BBBBBB"/>
            </w:tcBorders>
            <w:shd w:val="clear" w:color="auto" w:fill="E8F5E9"/>
            <w:tcMar>
              <w:top w:w="40" w:type="dxa"/>
              <w:left w:w="60" w:type="dxa"/>
              <w:bottom w:w="40" w:type="dxa"/>
              <w:right w:w="60" w:type="dxa"/>
            </w:tcMar>
          </w:tcPr>
          <w:p w14:paraId="03761C69" w14:textId="77777777" w:rsidR="005F748C" w:rsidRDefault="00AE5380">
            <w:pPr>
              <w:jc w:val="center"/>
            </w:pPr>
            <w:r>
              <w:rPr>
                <w:color w:val="2E7D32"/>
                <w:sz w:val="16"/>
                <w:szCs w:val="16"/>
              </w:rPr>
              <w:t>3</w:t>
            </w:r>
          </w:p>
        </w:tc>
        <w:tc>
          <w:tcPr>
            <w:tcW w:w="76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6A" w14:textId="77777777" w:rsidR="005F748C" w:rsidRDefault="00AE5380">
            <w:pPr>
              <w:jc w:val="center"/>
            </w:pPr>
            <w:r>
              <w:rPr>
                <w:color w:val="111111"/>
                <w:sz w:val="16"/>
                <w:szCs w:val="16"/>
              </w:rPr>
              <w:t>1</w:t>
            </w:r>
          </w:p>
        </w:tc>
        <w:tc>
          <w:tcPr>
            <w:tcW w:w="900" w:type="dxa"/>
            <w:tcBorders>
              <w:top w:val="single" w:sz="1" w:space="0" w:color="BBBBBB"/>
              <w:left w:val="single" w:sz="1" w:space="0" w:color="BBBBBB"/>
              <w:bottom w:val="single" w:sz="1" w:space="0" w:color="BBBBBB"/>
              <w:right w:val="single" w:sz="1" w:space="0" w:color="BBBBBB"/>
            </w:tcBorders>
            <w:shd w:val="clear" w:color="auto" w:fill="FDECEA"/>
            <w:tcMar>
              <w:top w:w="40" w:type="dxa"/>
              <w:left w:w="60" w:type="dxa"/>
              <w:bottom w:w="40" w:type="dxa"/>
              <w:right w:w="60" w:type="dxa"/>
            </w:tcMar>
          </w:tcPr>
          <w:p w14:paraId="03761C6B" w14:textId="77777777" w:rsidR="005F748C" w:rsidRDefault="00AE5380">
            <w:pPr>
              <w:jc w:val="center"/>
            </w:pPr>
            <w:r>
              <w:rPr>
                <w:b/>
                <w:bCs/>
                <w:color w:val="B71C1C"/>
                <w:sz w:val="16"/>
                <w:szCs w:val="16"/>
              </w:rPr>
              <w:t>94</w:t>
            </w:r>
          </w:p>
        </w:tc>
        <w:tc>
          <w:tcPr>
            <w:tcW w:w="68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6C" w14:textId="77777777" w:rsidR="005F748C" w:rsidRDefault="00AE5380">
            <w:pPr>
              <w:jc w:val="center"/>
            </w:pPr>
            <w:r>
              <w:rPr>
                <w:b/>
                <w:bCs/>
                <w:color w:val="111111"/>
                <w:sz w:val="16"/>
                <w:szCs w:val="16"/>
              </w:rPr>
              <w:t>98</w:t>
            </w:r>
          </w:p>
        </w:tc>
        <w:tc>
          <w:tcPr>
            <w:tcW w:w="900" w:type="dxa"/>
            <w:tcBorders>
              <w:top w:val="single" w:sz="1" w:space="0" w:color="BBBBBB"/>
              <w:left w:val="single" w:sz="1" w:space="0" w:color="BBBBBB"/>
              <w:bottom w:val="single" w:sz="1" w:space="0" w:color="BBBBBB"/>
              <w:right w:val="single" w:sz="1" w:space="0" w:color="BBBBBB"/>
            </w:tcBorders>
            <w:shd w:val="clear" w:color="auto" w:fill="FFF8E1"/>
            <w:tcMar>
              <w:top w:w="40" w:type="dxa"/>
              <w:left w:w="60" w:type="dxa"/>
              <w:bottom w:w="40" w:type="dxa"/>
              <w:right w:w="60" w:type="dxa"/>
            </w:tcMar>
          </w:tcPr>
          <w:p w14:paraId="03761C6D" w14:textId="77777777" w:rsidR="005F748C" w:rsidRDefault="00AE5380">
            <w:pPr>
              <w:jc w:val="center"/>
            </w:pPr>
            <w:r>
              <w:rPr>
                <w:b/>
                <w:bCs/>
                <w:color w:val="E65100"/>
                <w:sz w:val="16"/>
                <w:szCs w:val="16"/>
              </w:rPr>
              <w:t>95.9%</w:t>
            </w:r>
          </w:p>
        </w:tc>
      </w:tr>
      <w:tr w:rsidR="005F748C" w14:paraId="03761C75" w14:textId="77777777">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6F" w14:textId="77777777" w:rsidR="005F748C" w:rsidRDefault="00AE5380">
            <w:r>
              <w:rPr>
                <w:b/>
                <w:bCs/>
                <w:color w:val="111111"/>
                <w:sz w:val="16"/>
                <w:szCs w:val="16"/>
              </w:rPr>
              <w:t>Autoencoder</w:t>
            </w:r>
          </w:p>
        </w:tc>
        <w:tc>
          <w:tcPr>
            <w:tcW w:w="760" w:type="dxa"/>
            <w:tcBorders>
              <w:top w:val="single" w:sz="1" w:space="0" w:color="BBBBBB"/>
              <w:left w:val="single" w:sz="1" w:space="0" w:color="BBBBBB"/>
              <w:bottom w:val="single" w:sz="1" w:space="0" w:color="BBBBBB"/>
              <w:right w:val="single" w:sz="1" w:space="0" w:color="BBBBBB"/>
            </w:tcBorders>
            <w:shd w:val="clear" w:color="auto" w:fill="F1F8F1"/>
            <w:tcMar>
              <w:top w:w="40" w:type="dxa"/>
              <w:left w:w="60" w:type="dxa"/>
              <w:bottom w:w="40" w:type="dxa"/>
              <w:right w:w="60" w:type="dxa"/>
            </w:tcMar>
          </w:tcPr>
          <w:p w14:paraId="03761C70" w14:textId="77777777" w:rsidR="005F748C" w:rsidRDefault="00AE5380">
            <w:pPr>
              <w:jc w:val="center"/>
            </w:pPr>
            <w:r>
              <w:rPr>
                <w:color w:val="2E7D32"/>
                <w:sz w:val="16"/>
                <w:szCs w:val="16"/>
              </w:rPr>
              <w:t>2</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71" w14:textId="77777777" w:rsidR="005F748C" w:rsidRDefault="00AE5380">
            <w:pPr>
              <w:jc w:val="center"/>
            </w:pPr>
            <w:r>
              <w:rPr>
                <w:color w:val="111111"/>
                <w:sz w:val="16"/>
                <w:szCs w:val="16"/>
              </w:rPr>
              <w:t>1</w:t>
            </w:r>
          </w:p>
        </w:tc>
        <w:tc>
          <w:tcPr>
            <w:tcW w:w="900" w:type="dxa"/>
            <w:tcBorders>
              <w:top w:val="single" w:sz="1" w:space="0" w:color="BBBBBB"/>
              <w:left w:val="single" w:sz="1" w:space="0" w:color="BBBBBB"/>
              <w:bottom w:val="single" w:sz="1" w:space="0" w:color="BBBBBB"/>
              <w:right w:val="single" w:sz="1" w:space="0" w:color="BBBBBB"/>
            </w:tcBorders>
            <w:shd w:val="clear" w:color="auto" w:fill="FFF3F3"/>
            <w:tcMar>
              <w:top w:w="40" w:type="dxa"/>
              <w:left w:w="60" w:type="dxa"/>
              <w:bottom w:w="40" w:type="dxa"/>
              <w:right w:w="60" w:type="dxa"/>
            </w:tcMar>
          </w:tcPr>
          <w:p w14:paraId="03761C72" w14:textId="77777777" w:rsidR="005F748C" w:rsidRDefault="00AE5380">
            <w:pPr>
              <w:jc w:val="center"/>
            </w:pPr>
            <w:r>
              <w:rPr>
                <w:b/>
                <w:bCs/>
                <w:color w:val="B71C1C"/>
                <w:sz w:val="16"/>
                <w:szCs w:val="16"/>
              </w:rPr>
              <w:t>95</w:t>
            </w:r>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3761C73" w14:textId="77777777" w:rsidR="005F748C" w:rsidRDefault="00AE5380">
            <w:pPr>
              <w:jc w:val="center"/>
            </w:pPr>
            <w:r>
              <w:rPr>
                <w:b/>
                <w:bCs/>
                <w:color w:val="111111"/>
                <w:sz w:val="16"/>
                <w:szCs w:val="16"/>
              </w:rPr>
              <w:t>98</w:t>
            </w:r>
          </w:p>
        </w:tc>
        <w:tc>
          <w:tcPr>
            <w:tcW w:w="900" w:type="dxa"/>
            <w:tcBorders>
              <w:top w:val="single" w:sz="1" w:space="0" w:color="BBBBBB"/>
              <w:left w:val="single" w:sz="1" w:space="0" w:color="BBBBBB"/>
              <w:bottom w:val="single" w:sz="1" w:space="0" w:color="BBBBBB"/>
              <w:right w:val="single" w:sz="1" w:space="0" w:color="BBBBBB"/>
            </w:tcBorders>
            <w:shd w:val="clear" w:color="auto" w:fill="FFFDE7"/>
            <w:tcMar>
              <w:top w:w="40" w:type="dxa"/>
              <w:left w:w="60" w:type="dxa"/>
              <w:bottom w:w="40" w:type="dxa"/>
              <w:right w:w="60" w:type="dxa"/>
            </w:tcMar>
          </w:tcPr>
          <w:p w14:paraId="03761C74" w14:textId="77777777" w:rsidR="005F748C" w:rsidRDefault="00AE5380">
            <w:pPr>
              <w:jc w:val="center"/>
            </w:pPr>
            <w:r>
              <w:rPr>
                <w:b/>
                <w:bCs/>
                <w:color w:val="E65100"/>
                <w:sz w:val="16"/>
                <w:szCs w:val="16"/>
              </w:rPr>
              <w:t>96.9%</w:t>
            </w:r>
          </w:p>
        </w:tc>
      </w:tr>
      <w:tr w:rsidR="005F748C" w14:paraId="03761C7C" w14:textId="77777777">
        <w:tc>
          <w:tcPr>
            <w:tcW w:w="104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76" w14:textId="77777777" w:rsidR="005F748C" w:rsidRDefault="00AE5380">
            <w:r>
              <w:rPr>
                <w:b/>
                <w:bCs/>
                <w:color w:val="111111"/>
                <w:sz w:val="16"/>
                <w:szCs w:val="16"/>
              </w:rPr>
              <w:t>LSTM</w:t>
            </w:r>
          </w:p>
        </w:tc>
        <w:tc>
          <w:tcPr>
            <w:tcW w:w="760" w:type="dxa"/>
            <w:tcBorders>
              <w:top w:val="single" w:sz="1" w:space="0" w:color="BBBBBB"/>
              <w:left w:val="single" w:sz="1" w:space="0" w:color="BBBBBB"/>
              <w:bottom w:val="single" w:sz="1" w:space="0" w:color="BBBBBB"/>
              <w:right w:val="single" w:sz="1" w:space="0" w:color="BBBBBB"/>
            </w:tcBorders>
            <w:shd w:val="clear" w:color="auto" w:fill="E8F5E9"/>
            <w:tcMar>
              <w:top w:w="40" w:type="dxa"/>
              <w:left w:w="60" w:type="dxa"/>
              <w:bottom w:w="40" w:type="dxa"/>
              <w:right w:w="60" w:type="dxa"/>
            </w:tcMar>
          </w:tcPr>
          <w:p w14:paraId="03761C77" w14:textId="77777777" w:rsidR="005F748C" w:rsidRDefault="00AE5380">
            <w:pPr>
              <w:jc w:val="center"/>
            </w:pPr>
            <w:r>
              <w:rPr>
                <w:color w:val="2E7D32"/>
                <w:sz w:val="16"/>
                <w:szCs w:val="16"/>
              </w:rPr>
              <w:t>1</w:t>
            </w:r>
          </w:p>
        </w:tc>
        <w:tc>
          <w:tcPr>
            <w:tcW w:w="76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78" w14:textId="77777777" w:rsidR="005F748C" w:rsidRDefault="00AE5380">
            <w:pPr>
              <w:jc w:val="center"/>
            </w:pPr>
            <w:r>
              <w:rPr>
                <w:color w:val="111111"/>
                <w:sz w:val="16"/>
                <w:szCs w:val="16"/>
              </w:rPr>
              <w:t>3</w:t>
            </w:r>
          </w:p>
        </w:tc>
        <w:tc>
          <w:tcPr>
            <w:tcW w:w="900" w:type="dxa"/>
            <w:tcBorders>
              <w:top w:val="single" w:sz="1" w:space="0" w:color="BBBBBB"/>
              <w:left w:val="single" w:sz="1" w:space="0" w:color="BBBBBB"/>
              <w:bottom w:val="single" w:sz="1" w:space="0" w:color="BBBBBB"/>
              <w:right w:val="single" w:sz="1" w:space="0" w:color="BBBBBB"/>
            </w:tcBorders>
            <w:shd w:val="clear" w:color="auto" w:fill="FDECEA"/>
            <w:tcMar>
              <w:top w:w="40" w:type="dxa"/>
              <w:left w:w="60" w:type="dxa"/>
              <w:bottom w:w="40" w:type="dxa"/>
              <w:right w:w="60" w:type="dxa"/>
            </w:tcMar>
          </w:tcPr>
          <w:p w14:paraId="03761C79" w14:textId="77777777" w:rsidR="005F748C" w:rsidRDefault="00AE5380">
            <w:pPr>
              <w:jc w:val="center"/>
            </w:pPr>
            <w:r>
              <w:rPr>
                <w:b/>
                <w:bCs/>
                <w:color w:val="B71C1C"/>
                <w:sz w:val="16"/>
                <w:szCs w:val="16"/>
              </w:rPr>
              <w:t>94</w:t>
            </w:r>
          </w:p>
        </w:tc>
        <w:tc>
          <w:tcPr>
            <w:tcW w:w="680" w:type="dxa"/>
            <w:tcBorders>
              <w:top w:val="single" w:sz="1" w:space="0" w:color="BBBBBB"/>
              <w:left w:val="single" w:sz="1" w:space="0" w:color="BBBBBB"/>
              <w:bottom w:val="single" w:sz="1" w:space="0" w:color="BBBBBB"/>
              <w:right w:val="single" w:sz="1" w:space="0" w:color="BBBBBB"/>
            </w:tcBorders>
            <w:shd w:val="clear" w:color="auto" w:fill="EBF3FB"/>
            <w:tcMar>
              <w:top w:w="40" w:type="dxa"/>
              <w:left w:w="60" w:type="dxa"/>
              <w:bottom w:w="40" w:type="dxa"/>
              <w:right w:w="60" w:type="dxa"/>
            </w:tcMar>
          </w:tcPr>
          <w:p w14:paraId="03761C7A" w14:textId="77777777" w:rsidR="005F748C" w:rsidRDefault="00AE5380">
            <w:pPr>
              <w:jc w:val="center"/>
            </w:pPr>
            <w:r>
              <w:rPr>
                <w:b/>
                <w:bCs/>
                <w:color w:val="111111"/>
                <w:sz w:val="16"/>
                <w:szCs w:val="16"/>
              </w:rPr>
              <w:t>98</w:t>
            </w:r>
          </w:p>
        </w:tc>
        <w:tc>
          <w:tcPr>
            <w:tcW w:w="900" w:type="dxa"/>
            <w:tcBorders>
              <w:top w:val="single" w:sz="1" w:space="0" w:color="BBBBBB"/>
              <w:left w:val="single" w:sz="1" w:space="0" w:color="BBBBBB"/>
              <w:bottom w:val="single" w:sz="1" w:space="0" w:color="BBBBBB"/>
              <w:right w:val="single" w:sz="1" w:space="0" w:color="BBBBBB"/>
            </w:tcBorders>
            <w:shd w:val="clear" w:color="auto" w:fill="FFF8E1"/>
            <w:tcMar>
              <w:top w:w="40" w:type="dxa"/>
              <w:left w:w="60" w:type="dxa"/>
              <w:bottom w:w="40" w:type="dxa"/>
              <w:right w:w="60" w:type="dxa"/>
            </w:tcMar>
          </w:tcPr>
          <w:p w14:paraId="03761C7B" w14:textId="77777777" w:rsidR="005F748C" w:rsidRDefault="00AE5380">
            <w:pPr>
              <w:jc w:val="center"/>
            </w:pPr>
            <w:r>
              <w:rPr>
                <w:b/>
                <w:bCs/>
                <w:color w:val="E65100"/>
                <w:sz w:val="16"/>
                <w:szCs w:val="16"/>
              </w:rPr>
              <w:t>95.9%</w:t>
            </w:r>
          </w:p>
        </w:tc>
      </w:tr>
    </w:tbl>
    <w:p w14:paraId="37073733" w14:textId="548ADF3F" w:rsidR="00EB1077" w:rsidRDefault="00153303">
      <w:pPr>
        <w:spacing w:before="40" w:after="120"/>
        <w:jc w:val="center"/>
        <w:rPr>
          <w:b/>
          <w:bCs/>
          <w:sz w:val="16"/>
          <w:szCs w:val="16"/>
        </w:rPr>
      </w:pPr>
      <w:r>
        <w:rPr>
          <w:b/>
          <w:bCs/>
          <w:noProof/>
          <w:sz w:val="16"/>
          <w:szCs w:val="16"/>
        </w:rPr>
        <w:drawing>
          <wp:inline distT="0" distB="0" distL="0" distR="0" wp14:anchorId="18570E7C" wp14:editId="7AFEE107">
            <wp:extent cx="3200400" cy="1910080"/>
            <wp:effectExtent l="0" t="0" r="0" b="0"/>
            <wp:docPr id="921339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9058" name="Picture 921339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1910080"/>
                    </a:xfrm>
                    <a:prstGeom prst="rect">
                      <a:avLst/>
                    </a:prstGeom>
                  </pic:spPr>
                </pic:pic>
              </a:graphicData>
            </a:graphic>
          </wp:inline>
        </w:drawing>
      </w:r>
      <w:r>
        <w:rPr>
          <w:b/>
          <w:bCs/>
          <w:noProof/>
          <w:sz w:val="16"/>
          <w:szCs w:val="16"/>
        </w:rPr>
        <w:drawing>
          <wp:inline distT="0" distB="0" distL="0" distR="0" wp14:anchorId="2F7D161C" wp14:editId="0D0E5C7D">
            <wp:extent cx="3200400" cy="1910080"/>
            <wp:effectExtent l="0" t="0" r="0" b="0"/>
            <wp:docPr id="709219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19225" name="Picture 7092192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1910080"/>
                    </a:xfrm>
                    <a:prstGeom prst="rect">
                      <a:avLst/>
                    </a:prstGeom>
                  </pic:spPr>
                </pic:pic>
              </a:graphicData>
            </a:graphic>
          </wp:inline>
        </w:drawing>
      </w:r>
      <w:r>
        <w:rPr>
          <w:b/>
          <w:bCs/>
          <w:noProof/>
          <w:sz w:val="16"/>
          <w:szCs w:val="16"/>
        </w:rPr>
        <w:drawing>
          <wp:inline distT="0" distB="0" distL="0" distR="0" wp14:anchorId="6AFFCDBD" wp14:editId="778A3B35">
            <wp:extent cx="3200400" cy="1910080"/>
            <wp:effectExtent l="0" t="0" r="0" b="0"/>
            <wp:docPr id="30167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7523" name="Picture 30167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0400" cy="1910080"/>
                    </a:xfrm>
                    <a:prstGeom prst="rect">
                      <a:avLst/>
                    </a:prstGeom>
                  </pic:spPr>
                </pic:pic>
              </a:graphicData>
            </a:graphic>
          </wp:inline>
        </w:drawing>
      </w:r>
      <w:r>
        <w:rPr>
          <w:b/>
          <w:bCs/>
          <w:noProof/>
          <w:sz w:val="16"/>
          <w:szCs w:val="16"/>
        </w:rPr>
        <w:drawing>
          <wp:inline distT="0" distB="0" distL="0" distR="0" wp14:anchorId="4C0FC7B5" wp14:editId="53B8E732">
            <wp:extent cx="3200400" cy="1910080"/>
            <wp:effectExtent l="0" t="0" r="0" b="0"/>
            <wp:docPr id="663367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67253" name="Picture 6633672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0400" cy="1910080"/>
                    </a:xfrm>
                    <a:prstGeom prst="rect">
                      <a:avLst/>
                    </a:prstGeom>
                  </pic:spPr>
                </pic:pic>
              </a:graphicData>
            </a:graphic>
          </wp:inline>
        </w:drawing>
      </w:r>
      <w:r>
        <w:rPr>
          <w:b/>
          <w:bCs/>
          <w:noProof/>
          <w:sz w:val="16"/>
          <w:szCs w:val="16"/>
        </w:rPr>
        <w:lastRenderedPageBreak/>
        <w:drawing>
          <wp:inline distT="0" distB="0" distL="0" distR="0" wp14:anchorId="3AD7B4F0" wp14:editId="31FD0BC2">
            <wp:extent cx="3200400" cy="1910080"/>
            <wp:effectExtent l="0" t="0" r="0" b="0"/>
            <wp:docPr id="5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 name="Picture 53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400" cy="1910080"/>
                    </a:xfrm>
                    <a:prstGeom prst="rect">
                      <a:avLst/>
                    </a:prstGeom>
                  </pic:spPr>
                </pic:pic>
              </a:graphicData>
            </a:graphic>
          </wp:inline>
        </w:drawing>
      </w:r>
      <w:r>
        <w:rPr>
          <w:b/>
          <w:bCs/>
          <w:noProof/>
          <w:sz w:val="16"/>
          <w:szCs w:val="16"/>
        </w:rPr>
        <w:drawing>
          <wp:inline distT="0" distB="0" distL="0" distR="0" wp14:anchorId="6EA3676C" wp14:editId="4A5B7750">
            <wp:extent cx="3200400" cy="984885"/>
            <wp:effectExtent l="0" t="0" r="0" b="5715"/>
            <wp:docPr id="978722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22784" name="Picture 9787227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984885"/>
                    </a:xfrm>
                    <a:prstGeom prst="rect">
                      <a:avLst/>
                    </a:prstGeom>
                  </pic:spPr>
                </pic:pic>
              </a:graphicData>
            </a:graphic>
          </wp:inline>
        </w:drawing>
      </w:r>
    </w:p>
    <w:p w14:paraId="03761C80" w14:textId="0DA4EC71" w:rsidR="005F748C" w:rsidRDefault="00AE5380">
      <w:pPr>
        <w:spacing w:before="40" w:after="120"/>
        <w:jc w:val="center"/>
      </w:pPr>
      <w:r>
        <w:rPr>
          <w:b/>
          <w:bCs/>
          <w:sz w:val="16"/>
          <w:szCs w:val="16"/>
        </w:rPr>
        <w:t xml:space="preserve">Fig. </w:t>
      </w:r>
      <w:r w:rsidR="00EB1077">
        <w:rPr>
          <w:b/>
          <w:bCs/>
          <w:sz w:val="16"/>
          <w:szCs w:val="16"/>
        </w:rPr>
        <w:t>4</w:t>
      </w:r>
      <w:r>
        <w:rPr>
          <w:b/>
          <w:bCs/>
          <w:sz w:val="16"/>
          <w:szCs w:val="16"/>
        </w:rPr>
        <w:t>–</w:t>
      </w:r>
      <w:r w:rsidR="0019257D">
        <w:rPr>
          <w:b/>
          <w:bCs/>
          <w:sz w:val="16"/>
          <w:szCs w:val="16"/>
        </w:rPr>
        <w:t>9</w:t>
      </w:r>
      <w:r>
        <w:rPr>
          <w:b/>
          <w:bCs/>
          <w:sz w:val="16"/>
          <w:szCs w:val="16"/>
        </w:rPr>
        <w:t xml:space="preserve">. </w:t>
      </w:r>
      <w:r>
        <w:rPr>
          <w:i/>
          <w:iCs/>
          <w:sz w:val="16"/>
          <w:szCs w:val="16"/>
        </w:rPr>
        <w:t xml:space="preserve">Level 2 stratification results. Figs. </w:t>
      </w:r>
      <w:r w:rsidR="009D35E9">
        <w:rPr>
          <w:i/>
          <w:iCs/>
          <w:sz w:val="16"/>
          <w:szCs w:val="16"/>
        </w:rPr>
        <w:t>4</w:t>
      </w:r>
      <w:r>
        <w:rPr>
          <w:i/>
          <w:iCs/>
          <w:sz w:val="16"/>
          <w:szCs w:val="16"/>
        </w:rPr>
        <w:t>–</w:t>
      </w:r>
      <w:r w:rsidR="009D35E9">
        <w:rPr>
          <w:i/>
          <w:iCs/>
          <w:sz w:val="16"/>
          <w:szCs w:val="16"/>
        </w:rPr>
        <w:t>8</w:t>
      </w:r>
      <w:r>
        <w:rPr>
          <w:i/>
          <w:iCs/>
          <w:sz w:val="16"/>
          <w:szCs w:val="16"/>
        </w:rPr>
        <w:t xml:space="preserve">: individual model fraud distributions. Fig. </w:t>
      </w:r>
      <w:r w:rsidR="009D35E9">
        <w:rPr>
          <w:i/>
          <w:iCs/>
          <w:sz w:val="16"/>
          <w:szCs w:val="16"/>
        </w:rPr>
        <w:t>9</w:t>
      </w:r>
      <w:r>
        <w:rPr>
          <w:i/>
          <w:iCs/>
          <w:sz w:val="16"/>
          <w:szCs w:val="16"/>
        </w:rPr>
        <w:t>: all five models concentrated 94–97% of frauds in the High Risk tier.</w:t>
      </w:r>
    </w:p>
    <w:p w14:paraId="03761C81" w14:textId="77777777" w:rsidR="005F748C" w:rsidRDefault="00AE5380">
      <w:pPr>
        <w:spacing w:before="160" w:after="80"/>
        <w:jc w:val="center"/>
      </w:pPr>
      <w:r>
        <w:rPr>
          <w:b/>
          <w:bCs/>
          <w:smallCaps/>
        </w:rPr>
        <w:t>V. DISCUSSION</w:t>
      </w:r>
    </w:p>
    <w:p w14:paraId="03761C82" w14:textId="77777777" w:rsidR="005F748C" w:rsidRDefault="00AE5380">
      <w:pPr>
        <w:spacing w:before="100" w:after="40"/>
      </w:pPr>
      <w:r>
        <w:rPr>
          <w:b/>
          <w:bCs/>
          <w:i/>
          <w:iCs/>
        </w:rPr>
        <w:t>A. Hyperparameter Sensitivity Analysis</w:t>
      </w:r>
    </w:p>
    <w:p w14:paraId="03761C83" w14:textId="30D1799E" w:rsidR="005F748C" w:rsidRDefault="00AE5380">
      <w:pPr>
        <w:spacing w:after="100"/>
        <w:ind w:firstLine="288"/>
        <w:jc w:val="both"/>
      </w:pPr>
      <w:r>
        <w:t xml:space="preserve">Optimization reveals a clear sensitivity spectrum. Random Forest’s near-zero response (−0.08%) reflects ensemble averaging: 200 bootstrap-aggregated trees smooth out individual configuration changes. </w:t>
      </w:r>
      <w:proofErr w:type="spellStart"/>
      <w:r>
        <w:t>XGBoost’s</w:t>
      </w:r>
      <w:proofErr w:type="spellEnd"/>
      <w:r>
        <w:t xml:space="preserve"> +2.45% gain confirms stochastic regularization (row/column subsampling) is critical under extreme imbalance at moderate depth (6). Isolation Forest’s dominant +28.90% was driven entirely by contamination=0.00172 matching the true fraud rate</w:t>
      </w:r>
      <w:r w:rsidR="00A615E7">
        <w:t xml:space="preserve"> </w:t>
      </w:r>
      <w:r>
        <w:t>even a 3× overestimate reduces AUPRC by over 10 percentage points. The Autoencoder’s null response suggests the reconstruction-error paradigm on PCA-whitened data is the limiting factor, not bottleneck dimensions. LSTM’s +1.40% reflects the capacity sensitivity typical of recurrent networks.</w:t>
      </w:r>
    </w:p>
    <w:p w14:paraId="03761C84" w14:textId="77777777" w:rsidR="005F748C" w:rsidRDefault="00AE5380">
      <w:pPr>
        <w:spacing w:before="100" w:after="40"/>
      </w:pPr>
      <w:r>
        <w:rPr>
          <w:b/>
          <w:bCs/>
          <w:i/>
          <w:iCs/>
        </w:rPr>
        <w:t>B. Model-Agnostic High Risk Fraud Concentration</w:t>
      </w:r>
    </w:p>
    <w:p w14:paraId="03761C85" w14:textId="1763EA23" w:rsidR="005F748C" w:rsidRDefault="00AE5380">
      <w:pPr>
        <w:spacing w:after="100"/>
        <w:ind w:firstLine="288"/>
        <w:jc w:val="both"/>
      </w:pPr>
      <w:r>
        <w:t>The 94.9–96.9% High Risk capture consistency across architectures spanning an AUPRC range of 0.27–0.87 (a 3.2× spread in discriminative power) is the most practically significant Q3 result. This consistency arises because tercile thresholds are computed from the full test score distribution dominated by the 99.8% legitimate majority</w:t>
      </w:r>
      <w:r w:rsidR="00CC0CAD">
        <w:t xml:space="preserve"> </w:t>
      </w:r>
      <w:r>
        <w:t>fraudulent transactions occupy the upper tail of any reasonable anomaly score distribution, creating a ceiling effect robust to model choice. The primary operational differentiator between models is therefore false-positive burden, not fraud capture: reviewing only the High Risk tier (33% of transactions) captures ≥95.9% of frauds at approximately one-third the review cost of scanning all transactions.</w:t>
      </w:r>
    </w:p>
    <w:p w14:paraId="03761C86" w14:textId="77777777" w:rsidR="005F748C" w:rsidRDefault="00AE5380">
      <w:pPr>
        <w:spacing w:before="100" w:after="40"/>
      </w:pPr>
      <w:r>
        <w:rPr>
          <w:b/>
          <w:bCs/>
          <w:i/>
          <w:iCs/>
        </w:rPr>
        <w:t>C. Operational Implications for Q4</w:t>
      </w:r>
    </w:p>
    <w:p w14:paraId="03761C87" w14:textId="77777777" w:rsidR="005F748C" w:rsidRDefault="00AE5380">
      <w:pPr>
        <w:spacing w:after="100"/>
        <w:ind w:firstLine="288"/>
        <w:jc w:val="both"/>
      </w:pPr>
      <w:r>
        <w:t xml:space="preserve">The tiered framework provides a compelling efficiency argument: a system reviewing only the High Risk tier captures </w:t>
      </w:r>
      <w:r>
        <w:t>≥95.9% of frauds while examining just one-third of all transactions, compared to 100% transaction review with an unranked binary classifier. Medium Risk cases (1–3 frauds per model) are the primary target for Q4 ensemble improvement through consensus voting. Low Risk (at most 3 fraud escapes across all models) can be processed with minimal overhead, freeing investigative resources for higher-priority tiers. This resource-proportional approach has direct implications for regulatory compliance and operational cost control in production fraud systems.</w:t>
      </w:r>
    </w:p>
    <w:p w14:paraId="03761C88" w14:textId="77777777" w:rsidR="005F748C" w:rsidRDefault="00AE5380">
      <w:pPr>
        <w:spacing w:before="160" w:after="80"/>
        <w:jc w:val="center"/>
      </w:pPr>
      <w:r>
        <w:rPr>
          <w:b/>
          <w:bCs/>
          <w:smallCaps/>
        </w:rPr>
        <w:t>VI. CONCLUSION</w:t>
      </w:r>
    </w:p>
    <w:p w14:paraId="03761C89" w14:textId="5706AB61" w:rsidR="005F748C" w:rsidRDefault="00AE5380">
      <w:pPr>
        <w:spacing w:after="100"/>
        <w:ind w:firstLine="288"/>
        <w:jc w:val="both"/>
      </w:pPr>
      <w:r>
        <w:t xml:space="preserve">This paper presented hyperparameter optimization and Level 2 risk stratification for five fraud detection architectures on the Kaggle Credit Card Fraud Detection benchmark. Grid search across 150 configurations achieved gains for </w:t>
      </w:r>
      <w:proofErr w:type="spellStart"/>
      <w:r>
        <w:t>XGBoost</w:t>
      </w:r>
      <w:proofErr w:type="spellEnd"/>
      <w:r>
        <w:t xml:space="preserve"> (+2.45%, AUPRC 0.8687), Isolation Forest (+28.90%, AUPRC 0.2693), and LSTM (+1.40%, AUPRC 0.8133), while demonstrating that ensemble methods with strong baselines (Random Forest) are largely </w:t>
      </w:r>
      <w:r w:rsidR="00CC0CAD">
        <w:t>configuration insensitive</w:t>
      </w:r>
      <w:r>
        <w:t>. The tercile-based Level 2 framework concentrated 94.9–96.9% of test frauds in the High Risk tier consistently across all five architectures</w:t>
      </w:r>
      <w:r w:rsidR="00CC0CAD">
        <w:t xml:space="preserve"> </w:t>
      </w:r>
      <w:r>
        <w:t>supervised, unsupervised, tree-based, and neural</w:t>
      </w:r>
      <w:r w:rsidR="00CC0CAD">
        <w:t xml:space="preserve"> </w:t>
      </w:r>
      <w:r>
        <w:t>establishing a robust, model-agnostic fraud prioritization mechanism.</w:t>
      </w:r>
    </w:p>
    <w:p w14:paraId="03761C8A" w14:textId="50F70ACC" w:rsidR="005F748C" w:rsidRDefault="00AE5380">
      <w:pPr>
        <w:spacing w:after="100"/>
        <w:ind w:firstLine="288"/>
        <w:jc w:val="both"/>
      </w:pPr>
      <w:r>
        <w:t>Quarter 4 will pursue three directions: (1) tier-consensus ensemble voting across the five models to reduce Low and Medium tier fraud escapes; (2) cost-sensitive threshold optimization as an alternative to fixed tercile boundaries; and (3) SHAP-based model explainability to provide interpretable justifications for High Risk tier assignments</w:t>
      </w:r>
      <w:r w:rsidR="00CC0CAD">
        <w:t xml:space="preserve"> </w:t>
      </w:r>
      <w:r>
        <w:t>a requirement for regulatory compliance in deployed fraud systems.</w:t>
      </w:r>
    </w:p>
    <w:p w14:paraId="03761C8B" w14:textId="77777777" w:rsidR="005F748C" w:rsidRDefault="00AE5380">
      <w:pPr>
        <w:spacing w:before="160" w:after="80"/>
        <w:jc w:val="center"/>
      </w:pPr>
      <w:r>
        <w:rPr>
          <w:b/>
          <w:bCs/>
          <w:smallCaps/>
        </w:rPr>
        <w:t>REFERENCES</w:t>
      </w:r>
    </w:p>
    <w:p w14:paraId="03761C8C" w14:textId="77777777" w:rsidR="005F748C" w:rsidRDefault="00AE5380">
      <w:pPr>
        <w:spacing w:after="60"/>
        <w:ind w:left="360" w:hanging="360"/>
      </w:pPr>
      <w:r>
        <w:rPr>
          <w:b/>
          <w:bCs/>
          <w:sz w:val="16"/>
          <w:szCs w:val="16"/>
        </w:rPr>
        <w:t xml:space="preserve">[1]  </w:t>
      </w:r>
      <w:r>
        <w:rPr>
          <w:sz w:val="16"/>
          <w:szCs w:val="16"/>
        </w:rPr>
        <w:t>ULB Machine Learning Group, “Credit Card Fraud Detection Dataset,” Kaggle, 2016.</w:t>
      </w:r>
    </w:p>
    <w:p w14:paraId="03761C8D" w14:textId="77777777" w:rsidR="005F748C" w:rsidRDefault="00AE5380">
      <w:pPr>
        <w:spacing w:after="60"/>
        <w:ind w:left="360" w:hanging="360"/>
      </w:pPr>
      <w:r>
        <w:rPr>
          <w:b/>
          <w:bCs/>
          <w:sz w:val="16"/>
          <w:szCs w:val="16"/>
        </w:rPr>
        <w:t xml:space="preserve">[2]  </w:t>
      </w:r>
      <w:r>
        <w:rPr>
          <w:sz w:val="16"/>
          <w:szCs w:val="16"/>
        </w:rPr>
        <w:t xml:space="preserve">L. </w:t>
      </w:r>
      <w:proofErr w:type="spellStart"/>
      <w:r>
        <w:rPr>
          <w:sz w:val="16"/>
          <w:szCs w:val="16"/>
        </w:rPr>
        <w:t>Breiman</w:t>
      </w:r>
      <w:proofErr w:type="spellEnd"/>
      <w:r>
        <w:rPr>
          <w:sz w:val="16"/>
          <w:szCs w:val="16"/>
        </w:rPr>
        <w:t>, “Random forests,” Machine Learning, vol. 45, no. 1, pp. 5–32, 2001.</w:t>
      </w:r>
    </w:p>
    <w:p w14:paraId="03761C8E" w14:textId="77777777" w:rsidR="005F748C" w:rsidRDefault="00AE5380">
      <w:pPr>
        <w:spacing w:after="60"/>
        <w:ind w:left="360" w:hanging="360"/>
      </w:pPr>
      <w:r>
        <w:rPr>
          <w:b/>
          <w:bCs/>
          <w:sz w:val="16"/>
          <w:szCs w:val="16"/>
        </w:rPr>
        <w:t xml:space="preserve">[3]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ACM SIGKDD, 2016, pp. 785–794.</w:t>
      </w:r>
    </w:p>
    <w:p w14:paraId="03761C8F" w14:textId="77777777" w:rsidR="005F748C" w:rsidRDefault="00AE5380">
      <w:pPr>
        <w:spacing w:after="60"/>
        <w:ind w:left="360" w:hanging="360"/>
      </w:pPr>
      <w:r>
        <w:rPr>
          <w:b/>
          <w:bCs/>
          <w:sz w:val="16"/>
          <w:szCs w:val="16"/>
        </w:rPr>
        <w:t xml:space="preserve">[4]  </w:t>
      </w:r>
      <w:r>
        <w:rPr>
          <w:sz w:val="16"/>
          <w:szCs w:val="16"/>
        </w:rPr>
        <w:t xml:space="preserve">A. Dal </w:t>
      </w:r>
      <w:proofErr w:type="spellStart"/>
      <w:r>
        <w:rPr>
          <w:sz w:val="16"/>
          <w:szCs w:val="16"/>
        </w:rPr>
        <w:t>Pozzolo</w:t>
      </w:r>
      <w:proofErr w:type="spellEnd"/>
      <w:r>
        <w:rPr>
          <w:sz w:val="16"/>
          <w:szCs w:val="16"/>
        </w:rPr>
        <w:t xml:space="preserve"> et al., “Learned lessons in credit card fraud detection,” Expert Syst. Appl., vol. 41, no. 10, pp. 4915–4928, 2014.</w:t>
      </w:r>
    </w:p>
    <w:p w14:paraId="03761C90" w14:textId="77777777" w:rsidR="005F748C" w:rsidRDefault="00AE5380">
      <w:pPr>
        <w:spacing w:after="60"/>
        <w:ind w:left="360" w:hanging="360"/>
      </w:pPr>
      <w:r>
        <w:rPr>
          <w:b/>
          <w:bCs/>
          <w:sz w:val="16"/>
          <w:szCs w:val="16"/>
        </w:rPr>
        <w:t xml:space="preserve">[5]  </w:t>
      </w:r>
      <w:r>
        <w:rPr>
          <w:sz w:val="16"/>
          <w:szCs w:val="16"/>
        </w:rPr>
        <w:t>F. T. Liu, K. M. Ting, and Z.-H. Zhou, “</w:t>
      </w:r>
      <w:proofErr w:type="gramStart"/>
      <w:r>
        <w:rPr>
          <w:sz w:val="16"/>
          <w:szCs w:val="16"/>
        </w:rPr>
        <w:t>Isolation forest</w:t>
      </w:r>
      <w:proofErr w:type="gramEnd"/>
      <w:r>
        <w:rPr>
          <w:sz w:val="16"/>
          <w:szCs w:val="16"/>
        </w:rPr>
        <w:t>,” in Proc. IEEE ICDM, 2008, pp. 413–422.</w:t>
      </w:r>
    </w:p>
    <w:p w14:paraId="03761C91" w14:textId="77777777" w:rsidR="005F748C" w:rsidRDefault="00AE5380">
      <w:pPr>
        <w:spacing w:after="60"/>
        <w:ind w:left="360" w:hanging="360"/>
      </w:pPr>
      <w:r>
        <w:rPr>
          <w:b/>
          <w:bCs/>
          <w:sz w:val="16"/>
          <w:szCs w:val="16"/>
        </w:rPr>
        <w:t xml:space="preserve">[6]  </w:t>
      </w:r>
      <w:r>
        <w:rPr>
          <w:sz w:val="16"/>
          <w:szCs w:val="16"/>
        </w:rPr>
        <w:t xml:space="preserve">S. Hariri, M. C. Kind, and R. J. Brunner, “Extended Isolation Forest,” IEEE Trans. </w:t>
      </w:r>
      <w:proofErr w:type="spellStart"/>
      <w:r>
        <w:rPr>
          <w:sz w:val="16"/>
          <w:szCs w:val="16"/>
        </w:rPr>
        <w:t>Knowl</w:t>
      </w:r>
      <w:proofErr w:type="spellEnd"/>
      <w:r>
        <w:rPr>
          <w:sz w:val="16"/>
          <w:szCs w:val="16"/>
        </w:rPr>
        <w:t>. Data Eng., vol. 33, no. 4, pp. 1479–1489, 2021.</w:t>
      </w:r>
    </w:p>
    <w:p w14:paraId="03761C92" w14:textId="77777777" w:rsidR="005F748C" w:rsidRDefault="00AE5380">
      <w:pPr>
        <w:spacing w:after="60"/>
        <w:ind w:left="360" w:hanging="360"/>
      </w:pPr>
      <w:r>
        <w:rPr>
          <w:b/>
          <w:bCs/>
          <w:sz w:val="16"/>
          <w:szCs w:val="16"/>
        </w:rPr>
        <w:t xml:space="preserve">[7]  </w:t>
      </w:r>
      <w:r>
        <w:rPr>
          <w:sz w:val="16"/>
          <w:szCs w:val="16"/>
        </w:rPr>
        <w:t>G. E. Hinton and R. R. Salakhutdinov, “Reducing the dimensionality of data with neural networks,” Science, vol. 313, pp. 504–507, 2006.</w:t>
      </w:r>
    </w:p>
    <w:p w14:paraId="03761C93" w14:textId="77777777" w:rsidR="005F748C" w:rsidRDefault="00AE5380">
      <w:pPr>
        <w:spacing w:after="60"/>
        <w:ind w:left="360" w:hanging="360"/>
      </w:pPr>
      <w:r>
        <w:rPr>
          <w:b/>
          <w:bCs/>
          <w:sz w:val="16"/>
          <w:szCs w:val="16"/>
        </w:rPr>
        <w:t xml:space="preserve">[8]  </w:t>
      </w:r>
      <w:r>
        <w:rPr>
          <w:sz w:val="16"/>
          <w:szCs w:val="16"/>
        </w:rPr>
        <w:t xml:space="preserve">T. </w:t>
      </w:r>
      <w:proofErr w:type="spellStart"/>
      <w:r>
        <w:rPr>
          <w:sz w:val="16"/>
          <w:szCs w:val="16"/>
        </w:rPr>
        <w:t>Schlegl</w:t>
      </w:r>
      <w:proofErr w:type="spellEnd"/>
      <w:r>
        <w:rPr>
          <w:sz w:val="16"/>
          <w:szCs w:val="16"/>
        </w:rPr>
        <w:t xml:space="preserve"> et al., “Unsupervised anomaly detection with generative adversarial networks,” in Proc. IPMI, 2017, pp. 146–157.</w:t>
      </w:r>
    </w:p>
    <w:p w14:paraId="03761C94" w14:textId="77777777" w:rsidR="005F748C" w:rsidRDefault="00AE5380">
      <w:pPr>
        <w:spacing w:after="60"/>
        <w:ind w:left="360" w:hanging="360"/>
      </w:pPr>
      <w:r>
        <w:rPr>
          <w:b/>
          <w:bCs/>
          <w:sz w:val="16"/>
          <w:szCs w:val="16"/>
        </w:rPr>
        <w:t xml:space="preserve">[9]  </w:t>
      </w:r>
      <w:r>
        <w:rPr>
          <w:sz w:val="16"/>
          <w:szCs w:val="16"/>
        </w:rPr>
        <w:t xml:space="preserve">S. Hochreiter and J. </w:t>
      </w:r>
      <w:proofErr w:type="spellStart"/>
      <w:r>
        <w:rPr>
          <w:sz w:val="16"/>
          <w:szCs w:val="16"/>
        </w:rPr>
        <w:t>Schmidhuber</w:t>
      </w:r>
      <w:proofErr w:type="spellEnd"/>
      <w:r>
        <w:rPr>
          <w:sz w:val="16"/>
          <w:szCs w:val="16"/>
        </w:rPr>
        <w:t xml:space="preserve">, “Long short-term memory,” Neural </w:t>
      </w:r>
      <w:proofErr w:type="spellStart"/>
      <w:r>
        <w:rPr>
          <w:sz w:val="16"/>
          <w:szCs w:val="16"/>
        </w:rPr>
        <w:t>Comput</w:t>
      </w:r>
      <w:proofErr w:type="spellEnd"/>
      <w:r>
        <w:rPr>
          <w:sz w:val="16"/>
          <w:szCs w:val="16"/>
        </w:rPr>
        <w:t>., vol. 9, no. 8, pp. 1735–1780, 1997.</w:t>
      </w:r>
    </w:p>
    <w:p w14:paraId="03761C95" w14:textId="77777777" w:rsidR="005F748C" w:rsidRDefault="00AE5380">
      <w:pPr>
        <w:spacing w:after="60"/>
        <w:ind w:left="360" w:hanging="360"/>
      </w:pPr>
      <w:r>
        <w:rPr>
          <w:b/>
          <w:bCs/>
          <w:sz w:val="16"/>
          <w:szCs w:val="16"/>
        </w:rPr>
        <w:t xml:space="preserve">[10]  </w:t>
      </w:r>
      <w:r>
        <w:rPr>
          <w:sz w:val="16"/>
          <w:szCs w:val="16"/>
        </w:rPr>
        <w:t xml:space="preserve">Y. </w:t>
      </w:r>
      <w:proofErr w:type="spellStart"/>
      <w:r>
        <w:rPr>
          <w:sz w:val="16"/>
          <w:szCs w:val="16"/>
        </w:rPr>
        <w:t>Jurgovsky</w:t>
      </w:r>
      <w:proofErr w:type="spellEnd"/>
      <w:r>
        <w:rPr>
          <w:sz w:val="16"/>
          <w:szCs w:val="16"/>
        </w:rPr>
        <w:t xml:space="preserve"> et al., “Sequence classification for credit-card fraud detection,” Expert Syst. Appl., vol. 100, pp. 234–245, 2018.</w:t>
      </w:r>
    </w:p>
    <w:p w14:paraId="03761C96" w14:textId="77777777" w:rsidR="005F748C" w:rsidRDefault="00AE5380">
      <w:pPr>
        <w:spacing w:after="60"/>
        <w:ind w:left="360" w:hanging="360"/>
      </w:pPr>
      <w:r>
        <w:rPr>
          <w:b/>
          <w:bCs/>
          <w:sz w:val="16"/>
          <w:szCs w:val="16"/>
        </w:rPr>
        <w:t xml:space="preserve">[11]  </w:t>
      </w:r>
      <w:r>
        <w:rPr>
          <w:sz w:val="16"/>
          <w:szCs w:val="16"/>
        </w:rPr>
        <w:t xml:space="preserve">T. Fawcett and F. Provost, “Adaptive fraud detection,” Data Min. </w:t>
      </w:r>
      <w:proofErr w:type="spellStart"/>
      <w:r>
        <w:rPr>
          <w:sz w:val="16"/>
          <w:szCs w:val="16"/>
        </w:rPr>
        <w:t>Knowl</w:t>
      </w:r>
      <w:proofErr w:type="spellEnd"/>
      <w:r>
        <w:rPr>
          <w:sz w:val="16"/>
          <w:szCs w:val="16"/>
        </w:rPr>
        <w:t xml:space="preserve">. </w:t>
      </w:r>
      <w:proofErr w:type="spellStart"/>
      <w:r>
        <w:rPr>
          <w:sz w:val="16"/>
          <w:szCs w:val="16"/>
        </w:rPr>
        <w:t>Discov</w:t>
      </w:r>
      <w:proofErr w:type="spellEnd"/>
      <w:r>
        <w:rPr>
          <w:sz w:val="16"/>
          <w:szCs w:val="16"/>
        </w:rPr>
        <w:t>., vol. 1, no. 3, pp. 291–316, 1997.</w:t>
      </w:r>
    </w:p>
    <w:p w14:paraId="03761C97" w14:textId="77777777" w:rsidR="005F748C" w:rsidRDefault="00AE5380">
      <w:pPr>
        <w:spacing w:after="60"/>
        <w:ind w:left="360" w:hanging="360"/>
      </w:pPr>
      <w:r>
        <w:rPr>
          <w:b/>
          <w:bCs/>
          <w:sz w:val="16"/>
          <w:szCs w:val="16"/>
        </w:rPr>
        <w:t xml:space="preserve">[12]  </w:t>
      </w:r>
      <w:r>
        <w:rPr>
          <w:sz w:val="16"/>
          <w:szCs w:val="16"/>
        </w:rPr>
        <w:t>C. Elkan, “The foundations of cost-sensitive learning,” in Proc. IJCAI, 2001, pp. 973–978.</w:t>
      </w:r>
    </w:p>
    <w:sectPr w:rsidR="005F748C">
      <w:footerReference w:type="default" r:id="rId22"/>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C9B90" w14:textId="77777777" w:rsidR="003C7E15" w:rsidRDefault="003C7E15">
      <w:r>
        <w:separator/>
      </w:r>
    </w:p>
  </w:endnote>
  <w:endnote w:type="continuationSeparator" w:id="0">
    <w:p w14:paraId="7DA5A5D5" w14:textId="77777777" w:rsidR="003C7E15" w:rsidRDefault="003C7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31A9" w14:textId="77777777" w:rsidR="00F82B78" w:rsidRDefault="00F82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1C98" w14:textId="7346E46D" w:rsidR="005F748C" w:rsidRPr="00F82B78" w:rsidRDefault="00F82B78" w:rsidP="00F82B78">
    <w:pPr>
      <w:pStyle w:val="Footer"/>
      <w:jc w:val="center"/>
      <w:rPr>
        <w:color w:val="000000" w:themeColor="text1"/>
      </w:rPr>
    </w:pPr>
    <w:r w:rsidRPr="00F82B78">
      <w:rPr>
        <w:color w:val="000000" w:themeColor="text1"/>
      </w:rPr>
      <w:t xml:space="preserve">Page </w:t>
    </w:r>
    <w:r w:rsidRPr="00F82B78">
      <w:rPr>
        <w:color w:val="000000" w:themeColor="text1"/>
      </w:rPr>
      <w:fldChar w:fldCharType="begin"/>
    </w:r>
    <w:r w:rsidRPr="00F82B78">
      <w:rPr>
        <w:color w:val="000000" w:themeColor="text1"/>
      </w:rPr>
      <w:instrText xml:space="preserve"> PAGE  \* Arabic  \* MERGEFORMAT </w:instrText>
    </w:r>
    <w:r w:rsidRPr="00F82B78">
      <w:rPr>
        <w:color w:val="000000" w:themeColor="text1"/>
      </w:rPr>
      <w:fldChar w:fldCharType="separate"/>
    </w:r>
    <w:r w:rsidRPr="00F82B78">
      <w:rPr>
        <w:noProof/>
        <w:color w:val="000000" w:themeColor="text1"/>
      </w:rPr>
      <w:t>2</w:t>
    </w:r>
    <w:r w:rsidRPr="00F82B78">
      <w:rPr>
        <w:color w:val="000000" w:themeColor="text1"/>
      </w:rPr>
      <w:fldChar w:fldCharType="end"/>
    </w:r>
    <w:r w:rsidRPr="00F82B78">
      <w:rPr>
        <w:color w:val="000000" w:themeColor="text1"/>
      </w:rPr>
      <w:t xml:space="preserve"> of </w:t>
    </w:r>
    <w:r w:rsidRPr="00F82B78">
      <w:rPr>
        <w:color w:val="000000" w:themeColor="text1"/>
      </w:rPr>
      <w:fldChar w:fldCharType="begin"/>
    </w:r>
    <w:r w:rsidRPr="00F82B78">
      <w:rPr>
        <w:color w:val="000000" w:themeColor="text1"/>
      </w:rPr>
      <w:instrText xml:space="preserve"> NUMPAGES  \* Arabic  \* MERGEFORMAT </w:instrText>
    </w:r>
    <w:r w:rsidRPr="00F82B78">
      <w:rPr>
        <w:color w:val="000000" w:themeColor="text1"/>
      </w:rPr>
      <w:fldChar w:fldCharType="separate"/>
    </w:r>
    <w:r w:rsidRPr="00F82B78">
      <w:rPr>
        <w:noProof/>
        <w:color w:val="000000" w:themeColor="text1"/>
      </w:rPr>
      <w:t>2</w:t>
    </w:r>
    <w:r w:rsidRPr="00F82B78">
      <w:rPr>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07AE" w14:textId="77777777" w:rsidR="00F82B78" w:rsidRDefault="00F82B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1C99" w14:textId="65C84134" w:rsidR="005F748C" w:rsidRPr="00F82B78" w:rsidRDefault="00F82B78" w:rsidP="00F82B78">
    <w:pPr>
      <w:pStyle w:val="Footer"/>
      <w:jc w:val="center"/>
      <w:rPr>
        <w:color w:val="000000" w:themeColor="text1"/>
      </w:rPr>
    </w:pPr>
    <w:r w:rsidRPr="00F82B78">
      <w:rPr>
        <w:color w:val="000000" w:themeColor="text1"/>
      </w:rPr>
      <w:t xml:space="preserve">Page </w:t>
    </w:r>
    <w:r w:rsidRPr="00F82B78">
      <w:rPr>
        <w:color w:val="000000" w:themeColor="text1"/>
      </w:rPr>
      <w:fldChar w:fldCharType="begin"/>
    </w:r>
    <w:r w:rsidRPr="00F82B78">
      <w:rPr>
        <w:color w:val="000000" w:themeColor="text1"/>
      </w:rPr>
      <w:instrText xml:space="preserve"> PAGE  \* Arabic  \* MERGEFORMAT </w:instrText>
    </w:r>
    <w:r w:rsidRPr="00F82B78">
      <w:rPr>
        <w:color w:val="000000" w:themeColor="text1"/>
      </w:rPr>
      <w:fldChar w:fldCharType="separate"/>
    </w:r>
    <w:r w:rsidRPr="00F82B78">
      <w:rPr>
        <w:noProof/>
        <w:color w:val="000000" w:themeColor="text1"/>
      </w:rPr>
      <w:t>2</w:t>
    </w:r>
    <w:r w:rsidRPr="00F82B78">
      <w:rPr>
        <w:color w:val="000000" w:themeColor="text1"/>
      </w:rPr>
      <w:fldChar w:fldCharType="end"/>
    </w:r>
    <w:r w:rsidRPr="00F82B78">
      <w:rPr>
        <w:color w:val="000000" w:themeColor="text1"/>
      </w:rPr>
      <w:t xml:space="preserve"> of </w:t>
    </w:r>
    <w:r w:rsidRPr="00F82B78">
      <w:rPr>
        <w:color w:val="000000" w:themeColor="text1"/>
      </w:rPr>
      <w:fldChar w:fldCharType="begin"/>
    </w:r>
    <w:r w:rsidRPr="00F82B78">
      <w:rPr>
        <w:color w:val="000000" w:themeColor="text1"/>
      </w:rPr>
      <w:instrText xml:space="preserve"> NUMPAGES  \* Arabic  \* MERGEFORMAT </w:instrText>
    </w:r>
    <w:r w:rsidRPr="00F82B78">
      <w:rPr>
        <w:color w:val="000000" w:themeColor="text1"/>
      </w:rPr>
      <w:fldChar w:fldCharType="separate"/>
    </w:r>
    <w:r w:rsidRPr="00F82B78">
      <w:rPr>
        <w:noProof/>
        <w:color w:val="000000" w:themeColor="text1"/>
      </w:rPr>
      <w:t>2</w:t>
    </w:r>
    <w:r w:rsidRPr="00F82B78">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D9753" w14:textId="77777777" w:rsidR="003C7E15" w:rsidRDefault="003C7E15">
      <w:r>
        <w:separator/>
      </w:r>
    </w:p>
  </w:footnote>
  <w:footnote w:type="continuationSeparator" w:id="0">
    <w:p w14:paraId="0D042482" w14:textId="77777777" w:rsidR="003C7E15" w:rsidRDefault="003C7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FDF" w14:textId="77777777" w:rsidR="00F82B78" w:rsidRDefault="00F82B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7E6E" w14:textId="77777777" w:rsidR="00F82B78" w:rsidRDefault="00F82B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05FF" w14:textId="77777777" w:rsidR="00F82B78" w:rsidRDefault="00F82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51FC4"/>
    <w:multiLevelType w:val="hybridMultilevel"/>
    <w:tmpl w:val="BDE23E0A"/>
    <w:lvl w:ilvl="0" w:tplc="73D055BC">
      <w:start w:val="1"/>
      <w:numFmt w:val="bullet"/>
      <w:lvlText w:val="●"/>
      <w:lvlJc w:val="left"/>
      <w:pPr>
        <w:ind w:left="720" w:hanging="360"/>
      </w:pPr>
    </w:lvl>
    <w:lvl w:ilvl="1" w:tplc="9BF8E712">
      <w:start w:val="1"/>
      <w:numFmt w:val="bullet"/>
      <w:lvlText w:val="○"/>
      <w:lvlJc w:val="left"/>
      <w:pPr>
        <w:ind w:left="1440" w:hanging="360"/>
      </w:pPr>
    </w:lvl>
    <w:lvl w:ilvl="2" w:tplc="334E81F2">
      <w:start w:val="1"/>
      <w:numFmt w:val="bullet"/>
      <w:lvlText w:val="■"/>
      <w:lvlJc w:val="left"/>
      <w:pPr>
        <w:ind w:left="2160" w:hanging="360"/>
      </w:pPr>
    </w:lvl>
    <w:lvl w:ilvl="3" w:tplc="84367064">
      <w:start w:val="1"/>
      <w:numFmt w:val="bullet"/>
      <w:lvlText w:val="●"/>
      <w:lvlJc w:val="left"/>
      <w:pPr>
        <w:ind w:left="2880" w:hanging="360"/>
      </w:pPr>
    </w:lvl>
    <w:lvl w:ilvl="4" w:tplc="335CE24A">
      <w:start w:val="1"/>
      <w:numFmt w:val="bullet"/>
      <w:lvlText w:val="○"/>
      <w:lvlJc w:val="left"/>
      <w:pPr>
        <w:ind w:left="3600" w:hanging="360"/>
      </w:pPr>
    </w:lvl>
    <w:lvl w:ilvl="5" w:tplc="BA724C50">
      <w:start w:val="1"/>
      <w:numFmt w:val="bullet"/>
      <w:lvlText w:val="■"/>
      <w:lvlJc w:val="left"/>
      <w:pPr>
        <w:ind w:left="4320" w:hanging="360"/>
      </w:pPr>
    </w:lvl>
    <w:lvl w:ilvl="6" w:tplc="2A428248">
      <w:start w:val="1"/>
      <w:numFmt w:val="bullet"/>
      <w:lvlText w:val="●"/>
      <w:lvlJc w:val="left"/>
      <w:pPr>
        <w:ind w:left="5040" w:hanging="360"/>
      </w:pPr>
    </w:lvl>
    <w:lvl w:ilvl="7" w:tplc="9BEAE692">
      <w:start w:val="1"/>
      <w:numFmt w:val="bullet"/>
      <w:lvlText w:val="●"/>
      <w:lvlJc w:val="left"/>
      <w:pPr>
        <w:ind w:left="5760" w:hanging="360"/>
      </w:pPr>
    </w:lvl>
    <w:lvl w:ilvl="8" w:tplc="03FC59CC">
      <w:start w:val="1"/>
      <w:numFmt w:val="bullet"/>
      <w:lvlText w:val="●"/>
      <w:lvlJc w:val="left"/>
      <w:pPr>
        <w:ind w:left="6480" w:hanging="360"/>
      </w:pPr>
    </w:lvl>
  </w:abstractNum>
  <w:num w:numId="1" w16cid:durableId="335301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48C"/>
    <w:rsid w:val="00133606"/>
    <w:rsid w:val="00153303"/>
    <w:rsid w:val="0019257D"/>
    <w:rsid w:val="00233874"/>
    <w:rsid w:val="002D7A19"/>
    <w:rsid w:val="0038460D"/>
    <w:rsid w:val="003C7E15"/>
    <w:rsid w:val="003F01B9"/>
    <w:rsid w:val="005B3D74"/>
    <w:rsid w:val="005F748C"/>
    <w:rsid w:val="006F3AB6"/>
    <w:rsid w:val="007510B0"/>
    <w:rsid w:val="00773774"/>
    <w:rsid w:val="00893CE1"/>
    <w:rsid w:val="008D370F"/>
    <w:rsid w:val="008D72EA"/>
    <w:rsid w:val="008F68DA"/>
    <w:rsid w:val="009D35E9"/>
    <w:rsid w:val="00A615E7"/>
    <w:rsid w:val="00A77DF0"/>
    <w:rsid w:val="00A903D2"/>
    <w:rsid w:val="00AC47C9"/>
    <w:rsid w:val="00AE5380"/>
    <w:rsid w:val="00B87019"/>
    <w:rsid w:val="00CC0CAD"/>
    <w:rsid w:val="00DA3272"/>
    <w:rsid w:val="00DB0D66"/>
    <w:rsid w:val="00DF5AAF"/>
    <w:rsid w:val="00EB1077"/>
    <w:rsid w:val="00ED14EE"/>
    <w:rsid w:val="00F5011E"/>
    <w:rsid w:val="00F82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761BD4"/>
  <w15:docId w15:val="{6E4B4DF5-31D9-E84B-A07F-0121C7B5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370F"/>
    <w:pPr>
      <w:tabs>
        <w:tab w:val="center" w:pos="4680"/>
        <w:tab w:val="right" w:pos="9360"/>
      </w:tabs>
    </w:pPr>
  </w:style>
  <w:style w:type="character" w:customStyle="1" w:styleId="HeaderChar">
    <w:name w:val="Header Char"/>
    <w:basedOn w:val="DefaultParagraphFont"/>
    <w:link w:val="Header"/>
    <w:uiPriority w:val="99"/>
    <w:rsid w:val="008D370F"/>
  </w:style>
  <w:style w:type="paragraph" w:styleId="Footer">
    <w:name w:val="footer"/>
    <w:basedOn w:val="Normal"/>
    <w:link w:val="FooterChar"/>
    <w:uiPriority w:val="99"/>
    <w:unhideWhenUsed/>
    <w:rsid w:val="008D370F"/>
    <w:pPr>
      <w:tabs>
        <w:tab w:val="center" w:pos="4680"/>
        <w:tab w:val="right" w:pos="9360"/>
      </w:tabs>
    </w:pPr>
  </w:style>
  <w:style w:type="character" w:customStyle="1" w:styleId="FooterChar">
    <w:name w:val="Footer Char"/>
    <w:basedOn w:val="DefaultParagraphFont"/>
    <w:link w:val="Footer"/>
    <w:uiPriority w:val="99"/>
    <w:rsid w:val="008D370F"/>
  </w:style>
  <w:style w:type="character" w:styleId="UnresolvedMention">
    <w:name w:val="Unresolved Mention"/>
    <w:basedOn w:val="DefaultParagraphFont"/>
    <w:uiPriority w:val="99"/>
    <w:semiHidden/>
    <w:unhideWhenUsed/>
    <w:rsid w:val="00233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2506</Words>
  <Characters>13035</Characters>
  <Application>Microsoft Office Word</Application>
  <DocSecurity>0</DocSecurity>
  <Lines>352</Lines>
  <Paragraphs>106</Paragraphs>
  <ScaleCrop>false</ScaleCrop>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Bandi, Siddartha</cp:lastModifiedBy>
  <cp:revision>29</cp:revision>
  <dcterms:created xsi:type="dcterms:W3CDTF">2026-03-21T21:53:00Z</dcterms:created>
  <dcterms:modified xsi:type="dcterms:W3CDTF">2026-03-21T23:50:00Z</dcterms:modified>
</cp:coreProperties>
</file>