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after="100"/>
        <w:jc w:val="center"/>
      </w:pPr>
      <w:r>
        <w:rPr>
          <w:rFonts w:ascii="Calibri" w:hAnsi="Calibri"/>
          <w:b/>
          <w:color w:val="5F6368"/>
          <w:sz w:val="22"/>
        </w:rPr>
        <w:t>THE COPPERBELT UNIVERSITY</w:t>
      </w:r>
    </w:p>
    <w:p>
      <w:pPr>
        <w:spacing w:after="1320"/>
        <w:jc w:val="center"/>
      </w:pPr>
      <w:r>
        <w:rPr>
          <w:rFonts w:ascii="Calibri" w:hAnsi="Calibri"/>
          <w:color w:val="5F6368"/>
          <w:sz w:val="19"/>
        </w:rPr>
        <w:t>School of Information and Communication Technology | Computer Science Department</w:t>
      </w:r>
    </w:p>
    <w:p>
      <w:pPr>
        <w:spacing w:after="320"/>
        <w:jc w:val="center"/>
      </w:pPr>
      <w:r>
        <w:rPr>
          <w:rFonts w:ascii="Calibri" w:hAnsi="Calibri"/>
          <w:b/>
          <w:color w:val="9A7218"/>
          <w:sz w:val="20"/>
        </w:rPr>
        <w:t>PROJECT DEFENCE RESULTS GUIDE</w:t>
      </w:r>
    </w:p>
    <w:p>
      <w:pPr>
        <w:spacing w:after="320"/>
        <w:jc w:val="center"/>
      </w:pPr>
      <w:r>
        <w:rPr>
          <w:rFonts w:ascii="Calibri" w:hAnsi="Calibri"/>
          <w:b/>
          <w:color w:val="203748"/>
          <w:sz w:val="56"/>
        </w:rPr>
        <w:t>A Sentiment Analysis Prototype for Zambian Green Energy Discourse on Social Media</w:t>
      </w:r>
    </w:p>
    <w:p>
      <w:pPr>
        <w:spacing w:after="1080"/>
        <w:jc w:val="center"/>
      </w:pPr>
      <w:r>
        <w:rPr>
          <w:rFonts w:ascii="Calibri" w:hAnsi="Calibri"/>
          <w:color w:val="1F4D78"/>
          <w:sz w:val="28"/>
        </w:rPr>
        <w:t>Corrected results, dashboard demonstration, and defence talking points</w:t>
      </w:r>
    </w:p>
    <w:p>
      <w:pPr>
        <w:spacing w:after="100"/>
        <w:jc w:val="center"/>
      </w:pPr>
      <w:r>
        <w:rPr>
          <w:rFonts w:ascii="Calibri" w:hAnsi="Calibri"/>
          <w:b/>
          <w:color w:val="202124"/>
          <w:sz w:val="22"/>
        </w:rPr>
        <w:t>Mulenga Musamba  |  Student ID: 22110887</w:t>
      </w:r>
    </w:p>
    <w:p>
      <w:pPr>
        <w:spacing w:after="100"/>
        <w:jc w:val="center"/>
      </w:pPr>
      <w:r>
        <w:rPr>
          <w:rFonts w:ascii="Calibri" w:hAnsi="Calibri"/>
          <w:color w:val="202124"/>
          <w:sz w:val="22"/>
        </w:rPr>
        <w:t>Supervisor: Dr. George Mufungulwa</w:t>
      </w:r>
    </w:p>
    <w:p>
      <w:pPr>
        <w:spacing w:after="680"/>
        <w:jc w:val="center"/>
      </w:pPr>
      <w:r>
        <w:rPr>
          <w:rFonts w:ascii="Calibri" w:hAnsi="Calibri"/>
          <w:color w:val="5F6368"/>
          <w:sz w:val="22"/>
        </w:rPr>
        <w:t>April 2026</w:t>
      </w:r>
    </w:p>
    <w:p>
      <w:pPr>
        <w:keepLines/>
        <w:spacing w:before="140" w:after="180"/>
        <w:ind w:left="230" w:right="230"/>
        <w:shd w:fill="FFF7E1"/>
        <w:pBdr>
          <w:left w:val="single" w:sz="24" w:color="9A7218" w:space="8"/>
        </w:pBdr>
      </w:pPr>
      <w:r>
        <w:rPr>
          <w:rFonts w:ascii="Calibri" w:hAnsi="Calibri"/>
          <w:b/>
          <w:color w:val="203748"/>
        </w:rPr>
        <w:t xml:space="preserve">Core message: </w:t>
      </w:r>
      <w:r>
        <w:rPr>
          <w:rFonts w:ascii="Calibri" w:hAnsi="Calibri"/>
          <w:color w:val="202124"/>
        </w:rPr>
        <w:t>The prototype turns one public Facebook URL into auditable sentiment, emotion, topic, trend, and report views for Zambian energy discourse.</w:t>
      </w:r>
    </w:p>
    <w:p>
      <w:r>
        <w:br w:type="page"/>
      </w:r>
    </w:p>
    <w:p>
      <w:pPr>
        <w:pStyle w:val="Heading1"/>
      </w:pPr>
      <w:r>
        <w:t>Defence At A Glance</w:t>
      </w:r>
    </w:p>
    <w:p>
      <w:pPr>
        <w:pStyle w:val="Heading2"/>
      </w:pPr>
      <w:r>
        <w:t>A 60-second explanation</w:t>
      </w:r>
    </w:p>
    <w:p>
      <w:r>
        <w:rPr>
          <w:rFonts w:ascii="Calibri" w:hAnsi="Calibri"/>
        </w:rPr>
        <w:t>This project addresses the lack of timely, data-driven evidence about how Zambians discuss electricity reliability, affordability, renewable energy, and institutional trust online. A user supplies a public Facebook post URL. The system collects public comments, cleans them, filters energy-relevant content, detects sentiment, sarcasm, and emotions, groups comments into explainable topics, and presents the findings in a Streamlit dashboard. The purpose is decision support for communication and stakeholder engagement, not automatic policy making.</w:t>
      </w:r>
    </w:p>
    <w:tbl>
      <w:tblPr>
        <w:tblStyle w:val="TableGrid"/>
        <w:tblW w:type="dxa" w:w="9360"/>
        <w:jc w:val="left"/>
        <w:tblLayout w:type="fixed"/>
        <w:tblLook w:firstColumn="1" w:firstRow="1" w:lastColumn="0" w:lastRow="0" w:noHBand="0" w:noVBand="1" w:val="04A0"/>
        <w:tblInd w:type="dxa" w:w="120"/>
        <w:tblBorders>
          <w:top w:val="single" w:sz="6" w:color="D6D9DE"/>
          <w:left w:val="single" w:sz="6" w:color="D6D9DE"/>
          <w:bottom w:val="single" w:sz="6" w:color="D6D9DE"/>
          <w:right w:val="single" w:sz="6" w:color="D6D9DE"/>
          <w:insideH w:val="single" w:sz="6" w:color="D6D9DE"/>
          <w:insideV w:val="single" w:sz="6" w:color="D6D9DE"/>
        </w:tblBorders>
      </w:tblPr>
      <w:tblGrid>
        <w:gridCol w:w="2700"/>
        <w:gridCol w:w="6660"/>
      </w:tblGrid>
      <w:tr>
        <w:trPr>
          <w:tblHeader w:val="true"/>
        </w:trPr>
        <w:tc>
          <w:tcPr>
            <w:tcW w:type="dxa" w:w="2700"/>
            <w:shd w:fill="E8EEF5"/>
            <w:vAlign w:val="center"/>
            <w:tcMar>
              <w:top w:w="90" w:type="dxa"/>
              <w:bottom w:w="90" w:type="dxa"/>
              <w:start w:w="120" w:type="dxa"/>
              <w:end w:w="120" w:type="dxa"/>
            </w:tcMar>
          </w:tcPr>
          <w:p>
            <w:pPr>
              <w:spacing w:after="0" w:line="240" w:lineRule="auto"/>
              <w:jc w:val="left"/>
            </w:pPr>
            <w:r>
              <w:rPr>
                <w:rFonts w:ascii="Calibri" w:hAnsi="Calibri"/>
                <w:b/>
                <w:color w:val="203748"/>
                <w:sz w:val="19"/>
              </w:rPr>
              <w:t>Evidence</w:t>
            </w:r>
          </w:p>
        </w:tc>
        <w:tc>
          <w:tcPr>
            <w:tcW w:type="dxa" w:w="6660"/>
            <w:shd w:fill="E8EEF5"/>
            <w:vAlign w:val="center"/>
            <w:tcMar>
              <w:top w:w="90" w:type="dxa"/>
              <w:bottom w:w="90" w:type="dxa"/>
              <w:start w:w="120" w:type="dxa"/>
              <w:end w:w="120" w:type="dxa"/>
            </w:tcMar>
          </w:tcPr>
          <w:p>
            <w:pPr>
              <w:spacing w:after="0" w:line="240" w:lineRule="auto"/>
              <w:jc w:val="left"/>
            </w:pPr>
            <w:r>
              <w:rPr>
                <w:rFonts w:ascii="Calibri" w:hAnsi="Calibri"/>
                <w:b/>
                <w:color w:val="203748"/>
                <w:sz w:val="19"/>
              </w:rPr>
              <w:t>Current result</w:t>
            </w:r>
          </w:p>
        </w:tc>
      </w:tr>
      <w:tr>
        <w:trPr/>
        <w:tc>
          <w:tcPr>
            <w:tcW w:type="dxa" w:w="2700"/>
            <w:vAlign w:val="center"/>
            <w:tcMar>
              <w:top w:w="90" w:type="dxa"/>
              <w:bottom w:w="90" w:type="dxa"/>
              <w:start w:w="120" w:type="dxa"/>
              <w:end w:w="120" w:type="dxa"/>
            </w:tcMar>
          </w:tcPr>
          <w:p>
            <w:pPr>
              <w:spacing w:after="0" w:line="240" w:lineRule="auto"/>
              <w:jc w:val="left"/>
            </w:pPr>
            <w:r>
              <w:rPr>
                <w:rFonts w:ascii="Calibri" w:hAnsi="Calibri"/>
                <w:color w:val="202124"/>
                <w:sz w:val="18"/>
              </w:rPr>
              <w:t>Labeled corpus</w:t>
            </w:r>
          </w:p>
        </w:tc>
        <w:tc>
          <w:tcPr>
            <w:tcW w:type="dxa" w:w="6660"/>
            <w:vAlign w:val="center"/>
            <w:tcMar>
              <w:top w:w="90" w:type="dxa"/>
              <w:bottom w:w="90" w:type="dxa"/>
              <w:start w:w="120" w:type="dxa"/>
              <w:end w:w="120" w:type="dxa"/>
            </w:tcMar>
          </w:tcPr>
          <w:p>
            <w:pPr>
              <w:spacing w:after="0" w:line="240" w:lineRule="auto"/>
              <w:jc w:val="left"/>
            </w:pPr>
            <w:r>
              <w:rPr>
                <w:rFonts w:ascii="Calibri" w:hAnsi="Calibri"/>
                <w:color w:val="202124"/>
                <w:sz w:val="18"/>
              </w:rPr>
              <w:t>4,135 comments scored after preprocessing</w:t>
            </w:r>
          </w:p>
        </w:tc>
      </w:tr>
      <w:tr>
        <w:trPr/>
        <w:tc>
          <w:tcPr>
            <w:tcW w:type="dxa" w:w="270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Relevant analysis set</w:t>
            </w:r>
          </w:p>
        </w:tc>
        <w:tc>
          <w:tcPr>
            <w:tcW w:type="dxa" w:w="666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2,813 comments (68.0% of the labeled corpus)</w:t>
            </w:r>
          </w:p>
        </w:tc>
      </w:tr>
      <w:tr>
        <w:trPr/>
        <w:tc>
          <w:tcPr>
            <w:tcW w:type="dxa" w:w="2700"/>
            <w:vAlign w:val="center"/>
            <w:tcMar>
              <w:top w:w="90" w:type="dxa"/>
              <w:bottom w:w="90" w:type="dxa"/>
              <w:start w:w="120" w:type="dxa"/>
              <w:end w:w="120" w:type="dxa"/>
            </w:tcMar>
          </w:tcPr>
          <w:p>
            <w:pPr>
              <w:spacing w:after="0" w:line="240" w:lineRule="auto"/>
              <w:jc w:val="left"/>
            </w:pPr>
            <w:r>
              <w:rPr>
                <w:rFonts w:ascii="Calibri" w:hAnsi="Calibri"/>
                <w:color w:val="202124"/>
                <w:sz w:val="18"/>
              </w:rPr>
              <w:t>Largest sentiment class</w:t>
            </w:r>
          </w:p>
        </w:tc>
        <w:tc>
          <w:tcPr>
            <w:tcW w:type="dxa" w:w="6660"/>
            <w:vAlign w:val="center"/>
            <w:tcMar>
              <w:top w:w="90" w:type="dxa"/>
              <w:bottom w:w="90" w:type="dxa"/>
              <w:start w:w="120" w:type="dxa"/>
              <w:end w:w="120" w:type="dxa"/>
            </w:tcMar>
          </w:tcPr>
          <w:p>
            <w:pPr>
              <w:spacing w:after="0" w:line="240" w:lineRule="auto"/>
              <w:jc w:val="left"/>
            </w:pPr>
            <w:r>
              <w:rPr>
                <w:rFonts w:ascii="Calibri" w:hAnsi="Calibri"/>
                <w:color w:val="202124"/>
                <w:sz w:val="18"/>
              </w:rPr>
              <w:t>Negative: 1,011 comments (35.9%)</w:t>
            </w:r>
          </w:p>
        </w:tc>
      </w:tr>
      <w:tr>
        <w:trPr/>
        <w:tc>
          <w:tcPr>
            <w:tcW w:type="dxa" w:w="270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Held-out evaluation</w:t>
            </w:r>
          </w:p>
        </w:tc>
        <w:tc>
          <w:tcPr>
            <w:tcW w:type="dxa" w:w="666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563 comments (20%); training used 2,250 comments (80%)</w:t>
            </w:r>
          </w:p>
        </w:tc>
      </w:tr>
      <w:tr>
        <w:trPr/>
        <w:tc>
          <w:tcPr>
            <w:tcW w:type="dxa" w:w="2700"/>
            <w:vAlign w:val="center"/>
            <w:tcMar>
              <w:top w:w="90" w:type="dxa"/>
              <w:bottom w:w="90" w:type="dxa"/>
              <w:start w:w="120" w:type="dxa"/>
              <w:end w:w="120" w:type="dxa"/>
            </w:tcMar>
          </w:tcPr>
          <w:p>
            <w:pPr>
              <w:spacing w:after="0" w:line="240" w:lineRule="auto"/>
              <w:jc w:val="left"/>
            </w:pPr>
            <w:r>
              <w:rPr>
                <w:rFonts w:ascii="Calibri" w:hAnsi="Calibri"/>
                <w:color w:val="202124"/>
                <w:sz w:val="18"/>
              </w:rPr>
              <w:t>Strongest baseline</w:t>
            </w:r>
          </w:p>
        </w:tc>
        <w:tc>
          <w:tcPr>
            <w:tcW w:type="dxa" w:w="6660"/>
            <w:vAlign w:val="center"/>
            <w:tcMar>
              <w:top w:w="90" w:type="dxa"/>
              <w:bottom w:w="90" w:type="dxa"/>
              <w:start w:w="120" w:type="dxa"/>
              <w:end w:w="120" w:type="dxa"/>
            </w:tcMar>
          </w:tcPr>
          <w:p>
            <w:pPr>
              <w:spacing w:after="0" w:line="240" w:lineRule="auto"/>
              <w:jc w:val="left"/>
            </w:pPr>
            <w:r>
              <w:rPr>
                <w:rFonts w:ascii="Calibri" w:hAnsi="Calibri"/>
                <w:color w:val="202124"/>
                <w:sz w:val="18"/>
              </w:rPr>
              <w:t>SVM: 58.4% accuracy; 58.3% weighted F1</w:t>
            </w:r>
          </w:p>
        </w:tc>
      </w:tr>
      <w:tr>
        <w:trPr/>
        <w:tc>
          <w:tcPr>
            <w:tcW w:type="dxa" w:w="270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End-user interface</w:t>
            </w:r>
          </w:p>
        </w:tc>
        <w:tc>
          <w:tcPr>
            <w:tcW w:type="dxa" w:w="666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URL-only dashboard; research and saved datasets are not exposed</w:t>
            </w:r>
          </w:p>
        </w:tc>
      </w:tr>
    </w:tbl>
    <w:p>
      <w:pPr>
        <w:spacing w:after="40"/>
      </w:pPr>
    </w:p>
    <w:p>
      <w:pPr>
        <w:keepLines/>
        <w:spacing w:before="140" w:after="180"/>
        <w:ind w:left="230" w:right="230"/>
        <w:shd w:fill="E8EEF5"/>
        <w:pBdr>
          <w:left w:val="single" w:sz="24" w:color="2E74B5" w:space="8"/>
        </w:pBdr>
      </w:pPr>
      <w:r>
        <w:rPr>
          <w:rFonts w:ascii="Calibri" w:hAnsi="Calibri"/>
          <w:b/>
          <w:color w:val="203748"/>
        </w:rPr>
        <w:t xml:space="preserve">Defence position: </w:t>
      </w:r>
      <w:r>
        <w:rPr>
          <w:rFonts w:ascii="Calibri" w:hAnsi="Calibri"/>
          <w:color w:val="202124"/>
        </w:rPr>
        <w:t>This is a transparent prototype. Its contribution is the Zambia-aware workflow, auditable rules, local-language adaptation, and usable evidence views. Production deployment requires a human-labeled gold-standard dataset and further model validation.</w:t>
      </w:r>
    </w:p>
    <w:p>
      <w:pPr>
        <w:pStyle w:val="Heading2"/>
      </w:pPr>
      <w:r>
        <w:t>Research objectives answered</w:t>
      </w:r>
    </w:p>
    <w:p>
      <w:pPr>
        <w:pStyle w:val="ListBullet"/>
      </w:pPr>
      <w:r>
        <w:t>Collect and preprocess publicly available Facebook comments related to Zambian energy discourse.</w:t>
      </w:r>
    </w:p>
    <w:p>
      <w:pPr>
        <w:pStyle w:val="ListBullet"/>
      </w:pPr>
      <w:r>
        <w:t>Apply VADER-based positive, neutral, and negative labeling with sarcasm and local-lexicon corrections.</w:t>
      </w:r>
    </w:p>
    <w:p>
      <w:pPr>
        <w:pStyle w:val="ListBullet"/>
      </w:pPr>
      <w:r>
        <w:t>Train and evaluate Naive Bayes, Logistic Regression, and SVM classifiers using TF-IDF text features.</w:t>
      </w:r>
    </w:p>
    <w:p>
      <w:pPr>
        <w:pStyle w:val="ListBullet"/>
      </w:pPr>
      <w:r>
        <w:t>Identify sentiment distributions, dominant topics, emotions, and time-based patterns.</w:t>
      </w:r>
    </w:p>
    <w:p>
      <w:pPr>
        <w:pStyle w:val="ListBullet"/>
      </w:pPr>
      <w:r>
        <w:t>Translate evidence into cautious policy-communication and stakeholder-engagement considerations.</w:t>
      </w:r>
    </w:p>
    <w:p>
      <w:r>
        <w:br w:type="page"/>
      </w:r>
    </w:p>
    <w:p>
      <w:pPr>
        <w:pStyle w:val="Heading1"/>
      </w:pPr>
      <w:r>
        <w:t>How The Prototype Works</w:t>
      </w:r>
    </w:p>
    <w:p>
      <w:r>
        <w:rPr>
          <w:rFonts w:ascii="Calibri" w:hAnsi="Calibri"/>
        </w:rPr>
        <w:t>The design separates the end-user journey from developer and research operations. End users see only results from the URL they submit. Saved corpora, model diagnostics, manual review, and future annotation controls remain developer-facing.</w:t>
      </w:r>
    </w:p>
    <w:p>
      <w:pPr>
        <w:pStyle w:val="ListNumber"/>
      </w:pPr>
      <w:r>
        <w:t>Input: the user enters one publicly accessible Facebook post URL and a comment limit.</w:t>
      </w:r>
    </w:p>
    <w:p>
      <w:pPr>
        <w:pStyle w:val="ListNumber"/>
      </w:pPr>
      <w:r>
        <w:t>Collection: the Apify integration retrieves publicly accessible comments and saves a raw audit copy.</w:t>
      </w:r>
    </w:p>
    <w:p>
      <w:pPr>
        <w:pStyle w:val="ListNumber"/>
      </w:pPr>
      <w:r>
        <w:t>Preprocessing: text is normalized; a machine-learning version is produced without replacing the readable original.</w:t>
      </w:r>
    </w:p>
    <w:p>
      <w:pPr>
        <w:pStyle w:val="ListNumber"/>
      </w:pPr>
      <w:r>
        <w:t>Relevance: Zambia-energy terms and context rules separate useful discussion from off-topic comments.</w:t>
      </w:r>
    </w:p>
    <w:p>
      <w:pPr>
        <w:pStyle w:val="ListNumber"/>
      </w:pPr>
      <w:r>
        <w:t>Language analysis: readable text is scored for VADER sentiment, sarcasm, and NRC/local emotion signals.</w:t>
      </w:r>
    </w:p>
    <w:p>
      <w:pPr>
        <w:pStyle w:val="ListNumber"/>
      </w:pPr>
      <w:r>
        <w:t>Classification: TF-IDF features feed Naive Bayes, Logistic Regression, and SVM predictions.</w:t>
      </w:r>
    </w:p>
    <w:p>
      <w:pPr>
        <w:pStyle w:val="ListNumber"/>
      </w:pPr>
      <w:r>
        <w:t>Interpretation: topic, trend, and policy-report modules aggregate evidence for the dashboard.</w:t>
      </w:r>
    </w:p>
    <w:p>
      <w:pPr>
        <w:pStyle w:val="ListNumber"/>
      </w:pPr>
      <w:r>
        <w:t>Output: Analyze URL, Overview, Trends, Topics, and Report all describe the current URL only.</w:t>
      </w:r>
    </w:p>
    <w:p>
      <w:pPr>
        <w:pStyle w:val="Heading2"/>
      </w:pPr>
      <w:r>
        <w:t>Why two text representations are necessary</w:t>
      </w:r>
    </w:p>
    <w:tbl>
      <w:tblPr>
        <w:tblStyle w:val="TableGrid"/>
        <w:tblW w:type="dxa" w:w="9360"/>
        <w:jc w:val="left"/>
        <w:tblLayout w:type="fixed"/>
        <w:tblLook w:firstColumn="1" w:firstRow="1" w:lastColumn="0" w:lastRow="0" w:noHBand="0" w:noVBand="1" w:val="04A0"/>
        <w:tblInd w:type="dxa" w:w="120"/>
        <w:tblBorders>
          <w:top w:val="single" w:sz="6" w:color="D6D9DE"/>
          <w:left w:val="single" w:sz="6" w:color="D6D9DE"/>
          <w:bottom w:val="single" w:sz="6" w:color="D6D9DE"/>
          <w:right w:val="single" w:sz="6" w:color="D6D9DE"/>
          <w:insideH w:val="single" w:sz="6" w:color="D6D9DE"/>
          <w:insideV w:val="single" w:sz="6" w:color="D6D9DE"/>
        </w:tblBorders>
      </w:tblPr>
      <w:tblGrid>
        <w:gridCol w:w="2100"/>
        <w:gridCol w:w="2780"/>
        <w:gridCol w:w="4480"/>
      </w:tblGrid>
      <w:tr>
        <w:trPr>
          <w:tblHeader w:val="true"/>
        </w:trPr>
        <w:tc>
          <w:tcPr>
            <w:tcW w:type="dxa" w:w="2100"/>
            <w:shd w:fill="E8EEF5"/>
            <w:vAlign w:val="center"/>
            <w:tcMar>
              <w:top w:w="90" w:type="dxa"/>
              <w:bottom w:w="90" w:type="dxa"/>
              <w:start w:w="120" w:type="dxa"/>
              <w:end w:w="120" w:type="dxa"/>
            </w:tcMar>
          </w:tcPr>
          <w:p>
            <w:pPr>
              <w:spacing w:after="0" w:line="240" w:lineRule="auto"/>
              <w:jc w:val="left"/>
            </w:pPr>
            <w:r>
              <w:rPr>
                <w:rFonts w:ascii="Calibri" w:hAnsi="Calibri"/>
                <w:b/>
                <w:color w:val="203748"/>
                <w:sz w:val="19"/>
              </w:rPr>
              <w:t>Representation</w:t>
            </w:r>
          </w:p>
        </w:tc>
        <w:tc>
          <w:tcPr>
            <w:tcW w:type="dxa" w:w="2780"/>
            <w:shd w:fill="E8EEF5"/>
            <w:vAlign w:val="center"/>
            <w:tcMar>
              <w:top w:w="90" w:type="dxa"/>
              <w:bottom w:w="90" w:type="dxa"/>
              <w:start w:w="120" w:type="dxa"/>
              <w:end w:w="120" w:type="dxa"/>
            </w:tcMar>
          </w:tcPr>
          <w:p>
            <w:pPr>
              <w:spacing w:after="0" w:line="240" w:lineRule="auto"/>
              <w:jc w:val="left"/>
            </w:pPr>
            <w:r>
              <w:rPr>
                <w:rFonts w:ascii="Calibri" w:hAnsi="Calibri"/>
                <w:b/>
                <w:color w:val="203748"/>
                <w:sz w:val="19"/>
              </w:rPr>
              <w:t>Purpose</w:t>
            </w:r>
          </w:p>
        </w:tc>
        <w:tc>
          <w:tcPr>
            <w:tcW w:type="dxa" w:w="4480"/>
            <w:shd w:fill="E8EEF5"/>
            <w:vAlign w:val="center"/>
            <w:tcMar>
              <w:top w:w="90" w:type="dxa"/>
              <w:bottom w:w="90" w:type="dxa"/>
              <w:start w:w="120" w:type="dxa"/>
              <w:end w:w="120" w:type="dxa"/>
            </w:tcMar>
          </w:tcPr>
          <w:p>
            <w:pPr>
              <w:spacing w:after="0" w:line="240" w:lineRule="auto"/>
              <w:jc w:val="left"/>
            </w:pPr>
            <w:r>
              <w:rPr>
                <w:rFonts w:ascii="Calibri" w:hAnsi="Calibri"/>
                <w:b/>
                <w:color w:val="203748"/>
                <w:sz w:val="19"/>
              </w:rPr>
              <w:t>Reason</w:t>
            </w:r>
          </w:p>
        </w:tc>
      </w:tr>
      <w:tr>
        <w:trPr/>
        <w:tc>
          <w:tcPr>
            <w:tcW w:type="dxa" w:w="2100"/>
            <w:vAlign w:val="center"/>
            <w:tcMar>
              <w:top w:w="90" w:type="dxa"/>
              <w:bottom w:w="90" w:type="dxa"/>
              <w:start w:w="120" w:type="dxa"/>
              <w:end w:w="120" w:type="dxa"/>
            </w:tcMar>
          </w:tcPr>
          <w:p>
            <w:pPr>
              <w:spacing w:after="0" w:line="240" w:lineRule="auto"/>
              <w:jc w:val="left"/>
            </w:pPr>
            <w:r>
              <w:rPr>
                <w:rFonts w:ascii="Calibri" w:hAnsi="Calibri"/>
                <w:color w:val="202124"/>
                <w:sz w:val="18"/>
              </w:rPr>
              <w:t>Readable text</w:t>
            </w:r>
          </w:p>
        </w:tc>
        <w:tc>
          <w:tcPr>
            <w:tcW w:type="dxa" w:w="2780"/>
            <w:vAlign w:val="center"/>
            <w:tcMar>
              <w:top w:w="90" w:type="dxa"/>
              <w:bottom w:w="90" w:type="dxa"/>
              <w:start w:w="120" w:type="dxa"/>
              <w:end w:w="120" w:type="dxa"/>
            </w:tcMar>
          </w:tcPr>
          <w:p>
            <w:pPr>
              <w:spacing w:after="0" w:line="240" w:lineRule="auto"/>
              <w:jc w:val="left"/>
            </w:pPr>
            <w:r>
              <w:rPr>
                <w:rFonts w:ascii="Calibri" w:hAnsi="Calibri"/>
                <w:color w:val="202124"/>
                <w:sz w:val="18"/>
              </w:rPr>
              <w:t>VADER, sarcasm, emotion, relevance</w:t>
            </w:r>
          </w:p>
        </w:tc>
        <w:tc>
          <w:tcPr>
            <w:tcW w:type="dxa" w:w="4480"/>
            <w:vAlign w:val="center"/>
            <w:tcMar>
              <w:top w:w="90" w:type="dxa"/>
              <w:bottom w:w="90" w:type="dxa"/>
              <w:start w:w="120" w:type="dxa"/>
              <w:end w:w="120" w:type="dxa"/>
            </w:tcMar>
          </w:tcPr>
          <w:p>
            <w:pPr>
              <w:spacing w:after="0" w:line="240" w:lineRule="auto"/>
              <w:jc w:val="left"/>
            </w:pPr>
            <w:r>
              <w:rPr>
                <w:rFonts w:ascii="Calibri" w:hAnsi="Calibri"/>
                <w:color w:val="202124"/>
                <w:sz w:val="18"/>
              </w:rPr>
              <w:t>Preserves punctuation, contractions, negation, and human-auditable meaning.</w:t>
            </w:r>
          </w:p>
        </w:tc>
      </w:tr>
      <w:tr>
        <w:trPr/>
        <w:tc>
          <w:tcPr>
            <w:tcW w:type="dxa" w:w="210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Processed text</w:t>
            </w:r>
          </w:p>
        </w:tc>
        <w:tc>
          <w:tcPr>
            <w:tcW w:type="dxa" w:w="278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TF-IDF machine-learning features</w:t>
            </w:r>
          </w:p>
        </w:tc>
        <w:tc>
          <w:tcPr>
            <w:tcW w:type="dxa" w:w="448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Reduces sparse surface variation for the three classical classifiers.</w:t>
            </w:r>
          </w:p>
        </w:tc>
      </w:tr>
    </w:tbl>
    <w:p>
      <w:pPr>
        <w:spacing w:after="40"/>
      </w:pPr>
    </w:p>
    <w:p>
      <w:pPr>
        <w:keepLines/>
        <w:spacing w:before="140" w:after="180"/>
        <w:ind w:left="230" w:right="230"/>
        <w:shd w:fill="FFF7E1"/>
        <w:pBdr>
          <w:left w:val="single" w:sz="24" w:color="9A7218" w:space="8"/>
        </w:pBdr>
      </w:pPr>
      <w:r>
        <w:rPr>
          <w:rFonts w:ascii="Calibri" w:hAnsi="Calibri"/>
          <w:b/>
          <w:color w:val="203748"/>
        </w:rPr>
        <w:t xml:space="preserve">Key design correction: </w:t>
      </w:r>
      <w:r>
        <w:rPr>
          <w:rFonts w:ascii="Calibri" w:hAnsi="Calibri"/>
          <w:color w:val="202124"/>
        </w:rPr>
        <w:t>Rule-based sentiment must read the original sentence. Stopword-processed text is useful for TF-IDF models but can destroy expressions such as "don't" and "didn't".</w:t>
      </w:r>
    </w:p>
    <w:p>
      <w:r>
        <w:br w:type="page"/>
      </w:r>
    </w:p>
    <w:p>
      <w:pPr>
        <w:pStyle w:val="Heading1"/>
      </w:pPr>
      <w:r>
        <w:t>Corrected Sentiment Results</w:t>
      </w:r>
    </w:p>
    <w:p>
      <w:pPr>
        <w:keepNext/>
        <w:spacing w:before="40" w:after="40"/>
        <w:jc w:val="center"/>
      </w:pPr>
      <w:r>
        <w:drawing>
          <wp:inline xmlns:a="http://schemas.openxmlformats.org/drawingml/2006/main" xmlns:pic="http://schemas.openxmlformats.org/drawingml/2006/picture">
            <wp:extent cx="5669280" cy="2834640"/>
            <wp:docPr id="1" name="Picture 1" descr="Bar chart showing 1,011 negative, 904 neutral, and 898 positive comments."/>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834640"/>
                    </a:xfrm>
                    <a:prstGeom prst="rect"/>
                  </pic:spPr>
                </pic:pic>
              </a:graphicData>
            </a:graphic>
          </wp:inline>
        </w:drawing>
      </w:r>
    </w:p>
    <w:p>
      <w:pPr>
        <w:pStyle w:val="Caption"/>
        <w:jc w:val="center"/>
      </w:pPr>
      <w:r>
        <w:t>Figure 1. Corrected sentiment distribution for 2,813 relevant comments.</w:t>
      </w:r>
    </w:p>
    <w:p>
      <w:pPr>
        <w:keepLines/>
        <w:spacing w:before="140" w:after="180"/>
        <w:ind w:left="230" w:right="230"/>
        <w:shd w:fill="E8EEF5"/>
        <w:pBdr>
          <w:left w:val="single" w:sz="24" w:color="2E74B5" w:space="8"/>
        </w:pBdr>
      </w:pPr>
      <w:r>
        <w:rPr>
          <w:rFonts w:ascii="Calibri" w:hAnsi="Calibri"/>
          <w:b/>
          <w:color w:val="203748"/>
        </w:rPr>
        <w:t xml:space="preserve">Interpretation: </w:t>
      </w:r>
      <w:r>
        <w:rPr>
          <w:rFonts w:ascii="Calibri" w:hAnsi="Calibri"/>
          <w:color w:val="202124"/>
        </w:rPr>
        <w:t>The distribution is mixed rather than overwhelmingly negative. Negative sentiment is the largest class at 35.9%, but neutral and positive comments together account for 64.0%. The defensible conclusion is that energy discourse is contested and issue-specific.</w:t>
      </w:r>
    </w:p>
    <w:p>
      <w:pPr>
        <w:pStyle w:val="Heading2"/>
      </w:pPr>
      <w:r>
        <w:t>Topic findings</w:t>
      </w:r>
    </w:p>
    <w:p>
      <w:pPr>
        <w:keepNext/>
        <w:spacing w:before="40" w:after="40"/>
        <w:jc w:val="center"/>
      </w:pPr>
      <w:r>
        <w:drawing>
          <wp:inline xmlns:a="http://schemas.openxmlformats.org/drawingml/2006/main" xmlns:pic="http://schemas.openxmlformats.org/drawingml/2006/picture">
            <wp:extent cx="5669280" cy="3212592"/>
            <wp:docPr id="2" name="Picture 2" descr="Horizontal bar chart showing load shedding and reliability as the dominant topic."/>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3212592"/>
                    </a:xfrm>
                    <a:prstGeom prst="rect"/>
                  </pic:spPr>
                </pic:pic>
              </a:graphicData>
            </a:graphic>
          </wp:inline>
        </w:drawing>
      </w:r>
    </w:p>
    <w:p>
      <w:pPr>
        <w:pStyle w:val="Caption"/>
        <w:jc w:val="center"/>
      </w:pPr>
      <w:r>
        <w:t>Figure 2. Six most discussed topics after transparent keyword-based grouping.</w:t>
      </w:r>
    </w:p>
    <w:tbl>
      <w:tblPr>
        <w:tblStyle w:val="TableGrid"/>
        <w:tblW w:type="dxa" w:w="9360"/>
        <w:jc w:val="left"/>
        <w:tblLayout w:type="fixed"/>
        <w:tblLook w:firstColumn="1" w:firstRow="1" w:lastColumn="0" w:lastRow="0" w:noHBand="0" w:noVBand="1" w:val="04A0"/>
        <w:tblInd w:type="dxa" w:w="120"/>
        <w:tblBorders>
          <w:top w:val="single" w:sz="6" w:color="D6D9DE"/>
          <w:left w:val="single" w:sz="6" w:color="D6D9DE"/>
          <w:bottom w:val="single" w:sz="6" w:color="D6D9DE"/>
          <w:right w:val="single" w:sz="6" w:color="D6D9DE"/>
          <w:insideH w:val="single" w:sz="6" w:color="D6D9DE"/>
          <w:insideV w:val="single" w:sz="6" w:color="D6D9DE"/>
        </w:tblBorders>
      </w:tblPr>
      <w:tblGrid>
        <w:gridCol w:w="3800"/>
        <w:gridCol w:w="1100"/>
        <w:gridCol w:w="1100"/>
        <w:gridCol w:w="1300"/>
        <w:gridCol w:w="2060"/>
      </w:tblGrid>
      <w:tr>
        <w:trPr>
          <w:tblHeader w:val="true"/>
        </w:trPr>
        <w:tc>
          <w:tcPr>
            <w:tcW w:type="dxa" w:w="3800"/>
            <w:shd w:fill="E8EEF5"/>
            <w:vAlign w:val="center"/>
            <w:tcMar>
              <w:top w:w="90" w:type="dxa"/>
              <w:bottom w:w="90" w:type="dxa"/>
              <w:start w:w="120" w:type="dxa"/>
              <w:end w:w="120" w:type="dxa"/>
            </w:tcMar>
          </w:tcPr>
          <w:p>
            <w:pPr>
              <w:spacing w:after="0" w:line="240" w:lineRule="auto"/>
              <w:jc w:val="left"/>
            </w:pPr>
            <w:r>
              <w:rPr>
                <w:rFonts w:ascii="Calibri" w:hAnsi="Calibri"/>
                <w:b/>
                <w:color w:val="203748"/>
                <w:sz w:val="19"/>
              </w:rPr>
              <w:t>Topic</w:t>
            </w:r>
          </w:p>
        </w:tc>
        <w:tc>
          <w:tcPr>
            <w:tcW w:type="dxa" w:w="1100"/>
            <w:shd w:fill="E8EEF5"/>
            <w:vAlign w:val="center"/>
            <w:tcMar>
              <w:top w:w="90" w:type="dxa"/>
              <w:bottom w:w="90" w:type="dxa"/>
              <w:start w:w="120" w:type="dxa"/>
              <w:end w:w="120" w:type="dxa"/>
            </w:tcMar>
          </w:tcPr>
          <w:p>
            <w:pPr>
              <w:spacing w:after="0" w:line="240" w:lineRule="auto"/>
              <w:jc w:val="center"/>
            </w:pPr>
            <w:r>
              <w:rPr>
                <w:rFonts w:ascii="Calibri" w:hAnsi="Calibri"/>
                <w:b/>
                <w:color w:val="203748"/>
                <w:sz w:val="19"/>
              </w:rPr>
              <w:t>Comments</w:t>
            </w:r>
          </w:p>
        </w:tc>
        <w:tc>
          <w:tcPr>
            <w:tcW w:type="dxa" w:w="1100"/>
            <w:shd w:fill="E8EEF5"/>
            <w:vAlign w:val="center"/>
            <w:tcMar>
              <w:top w:w="90" w:type="dxa"/>
              <w:bottom w:w="90" w:type="dxa"/>
              <w:start w:w="120" w:type="dxa"/>
              <w:end w:w="120" w:type="dxa"/>
            </w:tcMar>
          </w:tcPr>
          <w:p>
            <w:pPr>
              <w:spacing w:after="0" w:line="240" w:lineRule="auto"/>
              <w:jc w:val="center"/>
            </w:pPr>
            <w:r>
              <w:rPr>
                <w:rFonts w:ascii="Calibri" w:hAnsi="Calibri"/>
                <w:b/>
                <w:color w:val="203748"/>
                <w:sz w:val="19"/>
              </w:rPr>
              <w:t>Share</w:t>
            </w:r>
          </w:p>
        </w:tc>
        <w:tc>
          <w:tcPr>
            <w:tcW w:type="dxa" w:w="1300"/>
            <w:shd w:fill="E8EEF5"/>
            <w:vAlign w:val="center"/>
            <w:tcMar>
              <w:top w:w="90" w:type="dxa"/>
              <w:bottom w:w="90" w:type="dxa"/>
              <w:start w:w="120" w:type="dxa"/>
              <w:end w:w="120" w:type="dxa"/>
            </w:tcMar>
          </w:tcPr>
          <w:p>
            <w:pPr>
              <w:spacing w:after="0" w:line="240" w:lineRule="auto"/>
              <w:jc w:val="center"/>
            </w:pPr>
            <w:r>
              <w:rPr>
                <w:rFonts w:ascii="Calibri" w:hAnsi="Calibri"/>
                <w:b/>
                <w:color w:val="203748"/>
                <w:sz w:val="19"/>
              </w:rPr>
              <w:t>Negative</w:t>
            </w:r>
          </w:p>
        </w:tc>
        <w:tc>
          <w:tcPr>
            <w:tcW w:type="dxa" w:w="2060"/>
            <w:shd w:fill="E8EEF5"/>
            <w:vAlign w:val="center"/>
            <w:tcMar>
              <w:top w:w="90" w:type="dxa"/>
              <w:bottom w:w="90" w:type="dxa"/>
              <w:start w:w="120" w:type="dxa"/>
              <w:end w:w="120" w:type="dxa"/>
            </w:tcMar>
          </w:tcPr>
          <w:p>
            <w:pPr>
              <w:spacing w:after="0" w:line="240" w:lineRule="auto"/>
              <w:jc w:val="center"/>
            </w:pPr>
            <w:r>
              <w:rPr>
                <w:rFonts w:ascii="Calibri" w:hAnsi="Calibri"/>
                <w:b/>
                <w:color w:val="203748"/>
                <w:sz w:val="19"/>
              </w:rPr>
              <w:t>Leading emotion</w:t>
            </w:r>
          </w:p>
        </w:tc>
      </w:tr>
      <w:tr>
        <w:trPr/>
        <w:tc>
          <w:tcPr>
            <w:tcW w:type="dxa" w:w="3800"/>
            <w:vAlign w:val="center"/>
            <w:tcMar>
              <w:top w:w="90" w:type="dxa"/>
              <w:bottom w:w="90" w:type="dxa"/>
              <w:start w:w="120" w:type="dxa"/>
              <w:end w:w="120" w:type="dxa"/>
            </w:tcMar>
          </w:tcPr>
          <w:p>
            <w:pPr>
              <w:spacing w:after="0" w:line="240" w:lineRule="auto"/>
              <w:jc w:val="left"/>
            </w:pPr>
            <w:r>
              <w:rPr>
                <w:rFonts w:ascii="Calibri" w:hAnsi="Calibri"/>
                <w:color w:val="202124"/>
                <w:sz w:val="18"/>
              </w:rPr>
              <w:t>Load shedding and reliability</w:t>
            </w:r>
          </w:p>
        </w:tc>
        <w:tc>
          <w:tcPr>
            <w:tcW w:type="dxa" w:w="1100"/>
            <w:vAlign w:val="center"/>
            <w:tcMar>
              <w:top w:w="90" w:type="dxa"/>
              <w:bottom w:w="90" w:type="dxa"/>
              <w:start w:w="120" w:type="dxa"/>
              <w:end w:w="120" w:type="dxa"/>
            </w:tcMar>
          </w:tcPr>
          <w:p>
            <w:pPr>
              <w:spacing w:after="0" w:line="240" w:lineRule="auto"/>
              <w:jc w:val="center"/>
            </w:pPr>
            <w:r>
              <w:rPr>
                <w:rFonts w:ascii="Calibri" w:hAnsi="Calibri"/>
                <w:color w:val="202124"/>
                <w:sz w:val="18"/>
              </w:rPr>
              <w:t>1,789</w:t>
            </w:r>
          </w:p>
        </w:tc>
        <w:tc>
          <w:tcPr>
            <w:tcW w:type="dxa" w:w="1100"/>
            <w:vAlign w:val="center"/>
            <w:tcMar>
              <w:top w:w="90" w:type="dxa"/>
              <w:bottom w:w="90" w:type="dxa"/>
              <w:start w:w="120" w:type="dxa"/>
              <w:end w:w="120" w:type="dxa"/>
            </w:tcMar>
          </w:tcPr>
          <w:p>
            <w:pPr>
              <w:spacing w:after="0" w:line="240" w:lineRule="auto"/>
              <w:jc w:val="center"/>
            </w:pPr>
            <w:r>
              <w:rPr>
                <w:rFonts w:ascii="Calibri" w:hAnsi="Calibri"/>
                <w:color w:val="202124"/>
                <w:sz w:val="18"/>
              </w:rPr>
              <w:t>63.6%</w:t>
            </w:r>
          </w:p>
        </w:tc>
        <w:tc>
          <w:tcPr>
            <w:tcW w:type="dxa" w:w="1300"/>
            <w:vAlign w:val="center"/>
            <w:tcMar>
              <w:top w:w="90" w:type="dxa"/>
              <w:bottom w:w="90" w:type="dxa"/>
              <w:start w:w="120" w:type="dxa"/>
              <w:end w:w="120" w:type="dxa"/>
            </w:tcMar>
          </w:tcPr>
          <w:p>
            <w:pPr>
              <w:spacing w:after="0" w:line="240" w:lineRule="auto"/>
              <w:jc w:val="center"/>
            </w:pPr>
            <w:r>
              <w:rPr>
                <w:rFonts w:ascii="Calibri" w:hAnsi="Calibri"/>
                <w:color w:val="202124"/>
                <w:sz w:val="18"/>
              </w:rPr>
              <w:t>35.8%</w:t>
            </w:r>
          </w:p>
        </w:tc>
        <w:tc>
          <w:tcPr>
            <w:tcW w:type="dxa" w:w="2060"/>
            <w:vAlign w:val="center"/>
            <w:tcMar>
              <w:top w:w="90" w:type="dxa"/>
              <w:bottom w:w="90" w:type="dxa"/>
              <w:start w:w="120" w:type="dxa"/>
              <w:end w:w="120" w:type="dxa"/>
            </w:tcMar>
          </w:tcPr>
          <w:p>
            <w:pPr>
              <w:spacing w:after="0" w:line="240" w:lineRule="auto"/>
              <w:jc w:val="center"/>
            </w:pPr>
            <w:r>
              <w:rPr>
                <w:rFonts w:ascii="Calibri" w:hAnsi="Calibri"/>
                <w:color w:val="202124"/>
                <w:sz w:val="18"/>
              </w:rPr>
              <w:t>Frustration</w:t>
            </w:r>
          </w:p>
        </w:tc>
      </w:tr>
      <w:tr>
        <w:trPr/>
        <w:tc>
          <w:tcPr>
            <w:tcW w:type="dxa" w:w="380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Other energy concerns</w:t>
            </w:r>
          </w:p>
        </w:tc>
        <w:tc>
          <w:tcPr>
            <w:tcW w:type="dxa" w:w="1100"/>
            <w:vAlign w:val="center"/>
            <w:shd w:fill="FAFBFC"/>
            <w:tcMar>
              <w:top w:w="90" w:type="dxa"/>
              <w:bottom w:w="90" w:type="dxa"/>
              <w:start w:w="120" w:type="dxa"/>
              <w:end w:w="120" w:type="dxa"/>
            </w:tcMar>
          </w:tcPr>
          <w:p>
            <w:pPr>
              <w:spacing w:after="0" w:line="240" w:lineRule="auto"/>
              <w:jc w:val="center"/>
            </w:pPr>
            <w:r>
              <w:rPr>
                <w:rFonts w:ascii="Calibri" w:hAnsi="Calibri"/>
                <w:color w:val="202124"/>
                <w:sz w:val="18"/>
              </w:rPr>
              <w:t>413</w:t>
            </w:r>
          </w:p>
        </w:tc>
        <w:tc>
          <w:tcPr>
            <w:tcW w:type="dxa" w:w="1100"/>
            <w:vAlign w:val="center"/>
            <w:shd w:fill="FAFBFC"/>
            <w:tcMar>
              <w:top w:w="90" w:type="dxa"/>
              <w:bottom w:w="90" w:type="dxa"/>
              <w:start w:w="120" w:type="dxa"/>
              <w:end w:w="120" w:type="dxa"/>
            </w:tcMar>
          </w:tcPr>
          <w:p>
            <w:pPr>
              <w:spacing w:after="0" w:line="240" w:lineRule="auto"/>
              <w:jc w:val="center"/>
            </w:pPr>
            <w:r>
              <w:rPr>
                <w:rFonts w:ascii="Calibri" w:hAnsi="Calibri"/>
                <w:color w:val="202124"/>
                <w:sz w:val="18"/>
              </w:rPr>
              <w:t>14.7%</w:t>
            </w:r>
          </w:p>
        </w:tc>
        <w:tc>
          <w:tcPr>
            <w:tcW w:type="dxa" w:w="1300"/>
            <w:vAlign w:val="center"/>
            <w:shd w:fill="FAFBFC"/>
            <w:tcMar>
              <w:top w:w="90" w:type="dxa"/>
              <w:bottom w:w="90" w:type="dxa"/>
              <w:start w:w="120" w:type="dxa"/>
              <w:end w:w="120" w:type="dxa"/>
            </w:tcMar>
          </w:tcPr>
          <w:p>
            <w:pPr>
              <w:spacing w:after="0" w:line="240" w:lineRule="auto"/>
              <w:jc w:val="center"/>
            </w:pPr>
            <w:r>
              <w:rPr>
                <w:rFonts w:ascii="Calibri" w:hAnsi="Calibri"/>
                <w:color w:val="202124"/>
                <w:sz w:val="18"/>
              </w:rPr>
              <w:t>48.2%</w:t>
            </w:r>
          </w:p>
        </w:tc>
        <w:tc>
          <w:tcPr>
            <w:tcW w:type="dxa" w:w="2060"/>
            <w:vAlign w:val="center"/>
            <w:shd w:fill="FAFBFC"/>
            <w:tcMar>
              <w:top w:w="90" w:type="dxa"/>
              <w:bottom w:w="90" w:type="dxa"/>
              <w:start w:w="120" w:type="dxa"/>
              <w:end w:w="120" w:type="dxa"/>
            </w:tcMar>
          </w:tcPr>
          <w:p>
            <w:pPr>
              <w:spacing w:after="0" w:line="240" w:lineRule="auto"/>
              <w:jc w:val="center"/>
            </w:pPr>
            <w:r>
              <w:rPr>
                <w:rFonts w:ascii="Calibri" w:hAnsi="Calibri"/>
                <w:color w:val="202124"/>
                <w:sz w:val="18"/>
              </w:rPr>
              <w:t>Frustration</w:t>
            </w:r>
          </w:p>
        </w:tc>
      </w:tr>
      <w:tr>
        <w:trPr/>
        <w:tc>
          <w:tcPr>
            <w:tcW w:type="dxa" w:w="3800"/>
            <w:vAlign w:val="center"/>
            <w:tcMar>
              <w:top w:w="90" w:type="dxa"/>
              <w:bottom w:w="90" w:type="dxa"/>
              <w:start w:w="120" w:type="dxa"/>
              <w:end w:w="120" w:type="dxa"/>
            </w:tcMar>
          </w:tcPr>
          <w:p>
            <w:pPr>
              <w:spacing w:after="0" w:line="240" w:lineRule="auto"/>
              <w:jc w:val="left"/>
            </w:pPr>
            <w:r>
              <w:rPr>
                <w:rFonts w:ascii="Calibri" w:hAnsi="Calibri"/>
                <w:color w:val="202124"/>
                <w:sz w:val="18"/>
              </w:rPr>
              <w:t>Tariffs and affordability</w:t>
            </w:r>
          </w:p>
        </w:tc>
        <w:tc>
          <w:tcPr>
            <w:tcW w:type="dxa" w:w="1100"/>
            <w:vAlign w:val="center"/>
            <w:tcMar>
              <w:top w:w="90" w:type="dxa"/>
              <w:bottom w:w="90" w:type="dxa"/>
              <w:start w:w="120" w:type="dxa"/>
              <w:end w:w="120" w:type="dxa"/>
            </w:tcMar>
          </w:tcPr>
          <w:p>
            <w:pPr>
              <w:spacing w:after="0" w:line="240" w:lineRule="auto"/>
              <w:jc w:val="center"/>
            </w:pPr>
            <w:r>
              <w:rPr>
                <w:rFonts w:ascii="Calibri" w:hAnsi="Calibri"/>
                <w:color w:val="202124"/>
                <w:sz w:val="18"/>
              </w:rPr>
              <w:t>253</w:t>
            </w:r>
          </w:p>
        </w:tc>
        <w:tc>
          <w:tcPr>
            <w:tcW w:type="dxa" w:w="1100"/>
            <w:vAlign w:val="center"/>
            <w:tcMar>
              <w:top w:w="90" w:type="dxa"/>
              <w:bottom w:w="90" w:type="dxa"/>
              <w:start w:w="120" w:type="dxa"/>
              <w:end w:w="120" w:type="dxa"/>
            </w:tcMar>
          </w:tcPr>
          <w:p>
            <w:pPr>
              <w:spacing w:after="0" w:line="240" w:lineRule="auto"/>
              <w:jc w:val="center"/>
            </w:pPr>
            <w:r>
              <w:rPr>
                <w:rFonts w:ascii="Calibri" w:hAnsi="Calibri"/>
                <w:color w:val="202124"/>
                <w:sz w:val="18"/>
              </w:rPr>
              <w:t>9.0%</w:t>
            </w:r>
          </w:p>
        </w:tc>
        <w:tc>
          <w:tcPr>
            <w:tcW w:type="dxa" w:w="1300"/>
            <w:vAlign w:val="center"/>
            <w:tcMar>
              <w:top w:w="90" w:type="dxa"/>
              <w:bottom w:w="90" w:type="dxa"/>
              <w:start w:w="120" w:type="dxa"/>
              <w:end w:w="120" w:type="dxa"/>
            </w:tcMar>
          </w:tcPr>
          <w:p>
            <w:pPr>
              <w:spacing w:after="0" w:line="240" w:lineRule="auto"/>
              <w:jc w:val="center"/>
            </w:pPr>
            <w:r>
              <w:rPr>
                <w:rFonts w:ascii="Calibri" w:hAnsi="Calibri"/>
                <w:color w:val="202124"/>
                <w:sz w:val="18"/>
              </w:rPr>
              <w:t>22.5%</w:t>
            </w:r>
          </w:p>
        </w:tc>
        <w:tc>
          <w:tcPr>
            <w:tcW w:type="dxa" w:w="2060"/>
            <w:vAlign w:val="center"/>
            <w:tcMar>
              <w:top w:w="90" w:type="dxa"/>
              <w:bottom w:w="90" w:type="dxa"/>
              <w:start w:w="120" w:type="dxa"/>
              <w:end w:w="120" w:type="dxa"/>
            </w:tcMar>
          </w:tcPr>
          <w:p>
            <w:pPr>
              <w:spacing w:after="0" w:line="240" w:lineRule="auto"/>
              <w:jc w:val="center"/>
            </w:pPr>
            <w:r>
              <w:rPr>
                <w:rFonts w:ascii="Calibri" w:hAnsi="Calibri"/>
                <w:color w:val="202124"/>
                <w:sz w:val="18"/>
              </w:rPr>
              <w:t>Trust</w:t>
            </w:r>
          </w:p>
        </w:tc>
      </w:tr>
      <w:tr>
        <w:trPr/>
        <w:tc>
          <w:tcPr>
            <w:tcW w:type="dxa" w:w="380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Customer service and communication</w:t>
            </w:r>
          </w:p>
        </w:tc>
        <w:tc>
          <w:tcPr>
            <w:tcW w:type="dxa" w:w="1100"/>
            <w:vAlign w:val="center"/>
            <w:shd w:fill="FAFBFC"/>
            <w:tcMar>
              <w:top w:w="90" w:type="dxa"/>
              <w:bottom w:w="90" w:type="dxa"/>
              <w:start w:w="120" w:type="dxa"/>
              <w:end w:w="120" w:type="dxa"/>
            </w:tcMar>
          </w:tcPr>
          <w:p>
            <w:pPr>
              <w:spacing w:after="0" w:line="240" w:lineRule="auto"/>
              <w:jc w:val="center"/>
            </w:pPr>
            <w:r>
              <w:rPr>
                <w:rFonts w:ascii="Calibri" w:hAnsi="Calibri"/>
                <w:color w:val="202124"/>
                <w:sz w:val="18"/>
              </w:rPr>
              <w:t>142</w:t>
            </w:r>
          </w:p>
        </w:tc>
        <w:tc>
          <w:tcPr>
            <w:tcW w:type="dxa" w:w="1100"/>
            <w:vAlign w:val="center"/>
            <w:shd w:fill="FAFBFC"/>
            <w:tcMar>
              <w:top w:w="90" w:type="dxa"/>
              <w:bottom w:w="90" w:type="dxa"/>
              <w:start w:w="120" w:type="dxa"/>
              <w:end w:w="120" w:type="dxa"/>
            </w:tcMar>
          </w:tcPr>
          <w:p>
            <w:pPr>
              <w:spacing w:after="0" w:line="240" w:lineRule="auto"/>
              <w:jc w:val="center"/>
            </w:pPr>
            <w:r>
              <w:rPr>
                <w:rFonts w:ascii="Calibri" w:hAnsi="Calibri"/>
                <w:color w:val="202124"/>
                <w:sz w:val="18"/>
              </w:rPr>
              <w:t>5.0%</w:t>
            </w:r>
          </w:p>
        </w:tc>
        <w:tc>
          <w:tcPr>
            <w:tcW w:type="dxa" w:w="1300"/>
            <w:vAlign w:val="center"/>
            <w:shd w:fill="FAFBFC"/>
            <w:tcMar>
              <w:top w:w="90" w:type="dxa"/>
              <w:bottom w:w="90" w:type="dxa"/>
              <w:start w:w="120" w:type="dxa"/>
              <w:end w:w="120" w:type="dxa"/>
            </w:tcMar>
          </w:tcPr>
          <w:p>
            <w:pPr>
              <w:spacing w:after="0" w:line="240" w:lineRule="auto"/>
              <w:jc w:val="center"/>
            </w:pPr>
            <w:r>
              <w:rPr>
                <w:rFonts w:ascii="Calibri" w:hAnsi="Calibri"/>
                <w:color w:val="202124"/>
                <w:sz w:val="18"/>
              </w:rPr>
              <w:t>28.2%</w:t>
            </w:r>
          </w:p>
        </w:tc>
        <w:tc>
          <w:tcPr>
            <w:tcW w:type="dxa" w:w="2060"/>
            <w:vAlign w:val="center"/>
            <w:shd w:fill="FAFBFC"/>
            <w:tcMar>
              <w:top w:w="90" w:type="dxa"/>
              <w:bottom w:w="90" w:type="dxa"/>
              <w:start w:w="120" w:type="dxa"/>
              <w:end w:w="120" w:type="dxa"/>
            </w:tcMar>
          </w:tcPr>
          <w:p>
            <w:pPr>
              <w:spacing w:after="0" w:line="240" w:lineRule="auto"/>
              <w:jc w:val="center"/>
            </w:pPr>
            <w:r>
              <w:rPr>
                <w:rFonts w:ascii="Calibri" w:hAnsi="Calibri"/>
                <w:color w:val="202124"/>
                <w:sz w:val="18"/>
              </w:rPr>
              <w:t>Frustration</w:t>
            </w:r>
          </w:p>
        </w:tc>
      </w:tr>
      <w:tr>
        <w:trPr/>
        <w:tc>
          <w:tcPr>
            <w:tcW w:type="dxa" w:w="3800"/>
            <w:vAlign w:val="center"/>
            <w:tcMar>
              <w:top w:w="90" w:type="dxa"/>
              <w:bottom w:w="90" w:type="dxa"/>
              <w:start w:w="120" w:type="dxa"/>
              <w:end w:w="120" w:type="dxa"/>
            </w:tcMar>
          </w:tcPr>
          <w:p>
            <w:pPr>
              <w:spacing w:after="0" w:line="240" w:lineRule="auto"/>
              <w:jc w:val="left"/>
            </w:pPr>
            <w:r>
              <w:rPr>
                <w:rFonts w:ascii="Calibri" w:hAnsi="Calibri"/>
                <w:color w:val="202124"/>
                <w:sz w:val="18"/>
              </w:rPr>
              <w:t>Renewable energy and solar</w:t>
            </w:r>
          </w:p>
        </w:tc>
        <w:tc>
          <w:tcPr>
            <w:tcW w:type="dxa" w:w="1100"/>
            <w:vAlign w:val="center"/>
            <w:tcMar>
              <w:top w:w="90" w:type="dxa"/>
              <w:bottom w:w="90" w:type="dxa"/>
              <w:start w:w="120" w:type="dxa"/>
              <w:end w:w="120" w:type="dxa"/>
            </w:tcMar>
          </w:tcPr>
          <w:p>
            <w:pPr>
              <w:spacing w:after="0" w:line="240" w:lineRule="auto"/>
              <w:jc w:val="center"/>
            </w:pPr>
            <w:r>
              <w:rPr>
                <w:rFonts w:ascii="Calibri" w:hAnsi="Calibri"/>
                <w:color w:val="202124"/>
                <w:sz w:val="18"/>
              </w:rPr>
              <w:t>68</w:t>
            </w:r>
          </w:p>
        </w:tc>
        <w:tc>
          <w:tcPr>
            <w:tcW w:type="dxa" w:w="1100"/>
            <w:vAlign w:val="center"/>
            <w:tcMar>
              <w:top w:w="90" w:type="dxa"/>
              <w:bottom w:w="90" w:type="dxa"/>
              <w:start w:w="120" w:type="dxa"/>
              <w:end w:w="120" w:type="dxa"/>
            </w:tcMar>
          </w:tcPr>
          <w:p>
            <w:pPr>
              <w:spacing w:after="0" w:line="240" w:lineRule="auto"/>
              <w:jc w:val="center"/>
            </w:pPr>
            <w:r>
              <w:rPr>
                <w:rFonts w:ascii="Calibri" w:hAnsi="Calibri"/>
                <w:color w:val="202124"/>
                <w:sz w:val="18"/>
              </w:rPr>
              <w:t>2.4%</w:t>
            </w:r>
          </w:p>
        </w:tc>
        <w:tc>
          <w:tcPr>
            <w:tcW w:type="dxa" w:w="1300"/>
            <w:vAlign w:val="center"/>
            <w:tcMar>
              <w:top w:w="90" w:type="dxa"/>
              <w:bottom w:w="90" w:type="dxa"/>
              <w:start w:w="120" w:type="dxa"/>
              <w:end w:w="120" w:type="dxa"/>
            </w:tcMar>
          </w:tcPr>
          <w:p>
            <w:pPr>
              <w:spacing w:after="0" w:line="240" w:lineRule="auto"/>
              <w:jc w:val="center"/>
            </w:pPr>
            <w:r>
              <w:rPr>
                <w:rFonts w:ascii="Calibri" w:hAnsi="Calibri"/>
                <w:color w:val="202124"/>
                <w:sz w:val="18"/>
              </w:rPr>
              <w:t>27.9%</w:t>
            </w:r>
          </w:p>
        </w:tc>
        <w:tc>
          <w:tcPr>
            <w:tcW w:type="dxa" w:w="2060"/>
            <w:vAlign w:val="center"/>
            <w:tcMar>
              <w:top w:w="90" w:type="dxa"/>
              <w:bottom w:w="90" w:type="dxa"/>
              <w:start w:w="120" w:type="dxa"/>
              <w:end w:w="120" w:type="dxa"/>
            </w:tcMar>
          </w:tcPr>
          <w:p>
            <w:pPr>
              <w:spacing w:after="0" w:line="240" w:lineRule="auto"/>
              <w:jc w:val="center"/>
            </w:pPr>
            <w:r>
              <w:rPr>
                <w:rFonts w:ascii="Calibri" w:hAnsi="Calibri"/>
                <w:color w:val="202124"/>
                <w:sz w:val="18"/>
              </w:rPr>
              <w:t>Frustration</w:t>
            </w:r>
          </w:p>
        </w:tc>
      </w:tr>
      <w:tr>
        <w:trPr/>
        <w:tc>
          <w:tcPr>
            <w:tcW w:type="dxa" w:w="380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Jobs and economic impact</w:t>
            </w:r>
          </w:p>
        </w:tc>
        <w:tc>
          <w:tcPr>
            <w:tcW w:type="dxa" w:w="1100"/>
            <w:vAlign w:val="center"/>
            <w:shd w:fill="FAFBFC"/>
            <w:tcMar>
              <w:top w:w="90" w:type="dxa"/>
              <w:bottom w:w="90" w:type="dxa"/>
              <w:start w:w="120" w:type="dxa"/>
              <w:end w:w="120" w:type="dxa"/>
            </w:tcMar>
          </w:tcPr>
          <w:p>
            <w:pPr>
              <w:spacing w:after="0" w:line="240" w:lineRule="auto"/>
              <w:jc w:val="center"/>
            </w:pPr>
            <w:r>
              <w:rPr>
                <w:rFonts w:ascii="Calibri" w:hAnsi="Calibri"/>
                <w:color w:val="202124"/>
                <w:sz w:val="18"/>
              </w:rPr>
              <w:t>49</w:t>
            </w:r>
          </w:p>
        </w:tc>
        <w:tc>
          <w:tcPr>
            <w:tcW w:type="dxa" w:w="1100"/>
            <w:vAlign w:val="center"/>
            <w:shd w:fill="FAFBFC"/>
            <w:tcMar>
              <w:top w:w="90" w:type="dxa"/>
              <w:bottom w:w="90" w:type="dxa"/>
              <w:start w:w="120" w:type="dxa"/>
              <w:end w:w="120" w:type="dxa"/>
            </w:tcMar>
          </w:tcPr>
          <w:p>
            <w:pPr>
              <w:spacing w:after="0" w:line="240" w:lineRule="auto"/>
              <w:jc w:val="center"/>
            </w:pPr>
            <w:r>
              <w:rPr>
                <w:rFonts w:ascii="Calibri" w:hAnsi="Calibri"/>
                <w:color w:val="202124"/>
                <w:sz w:val="18"/>
              </w:rPr>
              <w:t>1.7%</w:t>
            </w:r>
          </w:p>
        </w:tc>
        <w:tc>
          <w:tcPr>
            <w:tcW w:type="dxa" w:w="1300"/>
            <w:vAlign w:val="center"/>
            <w:shd w:fill="FAFBFC"/>
            <w:tcMar>
              <w:top w:w="90" w:type="dxa"/>
              <w:bottom w:w="90" w:type="dxa"/>
              <w:start w:w="120" w:type="dxa"/>
              <w:end w:w="120" w:type="dxa"/>
            </w:tcMar>
          </w:tcPr>
          <w:p>
            <w:pPr>
              <w:spacing w:after="0" w:line="240" w:lineRule="auto"/>
              <w:jc w:val="center"/>
            </w:pPr>
            <w:r>
              <w:rPr>
                <w:rFonts w:ascii="Calibri" w:hAnsi="Calibri"/>
                <w:color w:val="202124"/>
                <w:sz w:val="18"/>
              </w:rPr>
              <w:t>16.3%</w:t>
            </w:r>
          </w:p>
        </w:tc>
        <w:tc>
          <w:tcPr>
            <w:tcW w:type="dxa" w:w="2060"/>
            <w:vAlign w:val="center"/>
            <w:shd w:fill="FAFBFC"/>
            <w:tcMar>
              <w:top w:w="90" w:type="dxa"/>
              <w:bottom w:w="90" w:type="dxa"/>
              <w:start w:w="120" w:type="dxa"/>
              <w:end w:w="120" w:type="dxa"/>
            </w:tcMar>
          </w:tcPr>
          <w:p>
            <w:pPr>
              <w:spacing w:after="0" w:line="240" w:lineRule="auto"/>
              <w:jc w:val="center"/>
            </w:pPr>
            <w:r>
              <w:rPr>
                <w:rFonts w:ascii="Calibri" w:hAnsi="Calibri"/>
                <w:color w:val="202124"/>
                <w:sz w:val="18"/>
              </w:rPr>
              <w:t>Frustration</w:t>
            </w:r>
          </w:p>
        </w:tc>
      </w:tr>
    </w:tbl>
    <w:p>
      <w:pPr>
        <w:spacing w:after="40"/>
      </w:pPr>
    </w:p>
    <w:p>
      <w:r>
        <w:rPr>
          <w:rFonts w:ascii="Calibri" w:hAnsi="Calibri"/>
        </w:rPr>
        <w:t>Load shedding and reliability accounts for 63.6% of relevant comments, so service continuity dominates the public conversation. Renewable energy and solar has a smaller share (2.4%) but a comparatively positive profile (55.9% positive). Small topics must be interpreted cautiously because percentages can be unstable when comment counts are low.</w:t>
      </w:r>
    </w:p>
    <w:p>
      <w:r>
        <w:br w:type="page"/>
      </w:r>
    </w:p>
    <w:p>
      <w:pPr>
        <w:pStyle w:val="Heading1"/>
      </w:pPr>
      <w:r>
        <w:t>Model Evaluation</w:t>
      </w:r>
    </w:p>
    <w:p>
      <w:r>
        <w:rPr>
          <w:rFonts w:ascii="Calibri" w:hAnsi="Calibri"/>
        </w:rPr>
        <w:t>The relevant dataset was split using stratified sampling: 2,250 comments for training and 563 comments for held-out testing. The same corrected label distribution was maintained in both sets.</w:t>
      </w:r>
    </w:p>
    <w:p>
      <w:pPr>
        <w:keepNext/>
        <w:spacing w:before="40" w:after="40"/>
        <w:jc w:val="center"/>
      </w:pPr>
      <w:r>
        <w:drawing>
          <wp:inline xmlns:a="http://schemas.openxmlformats.org/drawingml/2006/main" xmlns:pic="http://schemas.openxmlformats.org/drawingml/2006/picture">
            <wp:extent cx="5669280" cy="3077609"/>
            <wp:docPr id="3" name="Picture 3" descr="Grouped bar chart comparing accuracy and weighted F1 for Naive Bayes, Logistic Regression, and SVM."/>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3077609"/>
                    </a:xfrm>
                    <a:prstGeom prst="rect"/>
                  </pic:spPr>
                </pic:pic>
              </a:graphicData>
            </a:graphic>
          </wp:inline>
        </w:drawing>
      </w:r>
    </w:p>
    <w:p>
      <w:pPr>
        <w:pStyle w:val="Caption"/>
        <w:jc w:val="center"/>
      </w:pPr>
      <w:r>
        <w:t>Figure 3. Held-out performance of the three TF-IDF baseline classifiers.</w:t>
      </w:r>
    </w:p>
    <w:tbl>
      <w:tblPr>
        <w:tblStyle w:val="TableGrid"/>
        <w:tblW w:type="dxa" w:w="9360"/>
        <w:jc w:val="left"/>
        <w:tblLayout w:type="fixed"/>
        <w:tblLook w:firstColumn="1" w:firstRow="1" w:lastColumn="0" w:lastRow="0" w:noHBand="0" w:noVBand="1" w:val="04A0"/>
        <w:tblInd w:type="dxa" w:w="120"/>
        <w:tblBorders>
          <w:top w:val="single" w:sz="6" w:color="D6D9DE"/>
          <w:left w:val="single" w:sz="6" w:color="D6D9DE"/>
          <w:bottom w:val="single" w:sz="6" w:color="D6D9DE"/>
          <w:right w:val="single" w:sz="6" w:color="D6D9DE"/>
          <w:insideH w:val="single" w:sz="6" w:color="D6D9DE"/>
          <w:insideV w:val="single" w:sz="6" w:color="D6D9DE"/>
        </w:tblBorders>
      </w:tblPr>
      <w:tblGrid>
        <w:gridCol w:w="2800"/>
        <w:gridCol w:w="1640"/>
        <w:gridCol w:w="1640"/>
        <w:gridCol w:w="1640"/>
        <w:gridCol w:w="1640"/>
      </w:tblGrid>
      <w:tr>
        <w:trPr>
          <w:tblHeader w:val="true"/>
        </w:trPr>
        <w:tc>
          <w:tcPr>
            <w:tcW w:type="dxa" w:w="2800"/>
            <w:shd w:fill="E8EEF5"/>
            <w:vAlign w:val="center"/>
            <w:tcMar>
              <w:top w:w="90" w:type="dxa"/>
              <w:bottom w:w="90" w:type="dxa"/>
              <w:start w:w="120" w:type="dxa"/>
              <w:end w:w="120" w:type="dxa"/>
            </w:tcMar>
          </w:tcPr>
          <w:p>
            <w:pPr>
              <w:spacing w:after="0" w:line="240" w:lineRule="auto"/>
              <w:jc w:val="left"/>
            </w:pPr>
            <w:r>
              <w:rPr>
                <w:rFonts w:ascii="Calibri" w:hAnsi="Calibri"/>
                <w:b/>
                <w:color w:val="203748"/>
                <w:sz w:val="19"/>
              </w:rPr>
              <w:t>Model</w:t>
            </w:r>
          </w:p>
        </w:tc>
        <w:tc>
          <w:tcPr>
            <w:tcW w:type="dxa" w:w="1640"/>
            <w:shd w:fill="E8EEF5"/>
            <w:vAlign w:val="center"/>
            <w:tcMar>
              <w:top w:w="90" w:type="dxa"/>
              <w:bottom w:w="90" w:type="dxa"/>
              <w:start w:w="120" w:type="dxa"/>
              <w:end w:w="120" w:type="dxa"/>
            </w:tcMar>
          </w:tcPr>
          <w:p>
            <w:pPr>
              <w:spacing w:after="0" w:line="240" w:lineRule="auto"/>
              <w:jc w:val="center"/>
            </w:pPr>
            <w:r>
              <w:rPr>
                <w:rFonts w:ascii="Calibri" w:hAnsi="Calibri"/>
                <w:b/>
                <w:color w:val="203748"/>
                <w:sz w:val="19"/>
              </w:rPr>
              <w:t>Accuracy</w:t>
            </w:r>
          </w:p>
        </w:tc>
        <w:tc>
          <w:tcPr>
            <w:tcW w:type="dxa" w:w="1640"/>
            <w:shd w:fill="E8EEF5"/>
            <w:vAlign w:val="center"/>
            <w:tcMar>
              <w:top w:w="90" w:type="dxa"/>
              <w:bottom w:w="90" w:type="dxa"/>
              <w:start w:w="120" w:type="dxa"/>
              <w:end w:w="120" w:type="dxa"/>
            </w:tcMar>
          </w:tcPr>
          <w:p>
            <w:pPr>
              <w:spacing w:after="0" w:line="240" w:lineRule="auto"/>
              <w:jc w:val="center"/>
            </w:pPr>
            <w:r>
              <w:rPr>
                <w:rFonts w:ascii="Calibri" w:hAnsi="Calibri"/>
                <w:b/>
                <w:color w:val="203748"/>
                <w:sz w:val="19"/>
              </w:rPr>
              <w:t>Precision</w:t>
            </w:r>
          </w:p>
        </w:tc>
        <w:tc>
          <w:tcPr>
            <w:tcW w:type="dxa" w:w="1640"/>
            <w:shd w:fill="E8EEF5"/>
            <w:vAlign w:val="center"/>
            <w:tcMar>
              <w:top w:w="90" w:type="dxa"/>
              <w:bottom w:w="90" w:type="dxa"/>
              <w:start w:w="120" w:type="dxa"/>
              <w:end w:w="120" w:type="dxa"/>
            </w:tcMar>
          </w:tcPr>
          <w:p>
            <w:pPr>
              <w:spacing w:after="0" w:line="240" w:lineRule="auto"/>
              <w:jc w:val="center"/>
            </w:pPr>
            <w:r>
              <w:rPr>
                <w:rFonts w:ascii="Calibri" w:hAnsi="Calibri"/>
                <w:b/>
                <w:color w:val="203748"/>
                <w:sz w:val="19"/>
              </w:rPr>
              <w:t>Recall</w:t>
            </w:r>
          </w:p>
        </w:tc>
        <w:tc>
          <w:tcPr>
            <w:tcW w:type="dxa" w:w="1640"/>
            <w:shd w:fill="E8EEF5"/>
            <w:vAlign w:val="center"/>
            <w:tcMar>
              <w:top w:w="90" w:type="dxa"/>
              <w:bottom w:w="90" w:type="dxa"/>
              <w:start w:w="120" w:type="dxa"/>
              <w:end w:w="120" w:type="dxa"/>
            </w:tcMar>
          </w:tcPr>
          <w:p>
            <w:pPr>
              <w:spacing w:after="0" w:line="240" w:lineRule="auto"/>
              <w:jc w:val="center"/>
            </w:pPr>
            <w:r>
              <w:rPr>
                <w:rFonts w:ascii="Calibri" w:hAnsi="Calibri"/>
                <w:b/>
                <w:color w:val="203748"/>
                <w:sz w:val="19"/>
              </w:rPr>
              <w:t>Weighted F1</w:t>
            </w:r>
          </w:p>
        </w:tc>
      </w:tr>
      <w:tr>
        <w:trPr/>
        <w:tc>
          <w:tcPr>
            <w:tcW w:type="dxa" w:w="2800"/>
            <w:vAlign w:val="center"/>
            <w:tcMar>
              <w:top w:w="90" w:type="dxa"/>
              <w:bottom w:w="90" w:type="dxa"/>
              <w:start w:w="120" w:type="dxa"/>
              <w:end w:w="120" w:type="dxa"/>
            </w:tcMar>
          </w:tcPr>
          <w:p>
            <w:pPr>
              <w:spacing w:after="0" w:line="240" w:lineRule="auto"/>
              <w:jc w:val="left"/>
            </w:pPr>
            <w:r>
              <w:rPr>
                <w:rFonts w:ascii="Calibri" w:hAnsi="Calibri"/>
                <w:color w:val="202124"/>
                <w:sz w:val="18"/>
              </w:rPr>
              <w:t>Naive Bayes</w:t>
            </w:r>
          </w:p>
        </w:tc>
        <w:tc>
          <w:tcPr>
            <w:tcW w:type="dxa" w:w="1640"/>
            <w:vAlign w:val="center"/>
            <w:tcMar>
              <w:top w:w="90" w:type="dxa"/>
              <w:bottom w:w="90" w:type="dxa"/>
              <w:start w:w="120" w:type="dxa"/>
              <w:end w:w="120" w:type="dxa"/>
            </w:tcMar>
          </w:tcPr>
          <w:p>
            <w:pPr>
              <w:spacing w:after="0" w:line="240" w:lineRule="auto"/>
              <w:jc w:val="center"/>
            </w:pPr>
            <w:r>
              <w:rPr>
                <w:rFonts w:ascii="Calibri" w:hAnsi="Calibri"/>
                <w:color w:val="202124"/>
                <w:sz w:val="18"/>
              </w:rPr>
              <w:t>55.1%</w:t>
            </w:r>
          </w:p>
        </w:tc>
        <w:tc>
          <w:tcPr>
            <w:tcW w:type="dxa" w:w="1640"/>
            <w:vAlign w:val="center"/>
            <w:tcMar>
              <w:top w:w="90" w:type="dxa"/>
              <w:bottom w:w="90" w:type="dxa"/>
              <w:start w:w="120" w:type="dxa"/>
              <w:end w:w="120" w:type="dxa"/>
            </w:tcMar>
          </w:tcPr>
          <w:p>
            <w:pPr>
              <w:spacing w:after="0" w:line="240" w:lineRule="auto"/>
              <w:jc w:val="center"/>
            </w:pPr>
            <w:r>
              <w:rPr>
                <w:rFonts w:ascii="Calibri" w:hAnsi="Calibri"/>
                <w:color w:val="202124"/>
                <w:sz w:val="18"/>
              </w:rPr>
              <w:t>59.8%</w:t>
            </w:r>
          </w:p>
        </w:tc>
        <w:tc>
          <w:tcPr>
            <w:tcW w:type="dxa" w:w="1640"/>
            <w:vAlign w:val="center"/>
            <w:tcMar>
              <w:top w:w="90" w:type="dxa"/>
              <w:bottom w:w="90" w:type="dxa"/>
              <w:start w:w="120" w:type="dxa"/>
              <w:end w:w="120" w:type="dxa"/>
            </w:tcMar>
          </w:tcPr>
          <w:p>
            <w:pPr>
              <w:spacing w:after="0" w:line="240" w:lineRule="auto"/>
              <w:jc w:val="center"/>
            </w:pPr>
            <w:r>
              <w:rPr>
                <w:rFonts w:ascii="Calibri" w:hAnsi="Calibri"/>
                <w:color w:val="202124"/>
                <w:sz w:val="18"/>
              </w:rPr>
              <w:t>55.1%</w:t>
            </w:r>
          </w:p>
        </w:tc>
        <w:tc>
          <w:tcPr>
            <w:tcW w:type="dxa" w:w="1640"/>
            <w:vAlign w:val="center"/>
            <w:tcMar>
              <w:top w:w="90" w:type="dxa"/>
              <w:bottom w:w="90" w:type="dxa"/>
              <w:start w:w="120" w:type="dxa"/>
              <w:end w:w="120" w:type="dxa"/>
            </w:tcMar>
          </w:tcPr>
          <w:p>
            <w:pPr>
              <w:spacing w:after="0" w:line="240" w:lineRule="auto"/>
              <w:jc w:val="center"/>
            </w:pPr>
            <w:r>
              <w:rPr>
                <w:rFonts w:ascii="Calibri" w:hAnsi="Calibri"/>
                <w:color w:val="202124"/>
                <w:sz w:val="18"/>
              </w:rPr>
              <w:t>53.7%</w:t>
            </w:r>
          </w:p>
        </w:tc>
      </w:tr>
      <w:tr>
        <w:trPr/>
        <w:tc>
          <w:tcPr>
            <w:tcW w:type="dxa" w:w="280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Logistic Regression</w:t>
            </w:r>
          </w:p>
        </w:tc>
        <w:tc>
          <w:tcPr>
            <w:tcW w:type="dxa" w:w="1640"/>
            <w:vAlign w:val="center"/>
            <w:shd w:fill="FAFBFC"/>
            <w:tcMar>
              <w:top w:w="90" w:type="dxa"/>
              <w:bottom w:w="90" w:type="dxa"/>
              <w:start w:w="120" w:type="dxa"/>
              <w:end w:w="120" w:type="dxa"/>
            </w:tcMar>
          </w:tcPr>
          <w:p>
            <w:pPr>
              <w:spacing w:after="0" w:line="240" w:lineRule="auto"/>
              <w:jc w:val="center"/>
            </w:pPr>
            <w:r>
              <w:rPr>
                <w:rFonts w:ascii="Calibri" w:hAnsi="Calibri"/>
                <w:color w:val="202124"/>
                <w:sz w:val="18"/>
              </w:rPr>
              <w:t>58.3%</w:t>
            </w:r>
          </w:p>
        </w:tc>
        <w:tc>
          <w:tcPr>
            <w:tcW w:type="dxa" w:w="1640"/>
            <w:vAlign w:val="center"/>
            <w:shd w:fill="FAFBFC"/>
            <w:tcMar>
              <w:top w:w="90" w:type="dxa"/>
              <w:bottom w:w="90" w:type="dxa"/>
              <w:start w:w="120" w:type="dxa"/>
              <w:end w:w="120" w:type="dxa"/>
            </w:tcMar>
          </w:tcPr>
          <w:p>
            <w:pPr>
              <w:spacing w:after="0" w:line="240" w:lineRule="auto"/>
              <w:jc w:val="center"/>
            </w:pPr>
            <w:r>
              <w:rPr>
                <w:rFonts w:ascii="Calibri" w:hAnsi="Calibri"/>
                <w:color w:val="202124"/>
                <w:sz w:val="18"/>
              </w:rPr>
              <w:t>59.1%</w:t>
            </w:r>
          </w:p>
        </w:tc>
        <w:tc>
          <w:tcPr>
            <w:tcW w:type="dxa" w:w="1640"/>
            <w:vAlign w:val="center"/>
            <w:shd w:fill="FAFBFC"/>
            <w:tcMar>
              <w:top w:w="90" w:type="dxa"/>
              <w:bottom w:w="90" w:type="dxa"/>
              <w:start w:w="120" w:type="dxa"/>
              <w:end w:w="120" w:type="dxa"/>
            </w:tcMar>
          </w:tcPr>
          <w:p>
            <w:pPr>
              <w:spacing w:after="0" w:line="240" w:lineRule="auto"/>
              <w:jc w:val="center"/>
            </w:pPr>
            <w:r>
              <w:rPr>
                <w:rFonts w:ascii="Calibri" w:hAnsi="Calibri"/>
                <w:color w:val="202124"/>
                <w:sz w:val="18"/>
              </w:rPr>
              <w:t>58.3%</w:t>
            </w:r>
          </w:p>
        </w:tc>
        <w:tc>
          <w:tcPr>
            <w:tcW w:type="dxa" w:w="1640"/>
            <w:vAlign w:val="center"/>
            <w:shd w:fill="FAFBFC"/>
            <w:tcMar>
              <w:top w:w="90" w:type="dxa"/>
              <w:bottom w:w="90" w:type="dxa"/>
              <w:start w:w="120" w:type="dxa"/>
              <w:end w:w="120" w:type="dxa"/>
            </w:tcMar>
          </w:tcPr>
          <w:p>
            <w:pPr>
              <w:spacing w:after="0" w:line="240" w:lineRule="auto"/>
              <w:jc w:val="center"/>
            </w:pPr>
            <w:r>
              <w:rPr>
                <w:rFonts w:ascii="Calibri" w:hAnsi="Calibri"/>
                <w:color w:val="202124"/>
                <w:sz w:val="18"/>
              </w:rPr>
              <w:t>58.0%</w:t>
            </w:r>
          </w:p>
        </w:tc>
      </w:tr>
      <w:tr>
        <w:trPr/>
        <w:tc>
          <w:tcPr>
            <w:tcW w:type="dxa" w:w="2800"/>
            <w:vAlign w:val="center"/>
            <w:tcMar>
              <w:top w:w="90" w:type="dxa"/>
              <w:bottom w:w="90" w:type="dxa"/>
              <w:start w:w="120" w:type="dxa"/>
              <w:end w:w="120" w:type="dxa"/>
            </w:tcMar>
          </w:tcPr>
          <w:p>
            <w:pPr>
              <w:spacing w:after="0" w:line="240" w:lineRule="auto"/>
              <w:jc w:val="left"/>
            </w:pPr>
            <w:r>
              <w:rPr>
                <w:rFonts w:ascii="Calibri" w:hAnsi="Calibri"/>
                <w:color w:val="202124"/>
                <w:sz w:val="18"/>
              </w:rPr>
              <w:t>SVM</w:t>
            </w:r>
          </w:p>
        </w:tc>
        <w:tc>
          <w:tcPr>
            <w:tcW w:type="dxa" w:w="1640"/>
            <w:vAlign w:val="center"/>
            <w:tcMar>
              <w:top w:w="90" w:type="dxa"/>
              <w:bottom w:w="90" w:type="dxa"/>
              <w:start w:w="120" w:type="dxa"/>
              <w:end w:w="120" w:type="dxa"/>
            </w:tcMar>
          </w:tcPr>
          <w:p>
            <w:pPr>
              <w:spacing w:after="0" w:line="240" w:lineRule="auto"/>
              <w:jc w:val="center"/>
            </w:pPr>
            <w:r>
              <w:rPr>
                <w:rFonts w:ascii="Calibri" w:hAnsi="Calibri"/>
                <w:color w:val="202124"/>
                <w:sz w:val="18"/>
              </w:rPr>
              <w:t>58.4%</w:t>
            </w:r>
          </w:p>
        </w:tc>
        <w:tc>
          <w:tcPr>
            <w:tcW w:type="dxa" w:w="1640"/>
            <w:vAlign w:val="center"/>
            <w:tcMar>
              <w:top w:w="90" w:type="dxa"/>
              <w:bottom w:w="90" w:type="dxa"/>
              <w:start w:w="120" w:type="dxa"/>
              <w:end w:w="120" w:type="dxa"/>
            </w:tcMar>
          </w:tcPr>
          <w:p>
            <w:pPr>
              <w:spacing w:after="0" w:line="240" w:lineRule="auto"/>
              <w:jc w:val="center"/>
            </w:pPr>
            <w:r>
              <w:rPr>
                <w:rFonts w:ascii="Calibri" w:hAnsi="Calibri"/>
                <w:color w:val="202124"/>
                <w:sz w:val="18"/>
              </w:rPr>
              <w:t>58.8%</w:t>
            </w:r>
          </w:p>
        </w:tc>
        <w:tc>
          <w:tcPr>
            <w:tcW w:type="dxa" w:w="1640"/>
            <w:vAlign w:val="center"/>
            <w:tcMar>
              <w:top w:w="90" w:type="dxa"/>
              <w:bottom w:w="90" w:type="dxa"/>
              <w:start w:w="120" w:type="dxa"/>
              <w:end w:w="120" w:type="dxa"/>
            </w:tcMar>
          </w:tcPr>
          <w:p>
            <w:pPr>
              <w:spacing w:after="0" w:line="240" w:lineRule="auto"/>
              <w:jc w:val="center"/>
            </w:pPr>
            <w:r>
              <w:rPr>
                <w:rFonts w:ascii="Calibri" w:hAnsi="Calibri"/>
                <w:color w:val="202124"/>
                <w:sz w:val="18"/>
              </w:rPr>
              <w:t>58.4%</w:t>
            </w:r>
          </w:p>
        </w:tc>
        <w:tc>
          <w:tcPr>
            <w:tcW w:type="dxa" w:w="1640"/>
            <w:vAlign w:val="center"/>
            <w:tcMar>
              <w:top w:w="90" w:type="dxa"/>
              <w:bottom w:w="90" w:type="dxa"/>
              <w:start w:w="120" w:type="dxa"/>
              <w:end w:w="120" w:type="dxa"/>
            </w:tcMar>
          </w:tcPr>
          <w:p>
            <w:pPr>
              <w:spacing w:after="0" w:line="240" w:lineRule="auto"/>
              <w:jc w:val="center"/>
            </w:pPr>
            <w:r>
              <w:rPr>
                <w:rFonts w:ascii="Calibri" w:hAnsi="Calibri"/>
                <w:color w:val="202124"/>
                <w:sz w:val="18"/>
              </w:rPr>
              <w:t>58.3%</w:t>
            </w:r>
          </w:p>
        </w:tc>
      </w:tr>
    </w:tbl>
    <w:p>
      <w:pPr>
        <w:spacing w:after="40"/>
      </w:pPr>
    </w:p>
    <w:p>
      <w:pPr>
        <w:keepLines/>
        <w:spacing w:before="140" w:after="180"/>
        <w:ind w:left="230" w:right="230"/>
        <w:shd w:fill="E8EEF5"/>
        <w:pBdr>
          <w:left w:val="single" w:sz="24" w:color="2E74B5" w:space="8"/>
        </w:pBdr>
      </w:pPr>
      <w:r>
        <w:rPr>
          <w:rFonts w:ascii="Calibri" w:hAnsi="Calibri"/>
          <w:b/>
          <w:color w:val="203748"/>
        </w:rPr>
        <w:t xml:space="preserve">Result: </w:t>
      </w:r>
      <w:r>
        <w:rPr>
          <w:rFonts w:ascii="Calibri" w:hAnsi="Calibri"/>
          <w:color w:val="202124"/>
        </w:rPr>
        <w:t>SVM is the strongest current baseline, but only narrowly ahead of Logistic Regression. The scores are moderate because the task uses noisy, code-switched social-media text and weak labels rather than a fully human-annotated gold standard.</w:t>
      </w:r>
    </w:p>
    <w:p>
      <w:pPr>
        <w:pStyle w:val="Heading2"/>
      </w:pPr>
      <w:r>
        <w:t>How to defend the score</w:t>
      </w:r>
    </w:p>
    <w:p>
      <w:pPr>
        <w:pStyle w:val="ListBullet"/>
      </w:pPr>
      <w:r>
        <w:t>Do not claim production-grade accuracy. Call the models transparent baselines within a prototype.</w:t>
      </w:r>
    </w:p>
    <w:p>
      <w:pPr>
        <w:pStyle w:val="ListBullet"/>
      </w:pPr>
      <w:r>
        <w:t>Explain that VADER provides reproducible weak supervision, while human annotation is the next validation step.</w:t>
      </w:r>
    </w:p>
    <w:p>
      <w:pPr>
        <w:pStyle w:val="ListBullet"/>
      </w:pPr>
      <w:r>
        <w:t>Use weighted F1 alongside accuracy because all three sentiment classes matter.</w:t>
      </w:r>
    </w:p>
    <w:p>
      <w:pPr>
        <w:pStyle w:val="ListBullet"/>
      </w:pPr>
      <w:r>
        <w:t>Emphasize the complete, auditable pipeline and local adaptation as the main contribution.</w:t>
      </w:r>
    </w:p>
    <w:p>
      <w:r>
        <w:br w:type="page"/>
      </w:r>
    </w:p>
    <w:p>
      <w:pPr>
        <w:pStyle w:val="Heading1"/>
      </w:pPr>
      <w:r>
        <w:t>Quality Correction Case Study</w:t>
      </w:r>
    </w:p>
    <w:p>
      <w:r>
        <w:rPr>
          <w:rFonts w:ascii="Calibri" w:hAnsi="Calibri"/>
        </w:rPr>
        <w:t>A manual review found that the following complaint had previously appeared as positive:</w:t>
      </w:r>
    </w:p>
    <w:p>
      <w:pPr>
        <w:keepLines/>
        <w:spacing w:before="140" w:after="180"/>
        <w:ind w:left="230" w:right="230"/>
        <w:shd w:fill="FFF7E1"/>
        <w:pBdr>
          <w:left w:val="single" w:sz="24" w:color="9A7218" w:space="8"/>
        </w:pBdr>
      </w:pPr>
      <w:r>
        <w:rPr>
          <w:rFonts w:ascii="Calibri" w:hAnsi="Calibri"/>
          <w:b/>
          <w:color w:val="203748"/>
        </w:rPr>
        <w:t xml:space="preserve">Reviewed comment: </w:t>
      </w:r>
      <w:r>
        <w:rPr>
          <w:rFonts w:ascii="Calibri" w:hAnsi="Calibri"/>
          <w:color w:val="202124"/>
        </w:rPr>
        <w:t>"In case your calendars are not working properly today is first October 2024, we don't want to hear stories about the stabilization of power Ba Zesco Ltd because yesterday we didn't have power."</w:t>
      </w:r>
    </w:p>
    <w:tbl>
      <w:tblPr>
        <w:tblStyle w:val="TableGrid"/>
        <w:tblW w:type="dxa" w:w="9360"/>
        <w:jc w:val="left"/>
        <w:tblLayout w:type="fixed"/>
        <w:tblLook w:firstColumn="1" w:firstRow="1" w:lastColumn="0" w:lastRow="0" w:noHBand="0" w:noVBand="1" w:val="04A0"/>
        <w:tblInd w:type="dxa" w:w="120"/>
        <w:tblBorders>
          <w:top w:val="single" w:sz="6" w:color="D6D9DE"/>
          <w:left w:val="single" w:sz="6" w:color="D6D9DE"/>
          <w:bottom w:val="single" w:sz="6" w:color="D6D9DE"/>
          <w:right w:val="single" w:sz="6" w:color="D6D9DE"/>
          <w:insideH w:val="single" w:sz="6" w:color="D6D9DE"/>
          <w:insideV w:val="single" w:sz="6" w:color="D6D9DE"/>
        </w:tblBorders>
      </w:tblPr>
      <w:tblGrid>
        <w:gridCol w:w="2200"/>
        <w:gridCol w:w="4800"/>
        <w:gridCol w:w="2360"/>
      </w:tblGrid>
      <w:tr>
        <w:trPr>
          <w:tblHeader w:val="true"/>
        </w:trPr>
        <w:tc>
          <w:tcPr>
            <w:tcW w:type="dxa" w:w="2200"/>
            <w:shd w:fill="E8EEF5"/>
            <w:vAlign w:val="center"/>
            <w:tcMar>
              <w:top w:w="90" w:type="dxa"/>
              <w:bottom w:w="90" w:type="dxa"/>
              <w:start w:w="120" w:type="dxa"/>
              <w:end w:w="120" w:type="dxa"/>
            </w:tcMar>
          </w:tcPr>
          <w:p>
            <w:pPr>
              <w:spacing w:after="0" w:line="240" w:lineRule="auto"/>
              <w:jc w:val="left"/>
            </w:pPr>
            <w:r>
              <w:rPr>
                <w:rFonts w:ascii="Calibri" w:hAnsi="Calibri"/>
                <w:b/>
                <w:color w:val="203748"/>
                <w:sz w:val="19"/>
              </w:rPr>
              <w:t>Stage</w:t>
            </w:r>
          </w:p>
        </w:tc>
        <w:tc>
          <w:tcPr>
            <w:tcW w:type="dxa" w:w="4800"/>
            <w:shd w:fill="E8EEF5"/>
            <w:vAlign w:val="center"/>
            <w:tcMar>
              <w:top w:w="90" w:type="dxa"/>
              <w:bottom w:w="90" w:type="dxa"/>
              <w:start w:w="120" w:type="dxa"/>
              <w:end w:w="120" w:type="dxa"/>
            </w:tcMar>
          </w:tcPr>
          <w:p>
            <w:pPr>
              <w:spacing w:after="0" w:line="240" w:lineRule="auto"/>
              <w:jc w:val="left"/>
            </w:pPr>
            <w:r>
              <w:rPr>
                <w:rFonts w:ascii="Calibri" w:hAnsi="Calibri"/>
                <w:b/>
                <w:color w:val="203748"/>
                <w:sz w:val="19"/>
              </w:rPr>
              <w:t>Text signal</w:t>
            </w:r>
          </w:p>
        </w:tc>
        <w:tc>
          <w:tcPr>
            <w:tcW w:type="dxa" w:w="2360"/>
            <w:shd w:fill="E8EEF5"/>
            <w:vAlign w:val="center"/>
            <w:tcMar>
              <w:top w:w="90" w:type="dxa"/>
              <w:bottom w:w="90" w:type="dxa"/>
              <w:start w:w="120" w:type="dxa"/>
              <w:end w:w="120" w:type="dxa"/>
            </w:tcMar>
          </w:tcPr>
          <w:p>
            <w:pPr>
              <w:spacing w:after="0" w:line="240" w:lineRule="auto"/>
              <w:jc w:val="left"/>
            </w:pPr>
            <w:r>
              <w:rPr>
                <w:rFonts w:ascii="Calibri" w:hAnsi="Calibri"/>
                <w:b/>
                <w:color w:val="203748"/>
                <w:sz w:val="19"/>
              </w:rPr>
              <w:t>Result</w:t>
            </w:r>
          </w:p>
        </w:tc>
      </w:tr>
      <w:tr>
        <w:trPr/>
        <w:tc>
          <w:tcPr>
            <w:tcW w:type="dxa" w:w="2200"/>
            <w:vAlign w:val="center"/>
            <w:tcMar>
              <w:top w:w="90" w:type="dxa"/>
              <w:bottom w:w="90" w:type="dxa"/>
              <w:start w:w="120" w:type="dxa"/>
              <w:end w:w="120" w:type="dxa"/>
            </w:tcMar>
          </w:tcPr>
          <w:p>
            <w:pPr>
              <w:spacing w:after="0" w:line="240" w:lineRule="auto"/>
              <w:jc w:val="left"/>
            </w:pPr>
            <w:r>
              <w:rPr>
                <w:rFonts w:ascii="Calibri" w:hAnsi="Calibri"/>
                <w:color w:val="202124"/>
                <w:sz w:val="18"/>
              </w:rPr>
              <w:t>Before correction</w:t>
            </w:r>
          </w:p>
        </w:tc>
        <w:tc>
          <w:tcPr>
            <w:tcW w:type="dxa" w:w="4800"/>
            <w:vAlign w:val="center"/>
            <w:tcMar>
              <w:top w:w="90" w:type="dxa"/>
              <w:bottom w:w="90" w:type="dxa"/>
              <w:start w:w="120" w:type="dxa"/>
              <w:end w:w="120" w:type="dxa"/>
            </w:tcMar>
          </w:tcPr>
          <w:p>
            <w:pPr>
              <w:spacing w:after="0" w:line="240" w:lineRule="auto"/>
              <w:jc w:val="left"/>
            </w:pPr>
            <w:r>
              <w:rPr>
                <w:rFonts w:ascii="Calibri" w:hAnsi="Calibri"/>
                <w:color w:val="202124"/>
                <w:sz w:val="18"/>
              </w:rPr>
              <w:t>Processed text changed contractions to "don t" and "didn t"; VADER mainly retained "properly".</w:t>
            </w:r>
          </w:p>
        </w:tc>
        <w:tc>
          <w:tcPr>
            <w:tcW w:type="dxa" w:w="2360"/>
            <w:vAlign w:val="center"/>
            <w:tcMar>
              <w:top w:w="90" w:type="dxa"/>
              <w:bottom w:w="90" w:type="dxa"/>
              <w:start w:w="120" w:type="dxa"/>
              <w:end w:w="120" w:type="dxa"/>
            </w:tcMar>
          </w:tcPr>
          <w:p>
            <w:pPr>
              <w:spacing w:after="0" w:line="240" w:lineRule="auto"/>
              <w:jc w:val="left"/>
            </w:pPr>
            <w:r>
              <w:rPr>
                <w:rFonts w:ascii="Calibri" w:hAnsi="Calibri"/>
                <w:color w:val="202124"/>
                <w:sz w:val="18"/>
              </w:rPr>
              <w:t>Compound +0.0772; positive</w:t>
            </w:r>
          </w:p>
        </w:tc>
      </w:tr>
      <w:tr>
        <w:trPr/>
        <w:tc>
          <w:tcPr>
            <w:tcW w:type="dxa" w:w="220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After correction</w:t>
            </w:r>
          </w:p>
        </w:tc>
        <w:tc>
          <w:tcPr>
            <w:tcW w:type="dxa" w:w="480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Readable sentence preserves "don't want" and "didn't have power".</w:t>
            </w:r>
          </w:p>
        </w:tc>
        <w:tc>
          <w:tcPr>
            <w:tcW w:type="dxa" w:w="236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Compound -0.0572; negative</w:t>
            </w:r>
          </w:p>
        </w:tc>
      </w:tr>
    </w:tbl>
    <w:p>
      <w:pPr>
        <w:spacing w:after="40"/>
      </w:pPr>
    </w:p>
    <w:p>
      <w:pPr>
        <w:pStyle w:val="Heading2"/>
      </w:pPr>
      <w:r>
        <w:t>Root cause and fix</w:t>
      </w:r>
    </w:p>
    <w:p>
      <w:pPr>
        <w:pStyle w:val="ListBullet"/>
      </w:pPr>
      <w:r>
        <w:t>Root cause: rule-based VADER scoring received stopword-removed, lemmatized text.</w:t>
      </w:r>
    </w:p>
    <w:p>
      <w:pPr>
        <w:pStyle w:val="ListBullet"/>
      </w:pPr>
      <w:r>
        <w:t>Why it failed: cleaning split contractions and removed the grammatical context required for negation.</w:t>
      </w:r>
    </w:p>
    <w:p>
      <w:pPr>
        <w:pStyle w:val="ListBullet"/>
      </w:pPr>
      <w:r>
        <w:t>Fix: VADER, sarcasm, emotion, and relevance now prefer text_raw/text/text_clean; processed_text remains available only for TF-IDF models.</w:t>
      </w:r>
    </w:p>
    <w:p>
      <w:pPr>
        <w:pStyle w:val="ListBullet"/>
      </w:pPr>
      <w:r>
        <w:t>Verification: regression tests cover the exact negated outage pattern and the live URL pipeline.</w:t>
      </w:r>
    </w:p>
    <w:p>
      <w:pPr>
        <w:pStyle w:val="ListBullet"/>
      </w:pPr>
      <w:r>
        <w:t>Data repair: all 4,135 stored comments, saved URL outputs, the train/test split, and model artifacts were regenerated.</w:t>
      </w:r>
    </w:p>
    <w:p>
      <w:pPr>
        <w:keepLines/>
        <w:spacing w:before="140" w:after="180"/>
        <w:ind w:left="230" w:right="230"/>
        <w:shd w:fill="E8EEF5"/>
        <w:pBdr>
          <w:left w:val="single" w:sz="24" w:color="2E74B5" w:space="8"/>
        </w:pBdr>
      </w:pPr>
      <w:r>
        <w:rPr>
          <w:rFonts w:ascii="Calibri" w:hAnsi="Calibri"/>
          <w:b/>
          <w:color w:val="203748"/>
        </w:rPr>
        <w:t xml:space="preserve">Defence framing: </w:t>
      </w:r>
      <w:r>
        <w:rPr>
          <w:rFonts w:ascii="Calibri" w:hAnsi="Calibri"/>
          <w:color w:val="202124"/>
        </w:rPr>
        <w:t>This is evidence of validation, not a hidden failure. Manual error analysis exposed a preprocessing assumption, the cause was isolated, the rule was corrected, tests were added, and every dependent result was rebuilt.</w:t>
      </w:r>
    </w:p>
    <w:p>
      <w:r>
        <w:br w:type="page"/>
      </w:r>
    </w:p>
    <w:p>
      <w:pPr>
        <w:pStyle w:val="Heading1"/>
      </w:pPr>
      <w:r>
        <w:t>Dashboard Demonstration</w:t>
      </w:r>
    </w:p>
    <w:p>
      <w:r>
        <w:rPr>
          <w:rFonts w:ascii="Calibri" w:hAnsi="Calibri"/>
        </w:rPr>
        <w:t>The dashboard is deliberately focused on end users. It no longer displays the research dataset or cumulative saved analyses. Every result shown comes from the public URL analyzed in the current session.</w:t>
      </w:r>
    </w:p>
    <w:tbl>
      <w:tblPr>
        <w:tblStyle w:val="TableGrid"/>
        <w:tblW w:type="dxa" w:w="9360"/>
        <w:jc w:val="left"/>
        <w:tblLayout w:type="fixed"/>
        <w:tblLook w:firstColumn="1" w:firstRow="1" w:lastColumn="0" w:lastRow="0" w:noHBand="0" w:noVBand="1" w:val="04A0"/>
        <w:tblInd w:type="dxa" w:w="120"/>
        <w:tblBorders>
          <w:top w:val="single" w:sz="6" w:color="D6D9DE"/>
          <w:left w:val="single" w:sz="6" w:color="D6D9DE"/>
          <w:bottom w:val="single" w:sz="6" w:color="D6D9DE"/>
          <w:right w:val="single" w:sz="6" w:color="D6D9DE"/>
          <w:insideH w:val="single" w:sz="6" w:color="D6D9DE"/>
          <w:insideV w:val="single" w:sz="6" w:color="D6D9DE"/>
        </w:tblBorders>
      </w:tblPr>
      <w:tblGrid>
        <w:gridCol w:w="1500"/>
        <w:gridCol w:w="3160"/>
        <w:gridCol w:w="4700"/>
      </w:tblGrid>
      <w:tr>
        <w:trPr>
          <w:tblHeader w:val="true"/>
        </w:trPr>
        <w:tc>
          <w:tcPr>
            <w:tcW w:type="dxa" w:w="1500"/>
            <w:shd w:fill="E8EEF5"/>
            <w:vAlign w:val="center"/>
            <w:tcMar>
              <w:top w:w="90" w:type="dxa"/>
              <w:bottom w:w="90" w:type="dxa"/>
              <w:start w:w="120" w:type="dxa"/>
              <w:end w:w="120" w:type="dxa"/>
            </w:tcMar>
          </w:tcPr>
          <w:p>
            <w:pPr>
              <w:spacing w:after="0" w:line="240" w:lineRule="auto"/>
              <w:jc w:val="left"/>
            </w:pPr>
            <w:r>
              <w:rPr>
                <w:rFonts w:ascii="Calibri" w:hAnsi="Calibri"/>
                <w:b/>
                <w:color w:val="203748"/>
                <w:sz w:val="19"/>
              </w:rPr>
              <w:t>Tab</w:t>
            </w:r>
          </w:p>
        </w:tc>
        <w:tc>
          <w:tcPr>
            <w:tcW w:type="dxa" w:w="3160"/>
            <w:shd w:fill="E8EEF5"/>
            <w:vAlign w:val="center"/>
            <w:tcMar>
              <w:top w:w="90" w:type="dxa"/>
              <w:bottom w:w="90" w:type="dxa"/>
              <w:start w:w="120" w:type="dxa"/>
              <w:end w:w="120" w:type="dxa"/>
            </w:tcMar>
          </w:tcPr>
          <w:p>
            <w:pPr>
              <w:spacing w:after="0" w:line="240" w:lineRule="auto"/>
              <w:jc w:val="left"/>
            </w:pPr>
            <w:r>
              <w:rPr>
                <w:rFonts w:ascii="Calibri" w:hAnsi="Calibri"/>
                <w:b/>
                <w:color w:val="203748"/>
                <w:sz w:val="19"/>
              </w:rPr>
              <w:t>What to show</w:t>
            </w:r>
          </w:p>
        </w:tc>
        <w:tc>
          <w:tcPr>
            <w:tcW w:type="dxa" w:w="4700"/>
            <w:shd w:fill="E8EEF5"/>
            <w:vAlign w:val="center"/>
            <w:tcMar>
              <w:top w:w="90" w:type="dxa"/>
              <w:bottom w:w="90" w:type="dxa"/>
              <w:start w:w="120" w:type="dxa"/>
              <w:end w:w="120" w:type="dxa"/>
            </w:tcMar>
          </w:tcPr>
          <w:p>
            <w:pPr>
              <w:spacing w:after="0" w:line="240" w:lineRule="auto"/>
              <w:jc w:val="left"/>
            </w:pPr>
            <w:r>
              <w:rPr>
                <w:rFonts w:ascii="Calibri" w:hAnsi="Calibri"/>
                <w:b/>
                <w:color w:val="203748"/>
                <w:sz w:val="19"/>
              </w:rPr>
              <w:t>What to say</w:t>
            </w:r>
          </w:p>
        </w:tc>
      </w:tr>
      <w:tr>
        <w:trPr/>
        <w:tc>
          <w:tcPr>
            <w:tcW w:type="dxa" w:w="1500"/>
            <w:vAlign w:val="center"/>
            <w:tcMar>
              <w:top w:w="90" w:type="dxa"/>
              <w:bottom w:w="90" w:type="dxa"/>
              <w:start w:w="120" w:type="dxa"/>
              <w:end w:w="120" w:type="dxa"/>
            </w:tcMar>
          </w:tcPr>
          <w:p>
            <w:pPr>
              <w:spacing w:after="0" w:line="240" w:lineRule="auto"/>
              <w:jc w:val="left"/>
            </w:pPr>
            <w:r>
              <w:rPr>
                <w:rFonts w:ascii="Calibri" w:hAnsi="Calibri"/>
                <w:color w:val="202124"/>
                <w:sz w:val="18"/>
              </w:rPr>
              <w:t>Analyze URL</w:t>
            </w:r>
          </w:p>
        </w:tc>
        <w:tc>
          <w:tcPr>
            <w:tcW w:type="dxa" w:w="3160"/>
            <w:vAlign w:val="center"/>
            <w:tcMar>
              <w:top w:w="90" w:type="dxa"/>
              <w:bottom w:w="90" w:type="dxa"/>
              <w:start w:w="120" w:type="dxa"/>
              <w:end w:w="120" w:type="dxa"/>
            </w:tcMar>
          </w:tcPr>
          <w:p>
            <w:pPr>
              <w:spacing w:after="0" w:line="240" w:lineRule="auto"/>
              <w:jc w:val="left"/>
            </w:pPr>
            <w:r>
              <w:rPr>
                <w:rFonts w:ascii="Calibri" w:hAnsi="Calibri"/>
                <w:color w:val="202124"/>
                <w:sz w:val="18"/>
              </w:rPr>
              <w:t>URL field, comment limit, analyze button</w:t>
            </w:r>
          </w:p>
        </w:tc>
        <w:tc>
          <w:tcPr>
            <w:tcW w:type="dxa" w:w="4700"/>
            <w:vAlign w:val="center"/>
            <w:tcMar>
              <w:top w:w="90" w:type="dxa"/>
              <w:bottom w:w="90" w:type="dxa"/>
              <w:start w:w="120" w:type="dxa"/>
              <w:end w:w="120" w:type="dxa"/>
            </w:tcMar>
          </w:tcPr>
          <w:p>
            <w:pPr>
              <w:spacing w:after="0" w:line="240" w:lineRule="auto"/>
              <w:jc w:val="left"/>
            </w:pPr>
            <w:r>
              <w:rPr>
                <w:rFonts w:ascii="Calibri" w:hAnsi="Calibri"/>
                <w:color w:val="202124"/>
                <w:sz w:val="18"/>
              </w:rPr>
              <w:t>This is the only entry point and it appears first.</w:t>
            </w:r>
          </w:p>
        </w:tc>
      </w:tr>
      <w:tr>
        <w:trPr/>
        <w:tc>
          <w:tcPr>
            <w:tcW w:type="dxa" w:w="150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Overview</w:t>
            </w:r>
          </w:p>
        </w:tc>
        <w:tc>
          <w:tcPr>
            <w:tcW w:type="dxa" w:w="316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Key metrics, sentiment, emotions</w:t>
            </w:r>
          </w:p>
        </w:tc>
        <w:tc>
          <w:tcPr>
            <w:tcW w:type="dxa" w:w="470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This gives a fast summary of the current discussion.</w:t>
            </w:r>
          </w:p>
        </w:tc>
      </w:tr>
      <w:tr>
        <w:trPr/>
        <w:tc>
          <w:tcPr>
            <w:tcW w:type="dxa" w:w="1500"/>
            <w:vAlign w:val="center"/>
            <w:tcMar>
              <w:top w:w="90" w:type="dxa"/>
              <w:bottom w:w="90" w:type="dxa"/>
              <w:start w:w="120" w:type="dxa"/>
              <w:end w:w="120" w:type="dxa"/>
            </w:tcMar>
          </w:tcPr>
          <w:p>
            <w:pPr>
              <w:spacing w:after="0" w:line="240" w:lineRule="auto"/>
              <w:jc w:val="left"/>
            </w:pPr>
            <w:r>
              <w:rPr>
                <w:rFonts w:ascii="Calibri" w:hAnsi="Calibri"/>
                <w:color w:val="202124"/>
                <w:sz w:val="18"/>
              </w:rPr>
              <w:t>Trends</w:t>
            </w:r>
          </w:p>
        </w:tc>
        <w:tc>
          <w:tcPr>
            <w:tcW w:type="dxa" w:w="3160"/>
            <w:vAlign w:val="center"/>
            <w:tcMar>
              <w:top w:w="90" w:type="dxa"/>
              <w:bottom w:w="90" w:type="dxa"/>
              <w:start w:w="120" w:type="dxa"/>
              <w:end w:w="120" w:type="dxa"/>
            </w:tcMar>
          </w:tcPr>
          <w:p>
            <w:pPr>
              <w:spacing w:after="0" w:line="240" w:lineRule="auto"/>
              <w:jc w:val="left"/>
            </w:pPr>
            <w:r>
              <w:rPr>
                <w:rFonts w:ascii="Calibri" w:hAnsi="Calibri"/>
                <w:color w:val="202124"/>
                <w:sz w:val="18"/>
              </w:rPr>
              <w:t>Time grouping and movement</w:t>
            </w:r>
          </w:p>
        </w:tc>
        <w:tc>
          <w:tcPr>
            <w:tcW w:type="dxa" w:w="4700"/>
            <w:vAlign w:val="center"/>
            <w:tcMar>
              <w:top w:w="90" w:type="dxa"/>
              <w:bottom w:w="90" w:type="dxa"/>
              <w:start w:w="120" w:type="dxa"/>
              <w:end w:w="120" w:type="dxa"/>
            </w:tcMar>
          </w:tcPr>
          <w:p>
            <w:pPr>
              <w:spacing w:after="0" w:line="240" w:lineRule="auto"/>
              <w:jc w:val="left"/>
            </w:pPr>
            <w:r>
              <w:rPr>
                <w:rFonts w:ascii="Calibri" w:hAnsi="Calibri"/>
                <w:color w:val="202124"/>
                <w:sz w:val="18"/>
              </w:rPr>
              <w:t>Trends require valid timestamps and more than one period.</w:t>
            </w:r>
          </w:p>
        </w:tc>
      </w:tr>
      <w:tr>
        <w:trPr/>
        <w:tc>
          <w:tcPr>
            <w:tcW w:type="dxa" w:w="150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Topics</w:t>
            </w:r>
          </w:p>
        </w:tc>
        <w:tc>
          <w:tcPr>
            <w:tcW w:type="dxa" w:w="316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Topic table and example comments</w:t>
            </w:r>
          </w:p>
        </w:tc>
        <w:tc>
          <w:tcPr>
            <w:tcW w:type="dxa" w:w="470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The taxonomy is transparent and comments remain auditable.</w:t>
            </w:r>
          </w:p>
        </w:tc>
      </w:tr>
      <w:tr>
        <w:trPr/>
        <w:tc>
          <w:tcPr>
            <w:tcW w:type="dxa" w:w="1500"/>
            <w:vAlign w:val="center"/>
            <w:tcMar>
              <w:top w:w="90" w:type="dxa"/>
              <w:bottom w:w="90" w:type="dxa"/>
              <w:start w:w="120" w:type="dxa"/>
              <w:end w:w="120" w:type="dxa"/>
            </w:tcMar>
          </w:tcPr>
          <w:p>
            <w:pPr>
              <w:spacing w:after="0" w:line="240" w:lineRule="auto"/>
              <w:jc w:val="left"/>
            </w:pPr>
            <w:r>
              <w:rPr>
                <w:rFonts w:ascii="Calibri" w:hAnsi="Calibri"/>
                <w:color w:val="202124"/>
                <w:sz w:val="18"/>
              </w:rPr>
              <w:t>Report</w:t>
            </w:r>
          </w:p>
        </w:tc>
        <w:tc>
          <w:tcPr>
            <w:tcW w:type="dxa" w:w="3160"/>
            <w:vAlign w:val="center"/>
            <w:tcMar>
              <w:top w:w="90" w:type="dxa"/>
              <w:bottom w:w="90" w:type="dxa"/>
              <w:start w:w="120" w:type="dxa"/>
              <w:end w:w="120" w:type="dxa"/>
            </w:tcMar>
          </w:tcPr>
          <w:p>
            <w:pPr>
              <w:spacing w:after="0" w:line="240" w:lineRule="auto"/>
              <w:jc w:val="left"/>
            </w:pPr>
            <w:r>
              <w:rPr>
                <w:rFonts w:ascii="Calibri" w:hAnsi="Calibri"/>
                <w:color w:val="202124"/>
                <w:sz w:val="18"/>
              </w:rPr>
              <w:t>On-screen and downloadable report</w:t>
            </w:r>
          </w:p>
        </w:tc>
        <w:tc>
          <w:tcPr>
            <w:tcW w:type="dxa" w:w="4700"/>
            <w:vAlign w:val="center"/>
            <w:tcMar>
              <w:top w:w="90" w:type="dxa"/>
              <w:bottom w:w="90" w:type="dxa"/>
              <w:start w:w="120" w:type="dxa"/>
              <w:end w:w="120" w:type="dxa"/>
            </w:tcMar>
          </w:tcPr>
          <w:p>
            <w:pPr>
              <w:spacing w:after="0" w:line="240" w:lineRule="auto"/>
              <w:jc w:val="left"/>
            </w:pPr>
            <w:r>
              <w:rPr>
                <w:rFonts w:ascii="Calibri" w:hAnsi="Calibri"/>
                <w:color w:val="202124"/>
                <w:sz w:val="18"/>
              </w:rPr>
              <w:t>Recommendations are linked to evidence and include limitations.</w:t>
            </w:r>
          </w:p>
        </w:tc>
      </w:tr>
    </w:tbl>
    <w:p>
      <w:pPr>
        <w:spacing w:after="40"/>
      </w:pPr>
    </w:p>
    <w:p>
      <w:pPr>
        <w:pStyle w:val="Heading2"/>
      </w:pPr>
      <w:r>
        <w:t>A 90-second live demo</w:t>
      </w:r>
    </w:p>
    <w:p>
      <w:pPr>
        <w:pStyle w:val="ListNumber"/>
      </w:pPr>
      <w:r>
        <w:t>Open the dashboard at http://localhost:8501.</w:t>
      </w:r>
    </w:p>
    <w:p>
      <w:pPr>
        <w:pStyle w:val="ListNumber"/>
      </w:pPr>
      <w:r>
        <w:t>Paste a publicly accessible Facebook post URL and keep a modest comment limit for the demonstration.</w:t>
      </w:r>
    </w:p>
    <w:p>
      <w:pPr>
        <w:pStyle w:val="ListNumber"/>
      </w:pPr>
      <w:r>
        <w:t>Select Analyze public comments and wait for the fetched, analyzed, and energy-relevant totals.</w:t>
      </w:r>
    </w:p>
    <w:p>
      <w:pPr>
        <w:pStyle w:val="ListNumber"/>
      </w:pPr>
      <w:r>
        <w:t>Open Overview and state the dominant sentiment, leading topic, and leading emotion.</w:t>
      </w:r>
    </w:p>
    <w:p>
      <w:pPr>
        <w:pStyle w:val="ListNumber"/>
      </w:pPr>
      <w:r>
        <w:t>Open Topics, select the dominant topic, and show representative comments with their labels.</w:t>
      </w:r>
    </w:p>
    <w:p>
      <w:pPr>
        <w:pStyle w:val="ListNumber"/>
      </w:pPr>
      <w:r>
        <w:t>Open Report and download the stakeholder summary.</w:t>
      </w:r>
    </w:p>
    <w:p>
      <w:pPr>
        <w:pStyle w:val="ListNumber"/>
      </w:pPr>
      <w:r>
        <w:t>Close by stating that another URL replaces the current results; historical/research data remains developer-side.</w:t>
      </w:r>
    </w:p>
    <w:p>
      <w:pPr>
        <w:keepLines/>
        <w:spacing w:before="140" w:after="180"/>
        <w:ind w:left="230" w:right="230"/>
        <w:shd w:fill="FFF7E1"/>
        <w:pBdr>
          <w:left w:val="single" w:sz="24" w:color="9A7218" w:space="8"/>
        </w:pBdr>
      </w:pPr>
      <w:r>
        <w:rPr>
          <w:rFonts w:ascii="Calibri" w:hAnsi="Calibri"/>
          <w:b/>
          <w:color w:val="203748"/>
        </w:rPr>
        <w:t xml:space="preserve">Demo safeguard: </w:t>
      </w:r>
      <w:r>
        <w:rPr>
          <w:rFonts w:ascii="Calibri" w:hAnsi="Calibri"/>
          <w:color w:val="202124"/>
        </w:rPr>
        <w:t>Use a known public post and test network/API credentials before the defence. Keep one screenshot or exported report as a fallback if live collection is unavailable.</w:t>
      </w:r>
    </w:p>
    <w:p>
      <w:r>
        <w:br w:type="page"/>
      </w:r>
    </w:p>
    <w:p>
      <w:pPr>
        <w:pStyle w:val="Heading1"/>
      </w:pPr>
      <w:r>
        <w:t>Policy Interpretation And Limits</w:t>
      </w:r>
    </w:p>
    <w:p>
      <w:pPr>
        <w:pStyle w:val="Heading2"/>
      </w:pPr>
      <w:r>
        <w:t>Evidence-linked considerations</w:t>
      </w:r>
    </w:p>
    <w:tbl>
      <w:tblPr>
        <w:tblStyle w:val="TableGrid"/>
        <w:tblW w:type="dxa" w:w="9360"/>
        <w:jc w:val="left"/>
        <w:tblLayout w:type="fixed"/>
        <w:tblLook w:firstColumn="1" w:firstRow="1" w:lastColumn="0" w:lastRow="0" w:noHBand="0" w:noVBand="1" w:val="04A0"/>
        <w:tblInd w:type="dxa" w:w="120"/>
        <w:tblBorders>
          <w:top w:val="single" w:sz="6" w:color="D6D9DE"/>
          <w:left w:val="single" w:sz="6" w:color="D6D9DE"/>
          <w:bottom w:val="single" w:sz="6" w:color="D6D9DE"/>
          <w:right w:val="single" w:sz="6" w:color="D6D9DE"/>
          <w:insideH w:val="single" w:sz="6" w:color="D6D9DE"/>
          <w:insideV w:val="single" w:sz="6" w:color="D6D9DE"/>
        </w:tblBorders>
      </w:tblPr>
      <w:tblGrid>
        <w:gridCol w:w="2800"/>
        <w:gridCol w:w="2200"/>
        <w:gridCol w:w="4360"/>
      </w:tblGrid>
      <w:tr>
        <w:trPr>
          <w:tblHeader w:val="true"/>
        </w:trPr>
        <w:tc>
          <w:tcPr>
            <w:tcW w:type="dxa" w:w="2800"/>
            <w:shd w:fill="E8EEF5"/>
            <w:vAlign w:val="center"/>
            <w:tcMar>
              <w:top w:w="90" w:type="dxa"/>
              <w:bottom w:w="90" w:type="dxa"/>
              <w:start w:w="120" w:type="dxa"/>
              <w:end w:w="120" w:type="dxa"/>
            </w:tcMar>
          </w:tcPr>
          <w:p>
            <w:pPr>
              <w:spacing w:after="0" w:line="240" w:lineRule="auto"/>
              <w:jc w:val="left"/>
            </w:pPr>
            <w:r>
              <w:rPr>
                <w:rFonts w:ascii="Calibri" w:hAnsi="Calibri"/>
                <w:b/>
                <w:color w:val="203748"/>
                <w:sz w:val="19"/>
              </w:rPr>
              <w:t>Evidence area</w:t>
            </w:r>
          </w:p>
        </w:tc>
        <w:tc>
          <w:tcPr>
            <w:tcW w:type="dxa" w:w="2200"/>
            <w:shd w:fill="E8EEF5"/>
            <w:vAlign w:val="center"/>
            <w:tcMar>
              <w:top w:w="90" w:type="dxa"/>
              <w:bottom w:w="90" w:type="dxa"/>
              <w:start w:w="120" w:type="dxa"/>
              <w:end w:w="120" w:type="dxa"/>
            </w:tcMar>
          </w:tcPr>
          <w:p>
            <w:pPr>
              <w:spacing w:after="0" w:line="240" w:lineRule="auto"/>
              <w:jc w:val="left"/>
            </w:pPr>
            <w:r>
              <w:rPr>
                <w:rFonts w:ascii="Calibri" w:hAnsi="Calibri"/>
                <w:b/>
                <w:color w:val="203748"/>
                <w:sz w:val="19"/>
              </w:rPr>
              <w:t>Signal</w:t>
            </w:r>
          </w:p>
        </w:tc>
        <w:tc>
          <w:tcPr>
            <w:tcW w:type="dxa" w:w="4360"/>
            <w:shd w:fill="E8EEF5"/>
            <w:vAlign w:val="center"/>
            <w:tcMar>
              <w:top w:w="90" w:type="dxa"/>
              <w:bottom w:w="90" w:type="dxa"/>
              <w:start w:w="120" w:type="dxa"/>
              <w:end w:w="120" w:type="dxa"/>
            </w:tcMar>
          </w:tcPr>
          <w:p>
            <w:pPr>
              <w:spacing w:after="0" w:line="240" w:lineRule="auto"/>
              <w:jc w:val="left"/>
            </w:pPr>
            <w:r>
              <w:rPr>
                <w:rFonts w:ascii="Calibri" w:hAnsi="Calibri"/>
                <w:b/>
                <w:color w:val="203748"/>
                <w:sz w:val="19"/>
              </w:rPr>
              <w:t>Recommended communication response</w:t>
            </w:r>
          </w:p>
        </w:tc>
      </w:tr>
      <w:tr>
        <w:trPr/>
        <w:tc>
          <w:tcPr>
            <w:tcW w:type="dxa" w:w="2800"/>
            <w:vAlign w:val="center"/>
            <w:tcMar>
              <w:top w:w="90" w:type="dxa"/>
              <w:bottom w:w="90" w:type="dxa"/>
              <w:start w:w="120" w:type="dxa"/>
              <w:end w:w="120" w:type="dxa"/>
            </w:tcMar>
          </w:tcPr>
          <w:p>
            <w:pPr>
              <w:spacing w:after="0" w:line="240" w:lineRule="auto"/>
              <w:jc w:val="left"/>
            </w:pPr>
            <w:r>
              <w:rPr>
                <w:rFonts w:ascii="Calibri" w:hAnsi="Calibri"/>
                <w:color w:val="202124"/>
                <w:sz w:val="18"/>
              </w:rPr>
              <w:t>Load shedding and reliability</w:t>
            </w:r>
          </w:p>
        </w:tc>
        <w:tc>
          <w:tcPr>
            <w:tcW w:type="dxa" w:w="2200"/>
            <w:vAlign w:val="center"/>
            <w:tcMar>
              <w:top w:w="90" w:type="dxa"/>
              <w:bottom w:w="90" w:type="dxa"/>
              <w:start w:w="120" w:type="dxa"/>
              <w:end w:w="120" w:type="dxa"/>
            </w:tcMar>
          </w:tcPr>
          <w:p>
            <w:pPr>
              <w:spacing w:after="0" w:line="240" w:lineRule="auto"/>
              <w:jc w:val="left"/>
            </w:pPr>
            <w:r>
              <w:rPr>
                <w:rFonts w:ascii="Calibri" w:hAnsi="Calibri"/>
                <w:color w:val="202124"/>
                <w:sz w:val="18"/>
              </w:rPr>
              <w:t>1,789 comments; 35.8% negative</w:t>
            </w:r>
          </w:p>
        </w:tc>
        <w:tc>
          <w:tcPr>
            <w:tcW w:type="dxa" w:w="4360"/>
            <w:vAlign w:val="center"/>
            <w:tcMar>
              <w:top w:w="90" w:type="dxa"/>
              <w:bottom w:w="90" w:type="dxa"/>
              <w:start w:w="120" w:type="dxa"/>
              <w:end w:w="120" w:type="dxa"/>
            </w:tcMar>
          </w:tcPr>
          <w:p>
            <w:pPr>
              <w:spacing w:after="0" w:line="240" w:lineRule="auto"/>
              <w:jc w:val="left"/>
            </w:pPr>
            <w:r>
              <w:rPr>
                <w:rFonts w:ascii="Calibri" w:hAnsi="Calibri"/>
                <w:color w:val="202124"/>
                <w:sz w:val="18"/>
              </w:rPr>
              <w:t>Publish consistent schedules, explain unavoidable changes promptly, and provide restoration updates that communities can verify.</w:t>
            </w:r>
          </w:p>
        </w:tc>
      </w:tr>
      <w:tr>
        <w:trPr/>
        <w:tc>
          <w:tcPr>
            <w:tcW w:type="dxa" w:w="280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Faults, connections and infrastructure</w:t>
            </w:r>
          </w:p>
        </w:tc>
        <w:tc>
          <w:tcPr>
            <w:tcW w:type="dxa" w:w="220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44 comments; 50.0% negative</w:t>
            </w:r>
          </w:p>
        </w:tc>
        <w:tc>
          <w:tcPr>
            <w:tcW w:type="dxa" w:w="436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Separate fault, connection, and maintenance issues in reporting; publish ownership, escalation routes, and expected resolution times.</w:t>
            </w:r>
          </w:p>
        </w:tc>
      </w:tr>
      <w:tr>
        <w:trPr/>
        <w:tc>
          <w:tcPr>
            <w:tcW w:type="dxa" w:w="2800"/>
            <w:vAlign w:val="center"/>
            <w:tcMar>
              <w:top w:w="90" w:type="dxa"/>
              <w:bottom w:w="90" w:type="dxa"/>
              <w:start w:w="120" w:type="dxa"/>
              <w:end w:w="120" w:type="dxa"/>
            </w:tcMar>
          </w:tcPr>
          <w:p>
            <w:pPr>
              <w:spacing w:after="0" w:line="240" w:lineRule="auto"/>
              <w:jc w:val="left"/>
            </w:pPr>
            <w:r>
              <w:rPr>
                <w:rFonts w:ascii="Calibri" w:hAnsi="Calibri"/>
                <w:color w:val="202124"/>
                <w:sz w:val="18"/>
              </w:rPr>
              <w:t>Customer service and communication</w:t>
            </w:r>
          </w:p>
        </w:tc>
        <w:tc>
          <w:tcPr>
            <w:tcW w:type="dxa" w:w="2200"/>
            <w:vAlign w:val="center"/>
            <w:tcMar>
              <w:top w:w="90" w:type="dxa"/>
              <w:bottom w:w="90" w:type="dxa"/>
              <w:start w:w="120" w:type="dxa"/>
              <w:end w:w="120" w:type="dxa"/>
            </w:tcMar>
          </w:tcPr>
          <w:p>
            <w:pPr>
              <w:spacing w:after="0" w:line="240" w:lineRule="auto"/>
              <w:jc w:val="left"/>
            </w:pPr>
            <w:r>
              <w:rPr>
                <w:rFonts w:ascii="Calibri" w:hAnsi="Calibri"/>
                <w:color w:val="202124"/>
                <w:sz w:val="18"/>
              </w:rPr>
              <w:t>142 comments; 28.2% negative</w:t>
            </w:r>
          </w:p>
        </w:tc>
        <w:tc>
          <w:tcPr>
            <w:tcW w:type="dxa" w:w="4360"/>
            <w:vAlign w:val="center"/>
            <w:tcMar>
              <w:top w:w="90" w:type="dxa"/>
              <w:bottom w:w="90" w:type="dxa"/>
              <w:start w:w="120" w:type="dxa"/>
              <w:end w:w="120" w:type="dxa"/>
            </w:tcMar>
          </w:tcPr>
          <w:p>
            <w:pPr>
              <w:spacing w:after="0" w:line="240" w:lineRule="auto"/>
              <w:jc w:val="left"/>
            </w:pPr>
            <w:r>
              <w:rPr>
                <w:rFonts w:ascii="Calibri" w:hAnsi="Calibri"/>
                <w:color w:val="202124"/>
                <w:sz w:val="18"/>
              </w:rPr>
              <w:t>Use clear response standards and short, regular updates that answer the questions appearing most often.</w:t>
            </w:r>
          </w:p>
        </w:tc>
      </w:tr>
      <w:tr>
        <w:trPr/>
        <w:tc>
          <w:tcPr>
            <w:tcW w:type="dxa" w:w="280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Governance and public trust</w:t>
            </w:r>
          </w:p>
        </w:tc>
        <w:tc>
          <w:tcPr>
            <w:tcW w:type="dxa" w:w="220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30 comments; 30.0% negative</w:t>
            </w:r>
          </w:p>
        </w:tc>
        <w:tc>
          <w:tcPr>
            <w:tcW w:type="dxa" w:w="436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Support announcements with measurable progress, named responsibilities, and follow-up evidence.</w:t>
            </w:r>
          </w:p>
        </w:tc>
      </w:tr>
    </w:tbl>
    <w:p>
      <w:pPr>
        <w:spacing w:after="40"/>
      </w:pPr>
    </w:p>
    <w:p>
      <w:pPr>
        <w:pStyle w:val="Heading2"/>
      </w:pPr>
      <w:r>
        <w:t>Interpretation guardrails</w:t>
      </w:r>
    </w:p>
    <w:p>
      <w:pPr>
        <w:pStyle w:val="ListBullet"/>
      </w:pPr>
      <w:r>
        <w:t>Facebook comments are unsolicited reactions, not a representative survey of Zambia.</w:t>
      </w:r>
    </w:p>
    <w:p>
      <w:pPr>
        <w:pStyle w:val="ListBullet"/>
      </w:pPr>
      <w:r>
        <w:t>One post can attract a highly specific audience; results should not be generalized to the entire population.</w:t>
      </w:r>
    </w:p>
    <w:p>
      <w:pPr>
        <w:pStyle w:val="ListBullet"/>
      </w:pPr>
      <w:r>
        <w:t>Automated sentiment, emotion, sarcasm, and topic labels can be wrong and require human review for high-impact use.</w:t>
      </w:r>
    </w:p>
    <w:p>
      <w:pPr>
        <w:pStyle w:val="ListBullet"/>
      </w:pPr>
      <w:r>
        <w:t>Low-volume topics should not drive policy conclusions without supporting operational or survey evidence.</w:t>
      </w:r>
    </w:p>
    <w:p>
      <w:pPr>
        <w:pStyle w:val="ListBullet"/>
      </w:pPr>
      <w:r>
        <w:t>Only publicly accessible content is collected; author names are removed from project outputs.</w:t>
      </w:r>
    </w:p>
    <w:p>
      <w:pPr>
        <w:pStyle w:val="ListBullet"/>
      </w:pPr>
      <w:r>
        <w:t>Recommendations support communication and engagement decisions; the system does not make policy decisions.</w:t>
      </w:r>
    </w:p>
    <w:p>
      <w:pPr>
        <w:pStyle w:val="Heading2"/>
      </w:pPr>
      <w:r>
        <w:t>Future developer work</w:t>
      </w:r>
    </w:p>
    <w:p>
      <w:pPr>
        <w:pStyle w:val="ListBullet"/>
      </w:pPr>
      <w:r>
        <w:t>Build a separate manual review and annotation dashboard for researchers and authorized developers.</w:t>
      </w:r>
    </w:p>
    <w:p>
      <w:pPr>
        <w:pStyle w:val="ListBullet"/>
      </w:pPr>
      <w:r>
        <w:t>Create a human-labeled Zambian gold-standard test set with annotation guidelines and agreement checks.</w:t>
      </w:r>
    </w:p>
    <w:p>
      <w:pPr>
        <w:pStyle w:val="ListBullet"/>
      </w:pPr>
      <w:r>
        <w:t>Add model/version tracking, drift monitoring, and error slices for negation, sarcasm, and code-switching.</w:t>
      </w:r>
    </w:p>
    <w:p>
      <w:pPr>
        <w:pStyle w:val="ListBullet"/>
      </w:pPr>
      <w:r>
        <w:t>Compare the baseline with an efficiently evaluated RoBERTa or Africa-focused language model branch.</w:t>
      </w:r>
    </w:p>
    <w:p>
      <w:pPr>
        <w:pStyle w:val="ListBullet"/>
      </w:pPr>
      <w:r>
        <w:t>Attach recommendation provenance so each report statement can be traced to supporting comments and metrics.</w:t>
      </w:r>
    </w:p>
    <w:p>
      <w:r>
        <w:br w:type="page"/>
      </w:r>
    </w:p>
    <w:p>
      <w:pPr>
        <w:pStyle w:val="Heading1"/>
      </w:pPr>
      <w:r>
        <w:t>Likely Defence Questions</w:t>
      </w:r>
    </w:p>
    <w:p>
      <w:pPr>
        <w:keepNext/>
        <w:spacing w:before="140" w:after="60"/>
      </w:pPr>
      <w:r>
        <w:rPr>
          <w:rFonts w:ascii="Calibri" w:hAnsi="Calibri"/>
          <w:b/>
          <w:color w:val="1F4D78"/>
          <w:sz w:val="23"/>
        </w:rPr>
        <w:t>Why Facebook?</w:t>
      </w:r>
    </w:p>
    <w:p>
      <w:pPr>
        <w:spacing w:after="140"/>
        <w:ind w:left="259"/>
      </w:pPr>
      <w:r>
        <w:t>It is a major venue for unsolicited public discussion in Zambia and provides timely reactions that complement formal surveys and hearings.</w:t>
      </w:r>
    </w:p>
    <w:p>
      <w:pPr>
        <w:keepNext/>
        <w:spacing w:before="140" w:after="60"/>
      </w:pPr>
      <w:r>
        <w:rPr>
          <w:rFonts w:ascii="Calibri" w:hAnsi="Calibri"/>
          <w:b/>
          <w:color w:val="1F4D78"/>
          <w:sz w:val="23"/>
        </w:rPr>
        <w:t>Why VADER?</w:t>
      </w:r>
    </w:p>
    <w:p>
      <w:pPr>
        <w:spacing w:after="140"/>
        <w:ind w:left="259"/>
      </w:pPr>
      <w:r>
        <w:t>VADER is transparent, reproducible, and designed for social-media language. It also supports explainable local lexicon and sarcasm corrections.</w:t>
      </w:r>
    </w:p>
    <w:p>
      <w:pPr>
        <w:keepNext/>
        <w:spacing w:before="140" w:after="60"/>
      </w:pPr>
      <w:r>
        <w:rPr>
          <w:rFonts w:ascii="Calibri" w:hAnsi="Calibri"/>
          <w:b/>
          <w:color w:val="1F4D78"/>
          <w:sz w:val="23"/>
        </w:rPr>
        <w:t>Why use machine learning if VADER creates the labels?</w:t>
      </w:r>
    </w:p>
    <w:p>
      <w:pPr>
        <w:spacing w:after="140"/>
        <w:ind w:left="259"/>
      </w:pPr>
      <w:r>
        <w:t>VADER supplies weak supervision for a prototype where manual labels are limited. The classifiers test whether reusable patterns can be learned from those labels; a human gold standard is the next step.</w:t>
      </w:r>
    </w:p>
    <w:p>
      <w:pPr>
        <w:keepNext/>
        <w:spacing w:before="140" w:after="60"/>
      </w:pPr>
      <w:r>
        <w:rPr>
          <w:rFonts w:ascii="Calibri" w:hAnsi="Calibri"/>
          <w:b/>
          <w:color w:val="1F4D78"/>
          <w:sz w:val="23"/>
        </w:rPr>
        <w:t>Why is the best accuracy only 58.4%?</w:t>
      </w:r>
    </w:p>
    <w:p>
      <w:pPr>
        <w:spacing w:after="140"/>
        <w:ind w:left="259"/>
      </w:pPr>
      <w:r>
        <w:t>The data is noisy, code-switched, and weakly labeled. The score is a realistic baseline, not a production claim. The prototype prioritizes transparency and identifies where annotation investment is needed.</w:t>
      </w:r>
    </w:p>
    <w:p>
      <w:pPr>
        <w:keepNext/>
        <w:spacing w:before="140" w:after="60"/>
      </w:pPr>
      <w:r>
        <w:rPr>
          <w:rFonts w:ascii="Calibri" w:hAnsi="Calibri"/>
          <w:b/>
          <w:color w:val="1F4D78"/>
          <w:sz w:val="23"/>
        </w:rPr>
        <w:t>How does the system handle Zambian language?</w:t>
      </w:r>
    </w:p>
    <w:p>
      <w:pPr>
        <w:spacing w:after="140"/>
        <w:ind w:left="259"/>
      </w:pPr>
      <w:r>
        <w:t>It includes local sentiment and emotion lexicons, Zambia-energy relevance terms, code-switched variants, and sarcasm rules. These are auditable but still incomplete.</w:t>
      </w:r>
    </w:p>
    <w:p>
      <w:pPr>
        <w:keepNext/>
        <w:spacing w:before="140" w:after="60"/>
      </w:pPr>
      <w:r>
        <w:rPr>
          <w:rFonts w:ascii="Calibri" w:hAnsi="Calibri"/>
          <w:b/>
          <w:color w:val="1F4D78"/>
          <w:sz w:val="23"/>
        </w:rPr>
        <w:t>How do you know recommendations are trustworthy?</w:t>
      </w:r>
    </w:p>
    <w:p>
      <w:pPr>
        <w:spacing w:after="140"/>
        <w:ind w:left="259"/>
      </w:pPr>
      <w:r>
        <w:t>Each recommendation is generated from topic volume, negative share, emotion signals, and trend evidence. The report also states limitations and requires human interpretation.</w:t>
      </w:r>
    </w:p>
    <w:p>
      <w:pPr>
        <w:keepNext/>
        <w:spacing w:before="140" w:after="60"/>
      </w:pPr>
      <w:r>
        <w:rPr>
          <w:rFonts w:ascii="Calibri" w:hAnsi="Calibri"/>
          <w:b/>
          <w:color w:val="1F4D78"/>
          <w:sz w:val="23"/>
        </w:rPr>
        <w:t>What changed after the positive-label error?</w:t>
      </w:r>
    </w:p>
    <w:p>
      <w:pPr>
        <w:spacing w:after="140"/>
        <w:ind w:left="259"/>
      </w:pPr>
      <w:r>
        <w:t>Rule-based analysis now uses readable text that preserves negation. Regression tests were added and all dependent labels and models were regenerated.</w:t>
      </w:r>
    </w:p>
    <w:p>
      <w:pPr>
        <w:keepNext/>
        <w:spacing w:before="140" w:after="60"/>
      </w:pPr>
      <w:r>
        <w:rPr>
          <w:rFonts w:ascii="Calibri" w:hAnsi="Calibri"/>
          <w:b/>
          <w:color w:val="1F4D78"/>
          <w:sz w:val="23"/>
        </w:rPr>
        <w:t>Why hide the research dataset from users?</w:t>
      </w:r>
    </w:p>
    <w:p>
      <w:pPr>
        <w:spacing w:after="140"/>
        <w:ind w:left="259"/>
      </w:pPr>
      <w:r>
        <w:t>The end-user task is to analyze a supplied URL. Research corpora and diagnostic controls would add confusion and belong in a separate developer/annotation interface.</w:t>
      </w:r>
    </w:p>
    <w:p>
      <w:r>
        <w:br w:type="page"/>
      </w:r>
    </w:p>
    <w:p>
      <w:pPr>
        <w:pStyle w:val="Heading1"/>
      </w:pPr>
      <w:r>
        <w:t>Closing Statement</w:t>
      </w:r>
    </w:p>
    <w:p>
      <w:pPr>
        <w:keepLines/>
        <w:spacing w:before="140" w:after="180"/>
        <w:ind w:left="230" w:right="230"/>
        <w:shd w:fill="FFF7E1"/>
        <w:pBdr>
          <w:left w:val="single" w:sz="24" w:color="9A7218" w:space="8"/>
        </w:pBdr>
      </w:pPr>
      <w:r>
        <w:rPr>
          <w:rFonts w:ascii="Calibri" w:hAnsi="Calibri"/>
          <w:b/>
          <w:color w:val="203748"/>
        </w:rPr>
        <w:t xml:space="preserve">Suggested close: </w:t>
      </w:r>
      <w:r>
        <w:rPr>
          <w:rFonts w:ascii="Calibri" w:hAnsi="Calibri"/>
          <w:color w:val="202124"/>
        </w:rPr>
        <w:t>This prototype demonstrates that public Facebook discourse can be transformed into structured, auditable evidence about Zambian energy concerns. The strongest finding is that reliability dominates discussion, while the strongest technical lesson is that local language context and negation must be preserved. The current system is suitable for exploratory decision support; the next research milestone is human annotation and stronger external validation.</w:t>
      </w:r>
    </w:p>
    <w:p>
      <w:pPr>
        <w:pStyle w:val="Heading2"/>
      </w:pPr>
      <w:r>
        <w:t>Evidence files used for this guide</w:t>
      </w:r>
    </w:p>
    <w:tbl>
      <w:tblPr>
        <w:tblStyle w:val="TableGrid"/>
        <w:tblW w:type="dxa" w:w="9360"/>
        <w:jc w:val="left"/>
        <w:tblLayout w:type="fixed"/>
        <w:tblLook w:firstColumn="1" w:firstRow="1" w:lastColumn="0" w:lastRow="0" w:noHBand="0" w:noVBand="1" w:val="04A0"/>
        <w:tblInd w:type="dxa" w:w="120"/>
        <w:tblBorders>
          <w:top w:val="single" w:sz="6" w:color="D6D9DE"/>
          <w:left w:val="single" w:sz="6" w:color="D6D9DE"/>
          <w:bottom w:val="single" w:sz="6" w:color="D6D9DE"/>
          <w:right w:val="single" w:sz="6" w:color="D6D9DE"/>
          <w:insideH w:val="single" w:sz="6" w:color="D6D9DE"/>
          <w:insideV w:val="single" w:sz="6" w:color="D6D9DE"/>
        </w:tblBorders>
      </w:tblPr>
      <w:tblGrid>
        <w:gridCol w:w="3000"/>
        <w:gridCol w:w="6360"/>
      </w:tblGrid>
      <w:tr>
        <w:trPr>
          <w:tblHeader w:val="true"/>
        </w:trPr>
        <w:tc>
          <w:tcPr>
            <w:tcW w:type="dxa" w:w="3000"/>
            <w:shd w:fill="E8EEF5"/>
            <w:vAlign w:val="center"/>
            <w:tcMar>
              <w:top w:w="90" w:type="dxa"/>
              <w:bottom w:w="90" w:type="dxa"/>
              <w:start w:w="120" w:type="dxa"/>
              <w:end w:w="120" w:type="dxa"/>
            </w:tcMar>
          </w:tcPr>
          <w:p>
            <w:pPr>
              <w:spacing w:after="0" w:line="240" w:lineRule="auto"/>
              <w:jc w:val="left"/>
            </w:pPr>
            <w:r>
              <w:rPr>
                <w:rFonts w:ascii="Calibri" w:hAnsi="Calibri"/>
                <w:b/>
                <w:color w:val="203748"/>
                <w:sz w:val="19"/>
              </w:rPr>
              <w:t>Evidence</w:t>
            </w:r>
          </w:p>
        </w:tc>
        <w:tc>
          <w:tcPr>
            <w:tcW w:type="dxa" w:w="6360"/>
            <w:shd w:fill="E8EEF5"/>
            <w:vAlign w:val="center"/>
            <w:tcMar>
              <w:top w:w="90" w:type="dxa"/>
              <w:bottom w:w="90" w:type="dxa"/>
              <w:start w:w="120" w:type="dxa"/>
              <w:end w:w="120" w:type="dxa"/>
            </w:tcMar>
          </w:tcPr>
          <w:p>
            <w:pPr>
              <w:spacing w:after="0" w:line="240" w:lineRule="auto"/>
              <w:jc w:val="left"/>
            </w:pPr>
            <w:r>
              <w:rPr>
                <w:rFonts w:ascii="Calibri" w:hAnsi="Calibri"/>
                <w:b/>
                <w:color w:val="203748"/>
                <w:sz w:val="19"/>
              </w:rPr>
              <w:t>Project path</w:t>
            </w:r>
          </w:p>
        </w:tc>
      </w:tr>
      <w:tr>
        <w:trPr/>
        <w:tc>
          <w:tcPr>
            <w:tcW w:type="dxa" w:w="3000"/>
            <w:vAlign w:val="center"/>
            <w:tcMar>
              <w:top w:w="90" w:type="dxa"/>
              <w:bottom w:w="90" w:type="dxa"/>
              <w:start w:w="120" w:type="dxa"/>
              <w:end w:w="120" w:type="dxa"/>
            </w:tcMar>
          </w:tcPr>
          <w:p>
            <w:pPr>
              <w:spacing w:after="0" w:line="240" w:lineRule="auto"/>
              <w:jc w:val="left"/>
            </w:pPr>
            <w:r>
              <w:rPr>
                <w:rFonts w:ascii="Calibri" w:hAnsi="Calibri"/>
                <w:color w:val="202124"/>
                <w:sz w:val="18"/>
              </w:rPr>
              <w:t>Corrected relevant labels</w:t>
            </w:r>
          </w:p>
        </w:tc>
        <w:tc>
          <w:tcPr>
            <w:tcW w:type="dxa" w:w="6360"/>
            <w:vAlign w:val="center"/>
            <w:tcMar>
              <w:top w:w="90" w:type="dxa"/>
              <w:bottom w:w="90" w:type="dxa"/>
              <w:start w:w="120" w:type="dxa"/>
              <w:end w:w="120" w:type="dxa"/>
            </w:tcMar>
          </w:tcPr>
          <w:p>
            <w:pPr>
              <w:spacing w:after="0" w:line="240" w:lineRule="auto"/>
              <w:jc w:val="left"/>
            </w:pPr>
            <w:r>
              <w:rPr>
                <w:rFonts w:ascii="Calibri" w:hAnsi="Calibri"/>
                <w:color w:val="202124"/>
                <w:sz w:val="18"/>
              </w:rPr>
              <w:t>data/processed/labeled/final_label_relevant.csv</w:t>
            </w:r>
          </w:p>
        </w:tc>
      </w:tr>
      <w:tr>
        <w:trPr/>
        <w:tc>
          <w:tcPr>
            <w:tcW w:type="dxa" w:w="300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Held-out model metrics</w:t>
            </w:r>
          </w:p>
        </w:tc>
        <w:tc>
          <w:tcPr>
            <w:tcW w:type="dxa" w:w="636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data/results/evaluation_summary.csv</w:t>
            </w:r>
          </w:p>
        </w:tc>
      </w:tr>
      <w:tr>
        <w:trPr/>
        <w:tc>
          <w:tcPr>
            <w:tcW w:type="dxa" w:w="3000"/>
            <w:vAlign w:val="center"/>
            <w:tcMar>
              <w:top w:w="90" w:type="dxa"/>
              <w:bottom w:w="90" w:type="dxa"/>
              <w:start w:w="120" w:type="dxa"/>
              <w:end w:w="120" w:type="dxa"/>
            </w:tcMar>
          </w:tcPr>
          <w:p>
            <w:pPr>
              <w:spacing w:after="0" w:line="240" w:lineRule="auto"/>
              <w:jc w:val="left"/>
            </w:pPr>
            <w:r>
              <w:rPr>
                <w:rFonts w:ascii="Calibri" w:hAnsi="Calibri"/>
                <w:color w:val="202124"/>
                <w:sz w:val="18"/>
              </w:rPr>
              <w:t>Classification reports</w:t>
            </w:r>
          </w:p>
        </w:tc>
        <w:tc>
          <w:tcPr>
            <w:tcW w:type="dxa" w:w="6360"/>
            <w:vAlign w:val="center"/>
            <w:tcMar>
              <w:top w:w="90" w:type="dxa"/>
              <w:bottom w:w="90" w:type="dxa"/>
              <w:start w:w="120" w:type="dxa"/>
              <w:end w:w="120" w:type="dxa"/>
            </w:tcMar>
          </w:tcPr>
          <w:p>
            <w:pPr>
              <w:spacing w:after="0" w:line="240" w:lineRule="auto"/>
              <w:jc w:val="left"/>
            </w:pPr>
            <w:r>
              <w:rPr>
                <w:rFonts w:ascii="Calibri" w:hAnsi="Calibri"/>
                <w:color w:val="202124"/>
                <w:sz w:val="18"/>
              </w:rPr>
              <w:t>data/results/classification_reports.json</w:t>
            </w:r>
          </w:p>
        </w:tc>
      </w:tr>
      <w:tr>
        <w:trPr/>
        <w:tc>
          <w:tcPr>
            <w:tcW w:type="dxa" w:w="300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Confusion matrices</w:t>
            </w:r>
          </w:p>
        </w:tc>
        <w:tc>
          <w:tcPr>
            <w:tcW w:type="dxa" w:w="636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data/results/confusion_matrices/</w:t>
            </w:r>
          </w:p>
        </w:tc>
      </w:tr>
      <w:tr>
        <w:trPr/>
        <w:tc>
          <w:tcPr>
            <w:tcW w:type="dxa" w:w="3000"/>
            <w:vAlign w:val="center"/>
            <w:tcMar>
              <w:top w:w="90" w:type="dxa"/>
              <w:bottom w:w="90" w:type="dxa"/>
              <w:start w:w="120" w:type="dxa"/>
              <w:end w:w="120" w:type="dxa"/>
            </w:tcMar>
          </w:tcPr>
          <w:p>
            <w:pPr>
              <w:spacing w:after="0" w:line="240" w:lineRule="auto"/>
              <w:jc w:val="left"/>
            </w:pPr>
            <w:r>
              <w:rPr>
                <w:rFonts w:ascii="Calibri" w:hAnsi="Calibri"/>
                <w:color w:val="202124"/>
                <w:sz w:val="18"/>
              </w:rPr>
              <w:t>Dashboard application</w:t>
            </w:r>
          </w:p>
        </w:tc>
        <w:tc>
          <w:tcPr>
            <w:tcW w:type="dxa" w:w="6360"/>
            <w:vAlign w:val="center"/>
            <w:tcMar>
              <w:top w:w="90" w:type="dxa"/>
              <w:bottom w:w="90" w:type="dxa"/>
              <w:start w:w="120" w:type="dxa"/>
              <w:end w:w="120" w:type="dxa"/>
            </w:tcMar>
          </w:tcPr>
          <w:p>
            <w:pPr>
              <w:spacing w:after="0" w:line="240" w:lineRule="auto"/>
              <w:jc w:val="left"/>
            </w:pPr>
            <w:r>
              <w:rPr>
                <w:rFonts w:ascii="Calibri" w:hAnsi="Calibri"/>
                <w:color w:val="202124"/>
                <w:sz w:val="18"/>
              </w:rPr>
              <w:t>src/dashboard/app.py</w:t>
            </w:r>
          </w:p>
        </w:tc>
      </w:tr>
      <w:tr>
        <w:trPr/>
        <w:tc>
          <w:tcPr>
            <w:tcW w:type="dxa" w:w="300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Live URL pipeline</w:t>
            </w:r>
          </w:p>
        </w:tc>
        <w:tc>
          <w:tcPr>
            <w:tcW w:type="dxa" w:w="6360"/>
            <w:vAlign w:val="center"/>
            <w:shd w:fill="FAFBFC"/>
            <w:tcMar>
              <w:top w:w="90" w:type="dxa"/>
              <w:bottom w:w="90" w:type="dxa"/>
              <w:start w:w="120" w:type="dxa"/>
              <w:end w:w="120" w:type="dxa"/>
            </w:tcMar>
          </w:tcPr>
          <w:p>
            <w:pPr>
              <w:spacing w:after="0" w:line="240" w:lineRule="auto"/>
              <w:jc w:val="left"/>
            </w:pPr>
            <w:r>
              <w:rPr>
                <w:rFonts w:ascii="Calibri" w:hAnsi="Calibri"/>
                <w:color w:val="202124"/>
                <w:sz w:val="18"/>
              </w:rPr>
              <w:t>src/dashboard/live_analysis.py</w:t>
            </w:r>
          </w:p>
        </w:tc>
      </w:tr>
      <w:tr>
        <w:trPr/>
        <w:tc>
          <w:tcPr>
            <w:tcW w:type="dxa" w:w="3000"/>
            <w:vAlign w:val="center"/>
            <w:tcMar>
              <w:top w:w="90" w:type="dxa"/>
              <w:bottom w:w="90" w:type="dxa"/>
              <w:start w:w="120" w:type="dxa"/>
              <w:end w:w="120" w:type="dxa"/>
            </w:tcMar>
          </w:tcPr>
          <w:p>
            <w:pPr>
              <w:spacing w:after="0" w:line="240" w:lineRule="auto"/>
              <w:jc w:val="left"/>
            </w:pPr>
            <w:r>
              <w:rPr>
                <w:rFonts w:ascii="Calibri" w:hAnsi="Calibri"/>
                <w:color w:val="202124"/>
                <w:sz w:val="18"/>
              </w:rPr>
              <w:t>Regression tests</w:t>
            </w:r>
          </w:p>
        </w:tc>
        <w:tc>
          <w:tcPr>
            <w:tcW w:type="dxa" w:w="6360"/>
            <w:vAlign w:val="center"/>
            <w:tcMar>
              <w:top w:w="90" w:type="dxa"/>
              <w:bottom w:w="90" w:type="dxa"/>
              <w:start w:w="120" w:type="dxa"/>
              <w:end w:w="120" w:type="dxa"/>
            </w:tcMar>
          </w:tcPr>
          <w:p>
            <w:pPr>
              <w:spacing w:after="0" w:line="240" w:lineRule="auto"/>
              <w:jc w:val="left"/>
            </w:pPr>
            <w:r>
              <w:rPr>
                <w:rFonts w:ascii="Calibri" w:hAnsi="Calibri"/>
                <w:color w:val="202124"/>
                <w:sz w:val="18"/>
              </w:rPr>
              <w:t>tests/test_sentiment.py and tests/test_live_analysis.py</w:t>
            </w:r>
          </w:p>
        </w:tc>
      </w:tr>
    </w:tbl>
    <w:p>
      <w:pPr>
        <w:spacing w:after="40"/>
      </w:pPr>
    </w:p>
    <w:p>
      <w:pPr>
        <w:spacing w:after="0"/>
      </w:pPr>
      <w:r>
        <w:rPr>
          <w:rFonts w:ascii="Calibri" w:hAnsi="Calibri"/>
          <w:i/>
          <w:color w:val="5F6368"/>
          <w:sz w:val="19"/>
        </w:rPr>
        <w:t>Results frozen for this guide on 3 April 2026. Regenerate the guide after any future relabeling or model-training run.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F6368"/>
        <w:sz w:val="17"/>
      </w:rPr>
      <w:t xml:space="preserve">Mulenga Musamba  |  </w:t>
    </w:r>
    <w:r>
      <w:fldChar w:fldCharType="begin"/>
      <w:instrText xml:space="preserve">PAGE</w:instrText>
      <w:fldChar w:fldCharType="separate"/>
      <w:t>1</w:t>
      <w:fldChar w:fldCharType="end"/>
    </w:r>
    <w:r>
      <w:rPr>
        <w:rFonts w:ascii="Calibri" w:hAnsi="Calibri"/>
        <w:color w:val="5F6368"/>
        <w:sz w:val="17"/>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368"/>
        <w:sz w:val="17"/>
      </w:rPr>
      <w:t>PROJECT DEFENCE  |  RESULTS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60"/>
    </w:pPr>
    <w:rPr>
      <w:rFonts w:ascii="Calibri" w:hAnsi="Calibri"/>
      <w:b/>
      <w:bCs/>
      <w:i/>
      <w:color w:val="5F636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spacing w:after="320"/>
    </w:pPr>
    <w:rPr>
      <w:rFonts w:ascii="Calibri" w:hAnsi="Calibri"/>
      <w:b/>
      <w:color w:val="9A721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Defence Results Guide</dc:title>
  <dc:subject>Zambian green energy sentiment analysis prototype</dc:subject>
  <dc:creator>Mulenga Musamba</dc:creator>
  <cp:keywords>sentiment analysis, Zambia, green energy, Facebook, project defence</cp:keywords>
  <dc:description>Generated from the corrected project evaluation outputs.</dc:description>
  <cp:lastModifiedBy/>
  <cp:revision>1</cp:revision>
  <dcterms:created xsi:type="dcterms:W3CDTF">2013-12-23T23:15:00Z</dcterms:created>
  <dcterms:modified xsi:type="dcterms:W3CDTF">2013-12-23T23:15:00Z</dcterms:modified>
  <cp:category/>
</cp:coreProperties>
</file>