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keepNext/>
        <w:keepLines/>
        <w:widowControl w:val="true"/>
        <w:spacing w:before="0" w:after="440" w:line="240" w:lineRule="auto"/>
      </w:pPr>
      <w:r>
        <w:drawing>
          <wp:inline xmlns:a="http://schemas.openxmlformats.org/drawingml/2006/main" xmlns:pic="http://schemas.openxmlformats.org/drawingml/2006/picture">
            <wp:extent cx="1431000" cy="1584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_lockup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431000" cy="1584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keepNext/>
        <w:keepLines/>
        <w:widowControl w:val="true"/>
        <w:pBdr>
          <w:bottom w:val="single" w:color="1B2430" w:sz="14" w:space="2"/>
        </w:pBdr>
        <w:spacing w:before="0" w:after="0" w:line="120" w:lineRule="auto"/>
      </w:pPr>
    </w:p>
    <w:p>
      <w:pPr>
        <w:keepNext/>
        <w:keepLines/>
        <w:widowControl w:val="true"/>
        <w:spacing w:before="180" w:after="60" w:line="240" w:lineRule="auto"/>
      </w:pPr>
      <w:r>
        <w:rPr>
          <w:rFonts w:ascii="Arial" w:hAnsi="Arial" w:cs="Arial" w:eastAsia="Arial"/>
          <w:b/>
          <w:bCs/>
          <w:caps/>
          <w:color w:val="6B7480"/>
          <w:spacing w:val="54"/>
          <w:sz w:val="19"/>
          <w:szCs w:val="19"/>
          <w:lang w:val="de-CH"/>
        </w:rPr>
        <w:t xml:space="preserve">Schlussbericht</w:t>
      </w:r>
    </w:p>
    <w:p>
      <w:pPr>
        <w:keepNext/>
        <w:keepLines/>
        <w:widowControl w:val="true"/>
        <w:spacing w:before="0" w:after="90" w:line="276" w:lineRule="auto"/>
      </w:pPr>
      <w:r>
        <w:rPr>
          <w:rFonts w:ascii="Arial" w:hAnsi="Arial" w:cs="Arial" w:eastAsia="Arial"/>
          <w:b/>
          <w:bCs/>
          <w:color w:val="1B2430"/>
          <w:sz w:val="44"/>
          <w:szCs w:val="44"/>
          <w:lang w:val="de-CH"/>
        </w:rPr>
        <w:t xml:space="preserve">Titel der Messung und der Fragestellung</w:t>
      </w:r>
    </w:p>
    <w:p>
      <w:pPr>
        <w:keepNext/>
        <w:keepLines/>
        <w:widowControl w:val="true"/>
        <w:spacing w:before="0" w:after="140" w:line="264" w:lineRule="auto"/>
      </w:pPr>
      <w:r>
        <w:rPr>
          <w:rFonts w:ascii="Arial" w:hAnsi="Arial" w:cs="Arial" w:eastAsia="Arial"/>
          <w:color w:val="3A4048"/>
          <w:sz w:val="25"/>
          <w:szCs w:val="25"/>
          <w:lang w:val="de-CH"/>
        </w:rPr>
        <w:t xml:space="preserve">Objektname, Strasse, PLZ Ort</w:t>
      </w:r>
    </w:p>
    <w:p>
      <w:pPr>
        <w:keepNext/>
        <w:keepLines/>
        <w:widowControl w:val="true"/>
        <w:pBdr>
          <w:bottom w:val="single" w:color="D8DDE3" w:sz="6" w:space="2"/>
        </w:pBdr>
        <w:spacing w:before="0" w:after="0" w:line="120" w:lineRule="auto"/>
      </w:pPr>
    </w:p>
    <w:p>
      <w:pPr>
        <w:keepNext/>
        <w:keepLines/>
        <w:widowControl w:val="true"/>
        <w:spacing w:before="110" w:after="420" w:line="252" w:lineRule="auto"/>
      </w:pPr>
      <w:r>
        <w:rPr>
          <w:rFonts w:ascii="Arial" w:hAnsi="Arial" w:cs="Arial" w:eastAsia="Arial"/>
          <w:color w:val="6B7480"/>
          <w:sz w:val="18"/>
          <w:szCs w:val="18"/>
          <w:lang w:val="de-CH"/>
        </w:rPr>
        <w:t xml:space="preserve">Messkampagne TT.MM.JJJJ bis TT.MM.JJJJ · n Messpunkte · IEC 61000-4-30 Ed.3 Class A</w:t>
      </w: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3116"/>
        <w:gridCol w:w="6296"/>
      </w:tblGrid>
      <w:tr>
        <w:trPr>
          <w:cantSplit/>
        </w:trPr>
        <w:tc>
          <w:tcPr>
            <w:tcW w:type="dxa" w:w="3116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Objekt</w:t>
            </w:r>
          </w:p>
        </w:tc>
        <w:tc>
          <w:tcPr>
            <w:tcW w:type="dxa" w:w="6296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Objektname, Strasse, PLZ Ort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Betreiber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Name des Betreibers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Auftraggeber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Firma, Adresse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Netzbetreiber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Werk · 230/400 V · 50 Hz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Anlass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Beschwerdebild in einem Satz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Messmittel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Gerätetyp, Anzahl, Norm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Messzeitraum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TT.MM.JJJJ bis TT.MM.JJJJ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Verfasser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Burak Ücöz, kabuu — Netzqualität &amp; EMV Messungen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Berichtsstand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TT.MM.JJJJ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p>
      <w:pPr>
        <w:keepNext/>
        <w:keepLines/>
        <w:widowControl w:val="true"/>
        <w:spacing w:before="0" w:after="0" w:line="12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2C4A6B" w:sz="2"/>
              <w:left w:val="single" w:color="2C4A6B" w:sz="24"/>
              <w:bottom w:val="single" w:color="2C4A6B" w:sz="2"/>
              <w:right w:val="single" w:color="2C4A6B" w:sz="2"/>
            </w:tcBorders>
            <w:shd w:val="clear" w:color="auto" w:fill="F1F4F8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2C4A6B"/>
                <w:sz w:val="20"/>
                <w:szCs w:val="20"/>
                <w:lang w:val="de-CH"/>
              </w:rPr>
              <w:t xml:space="preserve">So arbeiten Sie mit dieser Vorlage</w:t>
            </w:r>
          </w:p>
          <w:p>
            <w:pPr>
              <w:keepLines/>
              <w:widowControl w:val="true"/>
              <w:spacing w:before="0" w:after="9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Die Vorlage trägt die vollständige kabuu-Gestaltung: Deckblatt, Kopf- und Fusszeile mit Bildmarke, Überschriftenebenen, Tabellenlook, Hinweiskästen und Bildlegenden. Ersetzen Sie die Platzhalter und schreiben Sie den Bericht in den vorbereiteten Ebenen weiter.</w:t>
            </w:r>
          </w:p>
          <w:p>
            <w:pPr>
              <w:keepLines/>
              <w:widowControl w:val="true"/>
              <w:spacing w:before="0" w:after="9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Überschrift 1 beginnt ein Kapitel auf neuer Seite, Überschrift 2 und 3 gliedern darunter. Das Inhaltsverzeichnis aktualisieren Sie mit F9.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Zahlen werden nach Schweizer Satz gesetzt: Tausender mit Hochkomma, zwischen Zahl und Einheit ein geschütztes Leerzeichen.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p>
      <w:pPr>
        <w:keepLines/>
        <w:pageBreakBefore/>
        <w:widowControl w:val="true"/>
        <w:spacing w:before="0" w:after="0" w:line="240" w:lineRule="auto"/>
      </w:pPr>
    </w:p>
    <w:p>
      <w:pPr>
        <w:pStyle w:val="Heading1"/>
        <w:keepNext/>
        <w:keepLines/>
        <w:widowControl w:val="true"/>
        <w:pBdr>
          <w:bottom w:val="single" w:color="1B2430" w:sz="10" w:space="8"/>
        </w:pBdr>
        <w:suppressAutoHyphens w:val="true"/>
        <w:spacing w:before="0" w:after="220" w:line="264" w:lineRule="auto"/>
      </w:pPr>
      <w:r>
        <w:rPr>
          <w:rFonts w:ascii="Arial" w:hAnsi="Arial" w:cs="Arial" w:eastAsia="Arial"/>
          <w:b/>
          <w:bCs/>
          <w:color w:val="1B2430"/>
          <w:sz w:val="34"/>
          <w:szCs w:val="34"/>
          <w:lang w:val="de-CH"/>
        </w:rPr>
        <w:t xml:space="preserve">Inhaltsverzeichnis</w:t>
      </w:r>
      <w:bookmarkStart w:id="900" w:name="_TocTpl0"/>
      <w:bookmarkEnd w:id="900"/>
    </w:p>
    <w:p>
      <w:pPr>
        <w:keepLines/>
        <w:widowControl w:val="true"/>
        <w:spacing w:before="0" w:after="240" w:line="252" w:lineRule="auto"/>
      </w:pPr>
      <w:r>
        <w:rPr>
          <w:rFonts w:ascii="Arial" w:hAnsi="Arial" w:cs="Arial" w:eastAsia="Arial"/>
          <w:color w:val="6B7480"/>
          <w:sz w:val="18"/>
          <w:szCs w:val="18"/>
          <w:lang w:val="de-CH"/>
        </w:rPr>
        <w:t xml:space="preserve">Hier das Inhaltsverzeichnis einfügen: Referenzen · Inhaltsverzeichnis · Ebenen 1 bis 2. Mit F9 aktualisieren.</w:t>
      </w:r>
    </w:p>
    <w:p>
      <w:pPr>
        <w:keepNext/>
        <w:keepLines/>
        <w:pageBreakBefore/>
        <w:widowControl w:val="true"/>
        <w:suppressAutoHyphens w:val="true"/>
        <w:spacing w:before="0" w:after="60" w:line="240" w:lineRule="auto"/>
      </w:pPr>
      <w:r>
        <w:rPr>
          <w:rFonts w:ascii="Arial" w:hAnsi="Arial" w:cs="Arial" w:eastAsia="Arial"/>
          <w:b/>
          <w:bCs/>
          <w:caps/>
          <w:color w:val="97A0AB"/>
          <w:spacing w:val="34"/>
          <w:sz w:val="17"/>
          <w:szCs w:val="17"/>
          <w:lang w:val="de-CH"/>
        </w:rPr>
        <w:t xml:space="preserve">Kapitel 1</w:t>
      </w:r>
    </w:p>
    <w:p>
      <w:pPr>
        <w:pStyle w:val="Heading1"/>
        <w:keepNext/>
        <w:keepLines/>
        <w:widowControl w:val="true"/>
        <w:pBdr>
          <w:bottom w:val="single" w:color="1B2430" w:sz="10" w:space="8"/>
        </w:pBdr>
        <w:suppressAutoHyphens w:val="true"/>
        <w:spacing w:before="0" w:after="220" w:line="264" w:lineRule="auto"/>
      </w:pPr>
      <w:r>
        <w:rPr>
          <w:rFonts w:ascii="Arial" w:hAnsi="Arial" w:cs="Arial" w:eastAsia="Arial"/>
          <w:b/>
          <w:bCs/>
          <w:color w:val="1B2430"/>
          <w:sz w:val="34"/>
          <w:szCs w:val="34"/>
          <w:lang w:val="de-CH"/>
        </w:rPr>
        <w:t xml:space="preserve">1. Kapitelüberschrift</w:t>
      </w:r>
      <w:bookmarkStart w:id="901" w:name="_TocTpl1"/>
      <w:bookmarkEnd w:id="901"/>
    </w:p>
    <w:p>
      <w:pPr>
        <w:keepLines/>
        <w:widowControl w:val="true"/>
        <w:spacing w:before="0" w:after="120" w:line="288" w:lineRule="auto"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Fliesstext im Blocksatz mit Silbentrennung. Zahlen und Einheiten bleiben zusammen, etwa 230 V, 50 Hz oder 2,40 %. Tausender werden mit Hochkomma gesetzt, etwa 86’600 VA.</w:t>
      </w:r>
    </w:p>
    <w:p>
      <w:pPr>
        <w:pStyle w:val="Heading2"/>
        <w:keepNext/>
        <w:keepLines/>
        <w:widowControl w:val="true"/>
        <w:suppressAutoHyphens w:val="true"/>
        <w:spacing w:before="320" w:after="110" w:line="252" w:lineRule="auto"/>
      </w:pPr>
      <w:r>
        <w:rPr>
          <w:rFonts w:ascii="Arial" w:hAnsi="Arial" w:cs="Arial" w:eastAsia="Arial"/>
          <w:b/>
          <w:bCs/>
          <w:color w:val="1B2430"/>
          <w:sz w:val="25"/>
          <w:szCs w:val="25"/>
          <w:lang w:val="de-CH"/>
        </w:rPr>
        <w:t xml:space="preserve">1.1 Abschnittsüberschrift</w:t>
      </w:r>
    </w:p>
    <w:p>
      <w:pPr>
        <w:keepLines/>
        <w:widowControl w:val="true"/>
        <w:spacing w:before="0" w:after="120" w:line="288" w:lineRule="auto"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Unter einer Abschnittsüberschrift steht der erläuternde Text, darunter die Tabelle mit den Werten.</w:t>
      </w: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1572"/>
        <w:gridCol w:w="1841"/>
        <w:gridCol w:w="1688"/>
        <w:gridCol w:w="1841"/>
        <w:gridCol w:w="2470"/>
      </w:tblGrid>
      <w:tr>
        <w:trPr>
          <w:cantSplit/>
          <w:tblHeader/>
        </w:trPr>
        <w:tc>
          <w:tcPr>
            <w:tcW w:type="dxa" w:w="1572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Grösse</w:t>
            </w:r>
          </w:p>
        </w:tc>
        <w:tc>
          <w:tcPr>
            <w:tcW w:type="dxa" w:w="1841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Minimum</w:t>
            </w:r>
          </w:p>
        </w:tc>
        <w:tc>
          <w:tcPr>
            <w:tcW w:type="dxa" w:w="1688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Mittel</w:t>
            </w:r>
          </w:p>
        </w:tc>
        <w:tc>
          <w:tcPr>
            <w:tcW w:type="dxa" w:w="1841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Maximum</w:t>
            </w:r>
          </w:p>
        </w:tc>
        <w:tc>
          <w:tcPr>
            <w:tcW w:type="dxa" w:w="2470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Grenzwert</w:t>
            </w:r>
          </w:p>
        </w:tc>
      </w:tr>
      <w:tr>
        <w:trPr>
          <w:cantSplit/>
        </w:trPr>
        <w:tc>
          <w:tcPr>
            <w:tcW w:type="dxa" w:w="1572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U1N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226,45 V</w:t>
            </w:r>
          </w:p>
        </w:tc>
        <w:tc>
          <w:tcPr>
            <w:tcW w:type="dxa" w:w="1688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234,73 V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239,46 V</w:t>
            </w:r>
          </w:p>
        </w:tc>
        <w:tc>
          <w:tcPr>
            <w:tcW w:type="dxa" w:w="2470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keepNext/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207 bis 253 V</w:t>
            </w:r>
          </w:p>
        </w:tc>
      </w:tr>
      <w:tr>
        <w:trPr>
          <w:cantSplit/>
        </w:trPr>
        <w:tc>
          <w:tcPr>
            <w:tcW w:type="dxa" w:w="1572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THD U1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1,11 %</w:t>
            </w:r>
          </w:p>
        </w:tc>
        <w:tc>
          <w:tcPr>
            <w:tcW w:type="dxa" w:w="1688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1,72 %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2,40 %</w:t>
            </w:r>
          </w:p>
        </w:tc>
        <w:tc>
          <w:tcPr>
            <w:tcW w:type="dxa" w:w="2470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8,0 %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2E7D32" w:sz="2"/>
              <w:left w:val="single" w:color="2E7D32" w:sz="24"/>
              <w:bottom w:val="single" w:color="2E7D32" w:sz="2"/>
              <w:right w:val="single" w:color="2E7D32" w:sz="2"/>
            </w:tcBorders>
            <w:shd w:val="clear" w:color="auto" w:fill="F1F7F1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2E7D32"/>
                <w:sz w:val="20"/>
                <w:szCs w:val="20"/>
                <w:lang w:val="de-CH"/>
              </w:rPr>
              <w:t xml:space="preserve">Bestätigtes Ergebnis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B9770E" w:sz="2"/>
              <w:left w:val="single" w:color="B9770E" w:sz="24"/>
              <w:bottom w:val="single" w:color="B9770E" w:sz="2"/>
              <w:right w:val="single" w:color="B9770E" w:sz="2"/>
            </w:tcBorders>
            <w:shd w:val="clear" w:color="auto" w:fill="FDF6E9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B9770E"/>
                <w:sz w:val="20"/>
                <w:szCs w:val="20"/>
                <w:lang w:val="de-CH"/>
              </w:rPr>
              <w:t xml:space="preserve">Vorbehalt oder Einschränkung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C0392B" w:sz="2"/>
              <w:left w:val="single" w:color="C0392B" w:sz="24"/>
              <w:bottom w:val="single" w:color="C0392B" w:sz="2"/>
              <w:right w:val="single" w:color="C0392B" w:sz="2"/>
            </w:tcBorders>
            <w:shd w:val="clear" w:color="auto" w:fill="FDF0EE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C0392B"/>
                <w:sz w:val="20"/>
                <w:szCs w:val="20"/>
                <w:lang w:val="de-CH"/>
              </w:rPr>
              <w:t xml:space="preserve">Interner Hinweis, vor Weitergabe entfernen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2C4A6B" w:sz="2"/>
              <w:left w:val="single" w:color="2C4A6B" w:sz="24"/>
              <w:bottom w:val="single" w:color="2C4A6B" w:sz="2"/>
              <w:right w:val="single" w:color="2C4A6B" w:sz="2"/>
            </w:tcBorders>
            <w:shd w:val="clear" w:color="auto" w:fill="F1F4F8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2C4A6B"/>
                <w:sz w:val="20"/>
                <w:szCs w:val="20"/>
                <w:lang w:val="de-CH"/>
              </w:rPr>
              <w:t xml:space="preserve">Einordnung und Hintergrund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p>
      <w:pPr>
        <w:pStyle w:val="Heading3"/>
        <w:keepNext/>
        <w:keepLines/>
        <w:widowControl w:val="true"/>
        <w:suppressAutoHyphens w:val="true"/>
        <w:spacing w:before="240" w:after="80" w:line="252" w:lineRule="auto"/>
      </w:pPr>
      <w:r>
        <w:rPr>
          <w:rFonts w:ascii="Arial" w:hAnsi="Arial" w:cs="Arial" w:eastAsia="Arial"/>
          <w:b/>
          <w:bCs/>
          <w:color w:val="3A4048"/>
          <w:sz w:val="21"/>
          <w:szCs w:val="21"/>
          <w:lang w:val="de-CH"/>
        </w:rPr>
        <w:t xml:space="preserve">1.1.1 Unterabschnitt</w:t>
      </w:r>
    </w:p>
    <w:p>
      <w:pPr>
        <w:keepLines/>
        <w:widowControl w:val="true"/>
        <w:spacing w:before="0" w:after="120" w:line="288" w:lineRule="auto"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Die dritte Ebene gliedert innerhalb eines Abschnitts, etwa je Massnahme oder je Messpunkt.</w:t>
      </w:r>
    </w:p>
    <w:p>
      <w:pPr>
        <w:keepLines/>
        <w:widowControl w:val="true"/>
        <w:numPr>
          <w:ilvl w:val="0"/>
          <w:numId w:val="10"/>
        </w:numPr>
        <w:spacing w:before="0" w:after="6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Aufzählung für gleichrangige Punkte.</w:t>
      </w:r>
    </w:p>
    <w:p>
      <w:pPr>
        <w:keepLines/>
        <w:widowControl w:val="true"/>
        <w:numPr>
          <w:ilvl w:val="0"/>
          <w:numId w:val="10"/>
        </w:numPr>
        <w:spacing w:before="0" w:after="14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Zweiter Punkt derselben Aufzählung.</w:t>
      </w:r>
    </w:p>
    <w:p>
      <w:pPr>
        <w:keepLines/>
        <w:widowControl w:val="true"/>
        <w:numPr>
          <w:ilvl w:val="0"/>
          <w:numId w:val="20"/>
        </w:numPr>
        <w:spacing w:before="0" w:after="6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Nummerierte Liste für Abläufe in fester Reihenfolge.</w:t>
      </w:r>
    </w:p>
    <w:p>
      <w:pPr>
        <w:keepLines/>
        <w:widowControl w:val="true"/>
        <w:numPr>
          <w:ilvl w:val="0"/>
          <w:numId w:val="20"/>
        </w:numPr>
        <w:spacing w:before="0" w:after="14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Zweiter Schritt.</w:t>
      </w:r>
    </w:p>
    <w:p>
      <w:pPr>
        <w:keepNext/>
        <w:keepLines/>
        <w:widowControl w:val="true"/>
        <w:pBdr>
          <w:left w:val="single" w:color="97A0AB" w:sz="18" w:space="8"/>
        </w:pBdr>
        <w:shd w:val="clear" w:color="auto" w:fill="F0F3F6"/>
        <w:spacing w:before="140" w:after="0" w:line="252" w:lineRule="auto"/>
        <w:ind w:left="170"/>
      </w:pPr>
      <w:r>
        <w:rPr>
          <w:rFonts w:ascii="Consolas" w:hAnsi="Consolas" w:cs="Consolas" w:eastAsia="Consolas"/>
          <w:color w:val="2A3038"/>
          <w:sz w:val="17"/>
          <w:szCs w:val="17"/>
          <w:lang w:val="de-CH"/>
        </w:rPr>
        <w:t xml:space="preserve">S = U_LL * I * Wurzel(3)</w:t>
      </w:r>
    </w:p>
    <w:p>
      <w:pPr>
        <w:keepLines/>
        <w:widowControl w:val="true"/>
        <w:pBdr>
          <w:left w:val="single" w:color="97A0AB" w:sz="18" w:space="8"/>
        </w:pBdr>
        <w:shd w:val="clear" w:color="auto" w:fill="F0F3F6"/>
        <w:spacing w:before="0" w:after="140" w:line="252" w:lineRule="auto"/>
        <w:ind w:left="170"/>
      </w:pPr>
      <w:r>
        <w:rPr>
          <w:rFonts w:ascii="Consolas" w:hAnsi="Consolas" w:cs="Consolas" w:eastAsia="Consolas"/>
          <w:color w:val="2A3038"/>
          <w:sz w:val="17"/>
          <w:szCs w:val="17"/>
          <w:lang w:val="de-CH"/>
        </w:rPr>
        <w:t xml:space="preserve">S = 400 V * 125 A * 1,732 = 86’600 VA</w:t>
      </w:r>
    </w:p>
    <w:p>
      <w:pPr>
        <w:keepNext/>
        <w:keepLines/>
        <w:pageBreakBefore/>
        <w:widowControl w:val="true"/>
        <w:spacing w:before="0" w:after="0" w:line="240" w:lineRule="auto"/>
      </w:pPr>
    </w:p>
    <w:p>
      <w:pPr>
        <w:keepNext/>
        <w:keepLines/>
        <w:widowControl w:val="true"/>
        <w:spacing w:before="0" w:after="0" w:line="3000" w:lineRule="auto"/>
      </w:pPr>
    </w:p>
    <w:p>
      <w:pPr>
        <w:keepNext/>
        <w:keepLines/>
        <w:widowControl w:val="true"/>
        <w:spacing w:before="0" w:after="280" w:line="240" w:lineRule="auto"/>
        <w:jc w:val="center"/>
      </w:pPr>
      <w:r>
        <w:drawing>
          <wp:inline xmlns:a="http://schemas.openxmlformats.org/drawingml/2006/main" xmlns:pic="http://schemas.openxmlformats.org/drawingml/2006/picture">
            <wp:extent cx="1268386" cy="1404000"/>
            <wp:docPr id="2" name="Picture 2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_lockup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268386" cy="1404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keepNext/>
        <w:keepLines/>
        <w:widowControl w:val="true"/>
        <w:pBdr>
          <w:bottom w:val="single" w:color="D8DDE3" w:sz="6" w:space="2"/>
        </w:pBdr>
        <w:spacing w:before="0" w:after="0" w:line="120" w:lineRule="auto"/>
      </w:pPr>
    </w:p>
    <w:p>
      <w:pPr>
        <w:keepNext/>
        <w:keepLines/>
        <w:widowControl w:val="true"/>
        <w:spacing w:before="160" w:after="260" w:line="264" w:lineRule="auto"/>
        <w:jc w:val="center"/>
      </w:pPr>
      <w:r>
        <w:rPr>
          <w:rFonts w:ascii="Arial" w:hAnsi="Arial" w:cs="Arial" w:eastAsia="Arial"/>
          <w:color w:val="6B7480"/>
          <w:sz w:val="18"/>
          <w:szCs w:val="18"/>
          <w:lang w:val="de-CH"/>
        </w:rPr>
        <w:t xml:space="preserve">Ende des Berichts. Erstellt am TT.MM.JJJJ durch Burak Ücöz, kabuu — Netzqualität &amp; EMV Messungen.</w:t>
      </w:r>
    </w:p>
    <w:p>
      <w:pPr>
        <w:keepNext/>
        <w:keepLines/>
        <w:widowControl w:val="true"/>
        <w:spacing w:before="0" w:after="40" w:line="252" w:lineRule="auto"/>
        <w:jc w:val="center"/>
      </w:pPr>
      <w:r>
        <w:rPr>
          <w:rFonts w:ascii="Arial" w:hAnsi="Arial" w:cs="Arial" w:eastAsia="Arial"/>
          <w:b/>
          <w:bCs/>
          <w:color w:val="1B2430"/>
          <w:sz w:val="21"/>
          <w:szCs w:val="21"/>
          <w:lang w:val="de-CH"/>
        </w:rPr>
        <w:t xml:space="preserve">Burak Ücöz</w:t>
      </w:r>
    </w:p>
    <w:p>
      <w:pPr>
        <w:keepLines/>
        <w:widowControl w:val="true"/>
        <w:spacing w:before="0" w:after="40" w:line="252" w:lineRule="auto"/>
        <w:jc w:val="center"/>
      </w:pPr>
      <w:r>
        <w:rPr>
          <w:rFonts w:ascii="Arial" w:hAnsi="Arial" w:cs="Arial" w:eastAsia="Arial"/>
          <w:color w:val="3A4048"/>
          <w:sz w:val="18"/>
          <w:szCs w:val="18"/>
          <w:lang w:val="de-CH"/>
        </w:rPr>
        <w:t xml:space="preserve">kabuu — Netzqualität &amp; EMV Messungen · Im Abt 9 A · 8240 Thayngen</w:t>
      </w:r>
    </w:p>
    <w:p>
      <w:pPr>
        <w:keepLines/>
        <w:widowControl w:val="true"/>
        <w:spacing w:before="0" w:after="40" w:line="252" w:lineRule="auto"/>
        <w:jc w:val="center"/>
      </w:pPr>
      <w:r>
        <w:rPr>
          <w:rFonts w:ascii="Arial" w:hAnsi="Arial" w:cs="Arial" w:eastAsia="Arial"/>
          <w:color w:val="3A4048"/>
          <w:sz w:val="18"/>
          <w:szCs w:val="18"/>
          <w:lang w:val="de-CH"/>
        </w:rPr>
        <w:t xml:space="preserve">+41 79 512 98 07 · engineering.kabuu@gmail.com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418" w:right="1247" w:bottom="1191" w:left="1247" w:header="624" w:footer="624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pBdr>
        <w:top w:val="single" w:color="D8DDE3" w:sz="6" w:space="6"/>
      </w:pBdr>
      <w:spacing w:before="80" w:after="0" w:line="240" w:lineRule="auto"/>
    </w:pPr>
    <w:r/>
    <w:r>
      <w:rPr>
        <w:rFonts w:ascii="Arial" w:hAnsi="Arial" w:cs="Arial" w:eastAsia="Arial"/>
        <w:color w:val="6B7480"/>
        <w:sz w:val="16"/>
        <w:szCs w:val="16"/>
        <w:lang w:val="de-CH"/>
      </w:rPr>
      <w:t xml:space="preserve">kabuu · Netzqualität &amp; EMV Messungen · Burak Ücöz</w:t>
    </w:r>
    <w:r>
      <w:rPr>
        <w:rFonts w:ascii="Arial" w:hAnsi="Arial" w:cs="Arial" w:eastAsia="Arial"/>
        <w:color w:val="6B7480"/>
        <w:sz w:val="16"/>
        <w:szCs w:val="16"/>
        <w:lang w:val="de-CH"/>
      </w:rPr>
      <w:tab/>
      <w:t xml:space="preserve">Seite </w:t>
    </w:r>
    <w:r>
      <w:rPr>
        <w:rFonts w:ascii="Arial" w:hAnsi="Arial" w:cs="Arial"/>
        <w:b/>
        <w:color w:val="1B2430"/>
        <w:sz w:val="16"/>
        <w:szCs w:val="16"/>
      </w:rPr>
      <w:fldChar w:fldCharType="begin"/>
    </w:r>
    <w:r>
      <w:rPr>
        <w:rFonts w:ascii="Arial" w:hAnsi="Arial" w:cs="Arial"/>
        <w:b/>
        <w:color w:val="1B2430"/>
        <w:sz w:val="16"/>
        <w:szCs w:val="16"/>
      </w:rPr>
      <w:instrText xml:space="preserve"> PAGE </w:instrText>
    </w:r>
    <w:r>
      <w:rPr>
        <w:rFonts w:ascii="Arial" w:hAnsi="Arial" w:cs="Arial"/>
        <w:b/>
        <w:color w:val="1B2430"/>
        <w:sz w:val="16"/>
        <w:szCs w:val="16"/>
      </w:rPr>
      <w:fldChar w:fldCharType="separate"/>
    </w:r>
    <w:r>
      <w:rPr>
        <w:rFonts w:ascii="Arial" w:hAnsi="Arial" w:cs="Arial"/>
        <w:b/>
        <w:color w:val="1B2430"/>
        <w:sz w:val="16"/>
        <w:szCs w:val="16"/>
      </w:rPr>
      <w:fldChar w:fldCharType="end"/>
    </w:r>
    <w:r>
      <w:rPr>
        <w:rFonts w:ascii="Arial" w:hAnsi="Arial" w:cs="Arial" w:eastAsia="Arial"/>
        <w:color w:val="6B7480"/>
        <w:sz w:val="16"/>
        <w:szCs w:val="16"/>
        <w:lang w:val="de-CH"/>
      </w:rPr>
      <w:t xml:space="preserve"> von </w:t>
    </w:r>
    <w:r>
      <w:rPr>
        <w:rFonts w:ascii="Arial" w:hAnsi="Arial" w:cs="Arial"/>
        <w:color w:val="6B7480"/>
        <w:sz w:val="16"/>
        <w:szCs w:val="16"/>
      </w:rPr>
      <w:fldChar w:fldCharType="begin"/>
    </w:r>
    <w:r>
      <w:rPr>
        <w:rFonts w:ascii="Arial" w:hAnsi="Arial" w:cs="Arial"/>
        <w:color w:val="6B7480"/>
        <w:sz w:val="16"/>
        <w:szCs w:val="16"/>
      </w:rPr>
      <w:instrText xml:space="preserve"> NUMPAGES </w:instrText>
    </w:r>
    <w:r>
      <w:rPr>
        <w:rFonts w:ascii="Arial" w:hAnsi="Arial" w:cs="Arial"/>
        <w:color w:val="6B7480"/>
        <w:sz w:val="16"/>
        <w:szCs w:val="16"/>
      </w:rPr>
      <w:fldChar w:fldCharType="separate"/>
    </w:r>
    <w:r>
      <w:rPr>
        <w:rFonts w:ascii="Arial" w:hAnsi="Arial" w:cs="Arial"/>
        <w:color w:val="6B7480"/>
        <w:sz w:val="16"/>
        <w:szCs w:val="16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pBdr>
        <w:top w:val="single" w:color="D8DDE3" w:sz="6" w:space="6"/>
      </w:pBdr>
      <w:spacing w:before="80" w:after="0" w:line="240" w:lineRule="auto"/>
    </w:pPr>
    <w:r/>
    <w:r>
      <w:rPr>
        <w:rFonts w:ascii="Arial" w:hAnsi="Arial" w:cs="Arial" w:eastAsia="Arial"/>
        <w:color w:val="6B7480"/>
        <w:sz w:val="16"/>
        <w:szCs w:val="16"/>
        <w:lang w:val="de-CH"/>
      </w:rPr>
      <w:t xml:space="preserve">kabuu · Netzqualität &amp; EMV Messungen · Burak Ücöz</w:t>
    </w:r>
    <w:r>
      <w:rPr>
        <w:rFonts w:ascii="Arial" w:hAnsi="Arial" w:cs="Arial" w:eastAsia="Arial"/>
        <w:color w:val="6B7480"/>
        <w:sz w:val="16"/>
        <w:szCs w:val="16"/>
        <w:lang w:val="de-CH"/>
      </w:rPr>
      <w:tab/>
      <w:t xml:space="preserve">Seite </w:t>
    </w:r>
    <w:r>
      <w:rPr>
        <w:rFonts w:ascii="Arial" w:hAnsi="Arial" w:cs="Arial"/>
        <w:b/>
        <w:color w:val="1B2430"/>
        <w:sz w:val="16"/>
        <w:szCs w:val="16"/>
      </w:rPr>
      <w:fldChar w:fldCharType="begin"/>
    </w:r>
    <w:r>
      <w:rPr>
        <w:rFonts w:ascii="Arial" w:hAnsi="Arial" w:cs="Arial"/>
        <w:b/>
        <w:color w:val="1B2430"/>
        <w:sz w:val="16"/>
        <w:szCs w:val="16"/>
      </w:rPr>
      <w:instrText xml:space="preserve"> PAGE </w:instrText>
    </w:r>
    <w:r>
      <w:rPr>
        <w:rFonts w:ascii="Arial" w:hAnsi="Arial" w:cs="Arial"/>
        <w:b/>
        <w:color w:val="1B2430"/>
        <w:sz w:val="16"/>
        <w:szCs w:val="16"/>
      </w:rPr>
      <w:fldChar w:fldCharType="separate"/>
    </w:r>
    <w:r>
      <w:rPr>
        <w:rFonts w:ascii="Arial" w:hAnsi="Arial" w:cs="Arial"/>
        <w:b/>
        <w:color w:val="1B2430"/>
        <w:sz w:val="16"/>
        <w:szCs w:val="16"/>
      </w:rPr>
      <w:fldChar w:fldCharType="end"/>
    </w:r>
    <w:r>
      <w:rPr>
        <w:rFonts w:ascii="Arial" w:hAnsi="Arial" w:cs="Arial" w:eastAsia="Arial"/>
        <w:color w:val="6B7480"/>
        <w:sz w:val="16"/>
        <w:szCs w:val="16"/>
        <w:lang w:val="de-CH"/>
      </w:rPr>
      <w:t xml:space="preserve"> von </w:t>
    </w:r>
    <w:r>
      <w:rPr>
        <w:rFonts w:ascii="Arial" w:hAnsi="Arial" w:cs="Arial"/>
        <w:color w:val="6B7480"/>
        <w:sz w:val="16"/>
        <w:szCs w:val="16"/>
      </w:rPr>
      <w:fldChar w:fldCharType="begin"/>
    </w:r>
    <w:r>
      <w:rPr>
        <w:rFonts w:ascii="Arial" w:hAnsi="Arial" w:cs="Arial"/>
        <w:color w:val="6B7480"/>
        <w:sz w:val="16"/>
        <w:szCs w:val="16"/>
      </w:rPr>
      <w:instrText xml:space="preserve"> NUMPAGES </w:instrText>
    </w:r>
    <w:r>
      <w:rPr>
        <w:rFonts w:ascii="Arial" w:hAnsi="Arial" w:cs="Arial"/>
        <w:color w:val="6B7480"/>
        <w:sz w:val="16"/>
        <w:szCs w:val="16"/>
      </w:rPr>
      <w:fldChar w:fldCharType="separate"/>
    </w:r>
    <w:r>
      <w:rPr>
        <w:rFonts w:ascii="Arial" w:hAnsi="Arial" w:cs="Arial"/>
        <w:color w:val="6B7480"/>
        <w:sz w:val="16"/>
        <w:szCs w:val="16"/>
      </w:rP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color="D8DDE3" w:sz="6" w:space="6"/>
      </w:pBdr>
      <w:spacing w:after="80" w:before="0" w:line="240" w:lineRule="auto"/>
    </w:pPr>
    <w:r/>
    <w:r>
      <w:drawing>
        <wp:inline xmlns:a="http://schemas.openxmlformats.org/drawingml/2006/main" xmlns:pic="http://schemas.openxmlformats.org/drawingml/2006/picture">
          <wp:extent cx="193490" cy="223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_mar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93490" cy="223200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Arial" w:hAnsi="Arial" w:cs="Arial" w:eastAsia="Arial"/>
        <w:b/>
        <w:bCs/>
        <w:color w:val="1B2430"/>
        <w:sz w:val="16"/>
        <w:szCs w:val="16"/>
        <w:lang w:val="de-CH"/>
      </w:rPr>
      <w:t xml:space="preserve">   Berichtstitel</w:t>
    </w:r>
    <w:r>
      <w:rPr>
        <w:rFonts w:ascii="Arial" w:hAnsi="Arial" w:cs="Arial" w:eastAsia="Arial"/>
        <w:color w:val="6B7480"/>
        <w:sz w:val="16"/>
        <w:szCs w:val="16"/>
        <w:lang w:val="de-CH"/>
      </w:rPr>
      <w:tab/>
      <w:t xml:space="preserve">Objekt, Ort · Stand TT.MM.JJJJ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0">
    <w:multiLevelType w:val="hybridMultilevel"/>
    <w:lvl w:ilvl="0">
      <w:start w:val="1"/>
      <w:numFmt w:val="bullet"/>
      <w:lvlText w:val="▪"/>
      <w:lvlJc w:val="left"/>
      <w:pPr>
        <w:ind w:left="340" w:hanging="300"/>
      </w:pPr>
      <w:rPr>
        <w:rFonts w:ascii="Arial" w:hAnsi="Arial" w:hint="default"/>
      </w:rPr>
    </w:lvl>
    <w:lvl w:ilvl="1">
      <w:start w:val="1"/>
      <w:numFmt w:val="bullet"/>
      <w:lvlText w:val="▪"/>
      <w:lvlJc w:val="left"/>
      <w:pPr>
        <w:ind w:left="680" w:hanging="300"/>
      </w:pPr>
      <w:rPr>
        <w:rFonts w:ascii="Arial" w:hAnsi="Arial" w:hint="default"/>
      </w:rPr>
    </w:lvl>
    <w:lvl w:ilvl="2">
      <w:start w:val="1"/>
      <w:numFmt w:val="bullet"/>
      <w:lvlText w:val="▪"/>
      <w:lvlJc w:val="left"/>
      <w:pPr>
        <w:ind w:left="1020" w:hanging="300"/>
      </w:pPr>
      <w:rPr>
        <w:rFonts w:ascii="Arial" w:hAnsi="Arial" w:hint="default"/>
      </w:rPr>
    </w:lvl>
  </w:abstractNum>
  <w:abstractNum w:abstractNumId="11">
    <w:multiLevelType w:val="hybridMultilevel"/>
    <w:lvl w:ilvl="0">
      <w:start w:val="1"/>
      <w:numFmt w:val="decimal"/>
      <w:lvlText w:val="%1."/>
      <w:lvlJc w:val="left"/>
      <w:pPr>
        <w:ind w:left="340" w:hanging="300"/>
      </w:pPr>
    </w:lvl>
    <w:lvl w:ilvl="1">
      <w:start w:val="1"/>
      <w:numFmt w:val="decimal"/>
      <w:lvlText w:val="%2."/>
      <w:lvlJc w:val="left"/>
      <w:pPr>
        <w:ind w:left="680" w:hanging="300"/>
      </w:pPr>
    </w:lvl>
    <w:lvl w:ilvl="2">
      <w:start w:val="1"/>
      <w:numFmt w:val="decimal"/>
      <w:lvlText w:val="%3."/>
      <w:lvlJc w:val="left"/>
      <w:pPr>
        <w:ind w:left="1020" w:hanging="300"/>
      </w:pPr>
    </w:lvl>
  </w:abstractNum>
  <w:num w:numId="10">
    <w:abstractNumId w:val="10"/>
  </w:num>
  <w:num w:numId="2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autoHyphenation w:val="true"/>
  <w:consecutiveHyphenLimit w:val="2"/>
  <w:hyphenationZone w:val="284"/>
  <w:doNotHyphenateCaps w:val="true"/>
  <w:evenAndOddHeaders w:val="false"/>
  <w:characterSpacingControl w:val="doNotCompress"/>
  <w:savePreviewPicture/>
  <w:updateFields w:val="true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rial" w:hAnsi="Arial" w:cs="Arial" w:eastAsia="Arial"/>
      <w:sz w:val="20"/>
      <w:lang w:val="de-CH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right" w:pos="941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right" w:pos="941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rial" w:hAnsi="Arial"/>
      <w:b/>
      <w:bCs/>
      <w:color w:val="1B2430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rial" w:hAnsi="Arial"/>
      <w:b/>
      <w:bCs/>
      <w:color w:val="1B2430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Arial" w:hAnsi="Arial"/>
      <w:b/>
      <w:bCs/>
      <w:color w:val="3A4048"/>
      <w:sz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kabuu Berichtssatz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Burak Ücöz</Manager>
  <Company>kabuu — Netzqualität &amp; EMV Messungen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kabuu — Vorlage Messbericht</dc:title>
  <dc:subject>Wordvorlage für Berichte von kabuu Netzqualität &amp; EMV Messungen</dc:subject>
  <dc:creator>Burak Ücöz</dc:creator>
  <cp:keywords>Vorlage, Messbericht, Netzqualität, kabuu</cp:keywords>
  <dc:description>Leere Berichtsvorlage mit Deckblatt, Überschriftenebenen, Tabellenlook, Hinweiskästen und Bildlegenden.</dc:description>
  <cp:lastModifiedBy>Burak Ücöz</cp:lastModifiedBy>
  <cp:revision>1</cp:revision>
  <dcterms:created xsi:type="dcterms:W3CDTF">2026-08-23T00:00:00Z</dcterms:created>
  <dcterms:modified xsi:type="dcterms:W3CDTF">2026-08-23T00:00:00Z</dcterms:modified>
  <cp:category>Messbericht</cp:category>
</cp:coreProperties>
</file>