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2E8F0" w:sz="4" w:space="2"/>
        </w:pBdr>
        <w:spacing w:after="40" w:before="100"/>
      </w:pPr>
      <w:r>
        <w:rPr>
          <w:rFonts w:ascii="Calibri" w:cs="Calibri" w:eastAsia="Calibri" w:hAnsi="Calibri"/>
          <w:color w:val="64748B"/>
          <w:sz w:val="14"/>
          <w:szCs w:val="14"/>
        </w:rPr>
        <w:t xml:space="preserve">kabuu  ·  Netzqualität &amp; EMV Messungen · Engineering  ·  Burak Ücöz  ·  </w:t>
      </w:r>
      <w:r>
        <w:rPr>
          <w:rFonts w:ascii="Calibri" w:cs="Calibri" w:eastAsia="Calibri" w:hAnsi="Calibri"/>
          <w:color w:val="64748B"/>
          <w:sz w:val="14"/>
          <w:szCs w:val="14"/>
        </w:rPr>
        <w:t xml:space="preserve">Im Abt 9 A, 8240 Thayngen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400"/>
        <w:gridCol w:w="3960"/>
      </w:tblGrid>
      <w:tr>
        <w:tc>
          <w:tcPr>
            <w:tcW w:type="dxa" w:w="5400"/>
            <w:tcMar>
              <w:top w:type="dxa" w:w="120"/>
              <w:left w:type="dxa" w:w="0"/>
              <w:bottom w:type="dxa" w:w="120"/>
              <w:right w:type="dxa" w:w="200"/>
            </w:tcMar>
          </w:tcPr>
          <w:p>
            <w:pPr>
              <w:spacing w:after="40"/>
            </w:pPr>
            <w:r>
              <w:rPr>
                <w:rFonts w:ascii="Calibri" w:cs="Calibri" w:eastAsia="Calibri" w:hAnsi="Calibri"/>
                <w:caps/>
                <w:color w:val="64748B"/>
                <w:spacing w:val="40"/>
                <w:sz w:val="14"/>
                <w:szCs w:val="14"/>
              </w:rPr>
              <w:t xml:space="preserve">An</w:t>
            </w:r>
          </w:p>
          <w:p>
            <w:pPr>
              <w:spacing w:after="40"/>
            </w:pPr>
            <w:r>
              <w:rPr>
                <w:rFonts w:ascii="Calibri" w:cs="Calibri" w:eastAsia="Calibri" w:hAnsi="Calibri"/>
                <w:b/>
                <w:bCs/>
                <w:color w:val="0F172A"/>
                <w:sz w:val="22"/>
                <w:szCs w:val="22"/>
              </w:rPr>
              <w:t xml:space="preserve">Baumann Elektrokontrollen GmbH</w:t>
            </w:r>
          </w:p>
          <w:p>
            <w:pPr>
              <w:spacing w:after="40"/>
            </w:pPr>
            <w:r>
              <w:rPr>
                <w:rFonts w:ascii="Calibri" w:cs="Calibri" w:eastAsia="Calibri" w:hAnsi="Calibri"/>
                <w:color w:val="0F172A"/>
                <w:sz w:val="20"/>
                <w:szCs w:val="20"/>
              </w:rPr>
              <w:t xml:space="preserve">Herr Sammy Baumann</w:t>
            </w:r>
          </w:p>
          <w:p>
            <w:pPr>
              <w:spacing w:after="40"/>
            </w:pPr>
            <w:r>
              <w:rPr>
                <w:rFonts w:ascii="Calibri" w:cs="Calibri" w:eastAsia="Calibri" w:hAnsi="Calibri"/>
                <w:color w:val="0F172A"/>
                <w:sz w:val="20"/>
                <w:szCs w:val="20"/>
              </w:rPr>
              <w:t xml:space="preserve">Hirschenstrasse 17</w:t>
            </w:r>
          </w:p>
          <w:p>
            <w:pPr>
              <w:spacing w:after="40"/>
            </w:pPr>
            <w:r>
              <w:rPr>
                <w:rFonts w:ascii="Calibri" w:cs="Calibri" w:eastAsia="Calibri" w:hAnsi="Calibri"/>
                <w:color w:val="0F172A"/>
                <w:sz w:val="20"/>
                <w:szCs w:val="20"/>
              </w:rPr>
              <w:t xml:space="preserve">9200 Gossau</w:t>
            </w:r>
          </w:p>
        </w:tc>
        <w:tc>
          <w:tcPr>
            <w:tcW w:type="dxa" w:w="3960"/>
            <w:tcBorders>
              <w:top w:val="single" w:color="E2E8F0" w:sz="4"/>
              <w:left w:val="single" w:color="00B8D9" w:sz="24"/>
              <w:bottom w:val="single" w:color="E2E8F0" w:sz="4"/>
              <w:right w:val="single" w:color="E2E8F0" w:sz="4"/>
            </w:tcBorders>
            <w:shd w:fill="F8FAFC" w:color="auto" w:val="clear"/>
            <w:tcMar>
              <w:top w:type="dxa" w:w="180"/>
              <w:left w:type="dxa" w:w="240"/>
              <w:bottom w:type="dxa" w:w="180"/>
              <w:right w:type="dxa" w:w="240"/>
            </w:tcMar>
          </w:tcPr>
          <w:p>
            <w:pPr>
              <w:spacing w:after="60"/>
            </w:pPr>
            <w:r>
              <w:rPr>
                <w:rFonts w:ascii="Calibri" w:cs="Calibri" w:eastAsia="Calibri" w:hAnsi="Calibri"/>
                <w:b/>
                <w:bCs/>
                <w:color w:val="0B2545"/>
                <w:spacing w:val="60"/>
                <w:sz w:val="16"/>
                <w:szCs w:val="16"/>
              </w:rPr>
              <w:t xml:space="preserve">NACHTRAGSRECHNUNG</w:t>
            </w:r>
          </w:p>
          <w:p>
            <w:pPr>
              <w:spacing w:after="40"/>
            </w:pPr>
            <w:r>
              <w:rPr>
                <w:rFonts w:ascii="Calibri" w:cs="Calibri" w:eastAsia="Calibri" w:hAnsi="Calibri"/>
                <w:color w:val="64748B"/>
                <w:sz w:val="18"/>
                <w:szCs w:val="18"/>
              </w:rPr>
              <w:t xml:space="preserve">Nr.  </w:t>
            </w:r>
            <w:r>
              <w:rPr>
                <w:rFonts w:ascii="Calibri" w:cs="Calibri" w:eastAsia="Calibri" w:hAnsi="Calibri"/>
                <w:b/>
                <w:bCs/>
                <w:color w:val="0F172A"/>
                <w:sz w:val="18"/>
                <w:szCs w:val="18"/>
              </w:rPr>
              <w:t xml:space="preserve">2026-0802</w:t>
            </w:r>
          </w:p>
          <w:p>
            <w:pPr>
              <w:spacing w:after="40"/>
            </w:pPr>
            <w:r>
              <w:rPr>
                <w:rFonts w:ascii="Calibri" w:cs="Calibri" w:eastAsia="Calibri" w:hAnsi="Calibri"/>
                <w:color w:val="64748B"/>
                <w:sz w:val="18"/>
                <w:szCs w:val="18"/>
              </w:rPr>
              <w:t xml:space="preserve">Datum  </w:t>
            </w:r>
            <w:r>
              <w:rPr>
                <w:rFonts w:ascii="Calibri" w:cs="Calibri" w:eastAsia="Calibri" w:hAnsi="Calibri"/>
                <w:b/>
                <w:bCs/>
                <w:color w:val="0F172A"/>
                <w:sz w:val="18"/>
                <w:szCs w:val="18"/>
              </w:rPr>
              <w:t xml:space="preserve">24.08.2026</w:t>
            </w:r>
          </w:p>
          <w:p>
            <w:pPr>
              <w:spacing w:after="40"/>
            </w:pPr>
            <w:r>
              <w:rPr>
                <w:rFonts w:ascii="Calibri" w:cs="Calibri" w:eastAsia="Calibri" w:hAnsi="Calibri"/>
                <w:color w:val="64748B"/>
                <w:sz w:val="18"/>
                <w:szCs w:val="18"/>
              </w:rPr>
              <w:t xml:space="preserve">Zahlbar bis  </w:t>
            </w:r>
            <w:r>
              <w:rPr>
                <w:rFonts w:ascii="Calibri" w:cs="Calibri" w:eastAsia="Calibri" w:hAnsi="Calibri"/>
                <w:b/>
                <w:bCs/>
                <w:color w:val="0F172A"/>
                <w:sz w:val="18"/>
                <w:szCs w:val="18"/>
              </w:rPr>
              <w:t xml:space="preserve">07.09.2026</w:t>
            </w:r>
          </w:p>
          <w:p>
            <w:pPr>
              <w:spacing w:after="0" w:before="60"/>
            </w:pPr>
            <w:r>
              <w:rPr>
                <w:rFonts w:ascii="Calibri" w:cs="Calibri" w:eastAsia="Calibri" w:hAnsi="Calibri"/>
                <w:caps/>
                <w:color w:val="64748B"/>
                <w:spacing w:val="40"/>
                <w:sz w:val="14"/>
                <w:szCs w:val="14"/>
              </w:rPr>
              <w:t xml:space="preserve">Sachbearbeiter</w:t>
            </w:r>
          </w:p>
          <w:p>
            <w:pPr>
              <w:spacing w:after="40"/>
            </w:pPr>
            <w:r>
              <w:rPr>
                <w:rFonts w:ascii="Calibri" w:cs="Calibri" w:eastAsia="Calibri" w:hAnsi="Calibri"/>
                <w:b/>
                <w:bCs/>
                <w:color w:val="0F172A"/>
                <w:sz w:val="18"/>
                <w:szCs w:val="18"/>
              </w:rPr>
              <w:t xml:space="preserve">Burak Ücöz</w:t>
            </w:r>
          </w:p>
          <w:p>
            <w:pPr>
              <w:spacing w:after="0"/>
            </w:pPr>
            <w:r>
              <w:rPr>
                <w:rFonts w:ascii="Calibri" w:cs="Calibri" w:eastAsia="Calibri" w:hAnsi="Calibri"/>
                <w:b/>
                <w:bCs/>
                <w:color w:val="0B2545"/>
                <w:sz w:val="16"/>
                <w:szCs w:val="16"/>
              </w:rPr>
              <w:t xml:space="preserve">Netzqualität &amp; EMV Messungen</w:t>
            </w:r>
          </w:p>
        </w:tc>
      </w:tr>
    </w:tbl>
    <w:p>
      <w:pPr>
        <w:spacing w:after="0" w:before="200"/>
        <w:jc w:val="right"/>
      </w:pPr>
      <w:r>
        <w:rPr>
          <w:rFonts w:ascii="Calibri" w:cs="Calibri" w:eastAsia="Calibri" w:hAnsi="Calibri"/>
          <w:color w:val="334155"/>
          <w:sz w:val="18"/>
          <w:szCs w:val="18"/>
        </w:rPr>
        <w:t xml:space="preserve">Thayngen, 24.08.2026</w:t>
      </w:r>
    </w:p>
    <w:p>
      <w:pPr>
        <w:spacing w:after="40" w:before="260"/>
      </w:pPr>
      <w:r>
        <w:rPr>
          <w:rFonts w:ascii="Calibri" w:cs="Calibri" w:eastAsia="Calibri" w:hAnsi="Calibri"/>
          <w:b/>
          <w:bCs/>
          <w:color w:val="00B8D9"/>
          <w:spacing w:val="80"/>
          <w:sz w:val="16"/>
          <w:szCs w:val="16"/>
        </w:rPr>
        <w:t xml:space="preserve">NACHTRAGSRECHNUNG · 2026-0802</w:t>
      </w:r>
    </w:p>
    <w:p>
      <w:pPr>
        <w:pBdr>
          <w:bottom w:val="single" w:color="0B2545" w:sz="8" w:space="8"/>
        </w:pBdr>
        <w:spacing w:after="240" w:before="0"/>
      </w:pPr>
      <w:r>
        <w:rPr>
          <w:rFonts w:ascii="Calibri" w:cs="Calibri" w:eastAsia="Calibri" w:hAnsi="Calibri"/>
          <w:b/>
          <w:bCs/>
          <w:color w:val="0B2545"/>
          <w:sz w:val="30"/>
          <w:szCs w:val="30"/>
        </w:rPr>
        <w:t xml:space="preserve">Verlängerte Messdauer — Netzqualitätsmessung Gasthaus Kreuz, Zuzwil SG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BEZUG</w:t>
            </w:r>
          </w:p>
          <w:p>
            <w:r>
              <w:rPr>
                <w:rFonts w:ascii="Calibri" w:cs="Calibri" w:eastAsia="Calibri" w:hAnsi="Calibri"/>
                <w:color w:val="0F172A"/>
                <w:sz w:val="18"/>
                <w:szCs w:val="18"/>
              </w:rPr>
              <w:t xml:space="preserve">Rechnung 2026-0801 vom 04.08.2026 über CHF 1'850.00</w:t>
            </w:r>
          </w:p>
        </w:tc>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OBJEKT</w:t>
            </w:r>
          </w:p>
          <w:p>
            <w:r>
              <w:rPr>
                <w:rFonts w:ascii="Calibri" w:cs="Calibri" w:eastAsia="Calibri" w:hAnsi="Calibri"/>
                <w:color w:val="0F172A"/>
                <w:sz w:val="18"/>
                <w:szCs w:val="18"/>
              </w:rPr>
              <w:t xml:space="preserve">Gasthaus Kreuz, Oberdorfstrasse 16, 9524 Zuzwil SG</w:t>
            </w:r>
          </w:p>
        </w:tc>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LEISTUNGSZEITRAUM</w:t>
            </w:r>
          </w:p>
          <w:p>
            <w:r>
              <w:rPr>
                <w:rFonts w:ascii="Calibri" w:cs="Calibri" w:eastAsia="Calibri" w:hAnsi="Calibri"/>
                <w:color w:val="0F172A"/>
                <w:sz w:val="18"/>
                <w:szCs w:val="18"/>
              </w:rPr>
              <w:t xml:space="preserve">05.08.2026 bis 17.08.2026 (verlängerte Messdauer)</w:t>
            </w:r>
          </w:p>
        </w:tc>
      </w:tr>
    </w:tbl>
    <w:p>
      <w:pPr>
        <w:spacing w:after="140" w:before="280"/>
      </w:pPr>
      <w:r>
        <w:rPr>
          <w:rFonts w:ascii="Calibri" w:cs="Calibri" w:eastAsia="Calibri" w:hAnsi="Calibri"/>
          <w:color w:val="0F172A"/>
          <w:sz w:val="22"/>
          <w:szCs w:val="22"/>
        </w:rPr>
        <w:t xml:space="preserve">Sehr geehrter Herr Baumann, lieber Sammy</w:t>
      </w:r>
    </w:p>
    <w:p>
      <w:pPr>
        <w:spacing w:after="160" w:line="300" w:lineRule="auto"/>
      </w:pPr>
      <w:r>
        <w:rPr>
          <w:rFonts w:ascii="Calibri" w:cs="Calibri" w:eastAsia="Calibri" w:hAnsi="Calibri"/>
          <w:color w:val="0F172A"/>
          <w:sz w:val="20"/>
          <w:szCs w:val="20"/>
        </w:rPr>
        <w:t xml:space="preserve">Die Messkampagne im Gasthaus Kreuz lief vom 05.08. bis 17.08.2026 und damit über 12 statt der vereinbarten 7 Tage. Grund war die Ferienabwesenheit vor Ort; der Abbau war früher nicht möglich. Auf deinen Wunsch verrechne ich den daraus entstandenen Mehraufwand nach. Die Herleitung findest du auf der zweiten Seite, sie stützt sich ausschliesslich auf die Ansätze der bestehenden Rechnung.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700"/>
        <w:gridCol w:w="5200"/>
        <w:gridCol w:w="1800"/>
        <w:gridCol w:w="1660"/>
      </w:tblGrid>
      <w:tr>
        <w:trPr>
          <w:tblHeader/>
        </w:trPr>
        <w:tc>
          <w:tcPr>
            <w:tcW w:type="dxa" w:w="7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POS</w:t>
            </w:r>
          </w:p>
        </w:tc>
        <w:tc>
          <w:tcPr>
            <w:tcW w:type="dxa" w:w="5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LEISTUNG</w:t>
            </w:r>
          </w:p>
        </w:tc>
        <w:tc>
          <w:tcPr>
            <w:tcW w:type="dxa" w:w="18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ANSATZ</w:t>
            </w:r>
          </w:p>
        </w:tc>
        <w:tc>
          <w:tcPr>
            <w:tcW w:type="dxa" w:w="16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CHF</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1</w:t>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Gerätebereitstellung 3× PQMobile5000 Class A, 5 zusätzliche Messtage, inkl. Fernüberwachung</w:t>
            </w:r>
          </w:p>
        </w:tc>
        <w:tc>
          <w:tcPr>
            <w:tcW w:type="dxa" w:w="18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 107.14</w:t>
            </w:r>
          </w:p>
        </w:tc>
        <w:tc>
          <w:tcPr>
            <w:tcW w:type="dxa" w:w="16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535.71</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2</w:t>
            </w:r>
          </w:p>
        </w:tc>
        <w:tc>
          <w:tcPr>
            <w:tcW w:type="dxa" w:w="5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dauerabhängiger Anteil bei 12 statt 7 Tagen Datenbasis</w:t>
            </w:r>
          </w:p>
        </w:tc>
        <w:tc>
          <w:tcPr>
            <w:tcW w:type="dxa" w:w="18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350 × 40 % × 5/7</w:t>
            </w:r>
          </w:p>
        </w:tc>
        <w:tc>
          <w:tcPr>
            <w:tcW w:type="dxa" w:w="16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100.00</w:t>
            </w:r>
          </w:p>
        </w:tc>
      </w:tr>
      <w:tr>
        <w:tc>
          <w:tcPr>
            <w:tcW w:type="dxa" w:w="7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52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Zwischensumme</w:t>
            </w:r>
          </w:p>
        </w:tc>
        <w:tc>
          <w:tcPr>
            <w:tcW w:type="dxa" w:w="18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166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right"/>
            </w:pPr>
            <w:r>
              <w:rPr>
                <w:rFonts w:ascii="Calibri" w:cs="Calibri" w:eastAsia="Calibri" w:hAnsi="Calibri"/>
                <w:b/>
                <w:bCs/>
                <w:color w:val="0B2545"/>
                <w:sz w:val="20"/>
                <w:szCs w:val="20"/>
              </w:rPr>
              <w:t xml:space="preserve">635.71</w:t>
            </w:r>
          </w:p>
        </w:tc>
      </w:tr>
      <w:tr>
        <w:tc>
          <w:tcPr>
            <w:tcW w:type="dxa" w:w="7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334155"/>
                <w:sz w:val="20"/>
                <w:szCs w:val="20"/>
              </w:rPr>
              <w:t xml:space="preserve">Rundung</w:t>
            </w:r>
          </w:p>
        </w:tc>
        <w:tc>
          <w:tcPr>
            <w:tcW w:type="dxa" w:w="18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166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−0.71</w:t>
            </w:r>
          </w:p>
        </w:tc>
      </w:tr>
      <w:tr>
        <w:tc>
          <w:tcPr>
            <w:tcW w:type="dxa" w:w="7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52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TOTAL OHNE MWST</w:t>
            </w:r>
          </w:p>
        </w:tc>
        <w:tc>
          <w:tcPr>
            <w:tcW w:type="dxa" w:w="18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166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CHF  635.00</w:t>
            </w:r>
          </w:p>
        </w:tc>
      </w:tr>
    </w:tbl>
    <w:p>
      <w:pPr>
        <w:spacing w:before="220"/>
      </w:pPr>
      <w:r>
        <w:rPr>
          <w:rFonts w:ascii="Calibri" w:cs="Calibri" w:eastAsia="Calibri" w:hAnsi="Calibri"/>
          <w:b/>
          <w:bCs/>
          <w:caps/>
          <w:color w:val="00B8D9"/>
          <w:spacing w:val="80"/>
          <w:sz w:val="14"/>
          <w:szCs w:val="14"/>
        </w:rPr>
        <w:t xml:space="preserve">GESAMTSUMME PROJEKT</w:t>
      </w:r>
    </w:p>
    <w:p>
      <w:pPr>
        <w:spacing w:after="10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single" w:color="E2E8F0" w:sz="4"/>
              <w:left w:val="single" w:color="E2E8F0" w:sz="4"/>
              <w:bottom w:val="single" w:color="E2E8F0" w:sz="4"/>
              <w:right w:val="single" w:color="E2E8F0" w:sz="4"/>
            </w:tcBorders>
            <w:shd w:fill="F8FAFC" w:color="auto" w:val="clear"/>
            <w:tcMar>
              <w:top w:type="dxa" w:w="200"/>
              <w:left w:type="dxa" w:w="220"/>
              <w:bottom w:type="dxa" w:w="200"/>
              <w:right w:type="dxa" w:w="220"/>
            </w:tcMar>
          </w:tcPr>
          <w:p>
            <w:pPr>
              <w:spacing w:after="40"/>
            </w:pPr>
            <w:r>
              <w:rPr>
                <w:rFonts w:ascii="Calibri" w:cs="Calibri" w:eastAsia="Calibri" w:hAnsi="Calibri"/>
                <w:b/>
                <w:bCs/>
                <w:caps/>
                <w:color w:val="64748B"/>
                <w:spacing w:val="60"/>
                <w:sz w:val="14"/>
                <w:szCs w:val="14"/>
              </w:rPr>
              <w:t xml:space="preserve">Rechnung 2026-0801</w:t>
            </w:r>
          </w:p>
          <w:p>
            <w:r>
              <w:rPr>
                <w:rFonts w:ascii="Calibri" w:cs="Calibri" w:eastAsia="Calibri" w:hAnsi="Calibri"/>
                <w:b/>
                <w:bCs/>
                <w:color w:val="0B2545"/>
                <w:sz w:val="26"/>
                <w:szCs w:val="26"/>
              </w:rPr>
              <w:t xml:space="preserve">CHF 1'850.00</w:t>
            </w:r>
          </w:p>
        </w:tc>
        <w:tc>
          <w:tcPr>
            <w:tcW w:type="dxa" w:w="3120"/>
            <w:tcBorders>
              <w:top w:val="single" w:color="E2E8F0" w:sz="4"/>
              <w:left w:val="single" w:color="E2E8F0" w:sz="4"/>
              <w:bottom w:val="single" w:color="E2E8F0" w:sz="4"/>
              <w:right w:val="single" w:color="E2E8F0" w:sz="4"/>
            </w:tcBorders>
            <w:shd w:fill="F8FAFC" w:color="auto" w:val="clear"/>
            <w:tcMar>
              <w:top w:type="dxa" w:w="200"/>
              <w:left w:type="dxa" w:w="220"/>
              <w:bottom w:type="dxa" w:w="200"/>
              <w:right w:type="dxa" w:w="220"/>
            </w:tcMar>
          </w:tcPr>
          <w:p>
            <w:pPr>
              <w:spacing w:after="40"/>
            </w:pPr>
            <w:r>
              <w:rPr>
                <w:rFonts w:ascii="Calibri" w:cs="Calibri" w:eastAsia="Calibri" w:hAnsi="Calibri"/>
                <w:b/>
                <w:bCs/>
                <w:caps/>
                <w:color w:val="64748B"/>
                <w:spacing w:val="60"/>
                <w:sz w:val="14"/>
                <w:szCs w:val="14"/>
              </w:rPr>
              <w:t xml:space="preserve">Nachtrag 2026-0802</w:t>
            </w:r>
          </w:p>
          <w:p>
            <w:r>
              <w:rPr>
                <w:rFonts w:ascii="Calibri" w:cs="Calibri" w:eastAsia="Calibri" w:hAnsi="Calibri"/>
                <w:b/>
                <w:bCs/>
                <w:color w:val="0B2545"/>
                <w:sz w:val="26"/>
                <w:szCs w:val="26"/>
              </w:rPr>
              <w:t xml:space="preserve">CHF 635.00</w:t>
            </w:r>
          </w:p>
        </w:tc>
        <w:tc>
          <w:tcPr>
            <w:tcW w:type="dxa" w:w="3120"/>
            <w:tcBorders>
              <w:top w:val="single" w:color="0B2545" w:sz="12"/>
              <w:left w:val="single" w:color="0B2545" w:sz="12"/>
              <w:bottom w:val="single" w:color="0B2545" w:sz="12"/>
              <w:right w:val="single" w:color="0B2545" w:sz="12"/>
            </w:tcBorders>
            <w:shd w:fill="0B2545" w:color="auto" w:val="clear"/>
            <w:tcMar>
              <w:top w:type="dxa" w:w="200"/>
              <w:left w:type="dxa" w:w="220"/>
              <w:bottom w:type="dxa" w:w="200"/>
              <w:right w:type="dxa" w:w="220"/>
            </w:tcMar>
          </w:tcPr>
          <w:p>
            <w:pPr>
              <w:spacing w:after="40"/>
            </w:pPr>
            <w:r>
              <w:rPr>
                <w:rFonts w:ascii="Calibri" w:cs="Calibri" w:eastAsia="Calibri" w:hAnsi="Calibri"/>
                <w:b/>
                <w:bCs/>
                <w:caps/>
                <w:color w:val="B5D5E0"/>
                <w:spacing w:val="60"/>
                <w:sz w:val="14"/>
                <w:szCs w:val="14"/>
              </w:rPr>
              <w:t xml:space="preserve">Gesamtsumme Projekt</w:t>
            </w:r>
          </w:p>
          <w:p>
            <w:r>
              <w:rPr>
                <w:rFonts w:ascii="Calibri" w:cs="Calibri" w:eastAsia="Calibri" w:hAnsi="Calibri"/>
                <w:b/>
                <w:bCs/>
                <w:color w:val="FFFFFF"/>
                <w:sz w:val="26"/>
                <w:szCs w:val="26"/>
              </w:rPr>
              <w:t xml:space="preserve">CHF 2'485.00</w:t>
            </w:r>
          </w:p>
        </w:tc>
      </w:tr>
    </w:tbl>
    <w:p>
      <w:pPr>
        <w:spacing w:after="60" w:before="200"/>
      </w:pPr>
      <w:r>
        <w:rPr>
          <w:rFonts w:ascii="Calibri" w:cs="Calibri" w:eastAsia="Calibri" w:hAnsi="Calibri"/>
          <w:b/>
          <w:bCs/>
          <w:color w:val="0B2545"/>
          <w:sz w:val="18"/>
          <w:szCs w:val="18"/>
        </w:rPr>
        <w:t xml:space="preserve">Nicht MWST-pflichtig </w:t>
      </w:r>
      <w:r>
        <w:rPr>
          <w:rFonts w:ascii="Calibri" w:cs="Calibri" w:eastAsia="Calibri" w:hAnsi="Calibri"/>
          <w:color w:val="334155"/>
          <w:sz w:val="18"/>
          <w:szCs w:val="18"/>
        </w:rPr>
        <w:t xml:space="preserve">gemäss Art. 10 Abs. 2 MWSTG.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2E8F0" w:sz="4"/>
              <w:left w:val="single" w:color="0B2545" w:sz="24"/>
              <w:bottom w:val="single" w:color="E2E8F0" w:sz="4"/>
              <w:right w:val="single" w:color="E2E8F0" w:sz="4"/>
            </w:tcBorders>
            <w:shd w:fill="F8FAFC" w:color="auto" w:val="clear"/>
            <w:tcMar>
              <w:top w:type="dxa" w:w="220"/>
              <w:left w:type="dxa" w:w="260"/>
              <w:bottom w:type="dxa" w:w="220"/>
              <w:right w:type="dxa" w:w="260"/>
            </w:tcMar>
          </w:tcPr>
          <w:p>
            <w:pPr>
              <w:spacing w:after="60"/>
            </w:pPr>
            <w:r>
              <w:rPr>
                <w:rFonts w:ascii="Calibri" w:cs="Calibri" w:eastAsia="Calibri" w:hAnsi="Calibri"/>
                <w:b/>
                <w:bCs/>
                <w:caps/>
                <w:color w:val="0B2545"/>
                <w:spacing w:val="60"/>
                <w:sz w:val="14"/>
                <w:szCs w:val="14"/>
              </w:rPr>
              <w:t xml:space="preserve">ZAHLUNG</w:t>
            </w:r>
          </w:p>
          <w:p>
            <w:pPr>
              <w:spacing w:after="40"/>
            </w:pPr>
            <w:r>
              <w:rPr>
                <w:rFonts w:ascii="Calibri" w:cs="Calibri" w:eastAsia="Calibri" w:hAnsi="Calibri"/>
                <w:color w:val="0F172A"/>
                <w:sz w:val="18"/>
                <w:szCs w:val="18"/>
              </w:rPr>
              <w:t xml:space="preserve">Zahlbar innert 14 Tagen auf </w:t>
            </w:r>
            <w:r>
              <w:rPr>
                <w:rFonts w:ascii="Calibri" w:cs="Calibri" w:eastAsia="Calibri" w:hAnsi="Calibri"/>
                <w:b/>
                <w:bCs/>
                <w:color w:val="0B2545"/>
                <w:sz w:val="18"/>
                <w:szCs w:val="18"/>
              </w:rPr>
              <w:t xml:space="preserve">IBAN CH33 0840 1000 0693 4279 2</w:t>
            </w:r>
            <w:r>
              <w:rPr>
                <w:rFonts w:ascii="Calibri" w:cs="Calibri" w:eastAsia="Calibri" w:hAnsi="Calibri"/>
                <w:color w:val="0F172A"/>
                <w:sz w:val="18"/>
                <w:szCs w:val="18"/>
              </w:rPr>
              <w:t xml:space="preserve">, lautend auf Burak Ücöz, 8240 Thayngen.</w:t>
            </w:r>
          </w:p>
          <w:p>
            <w:r>
              <w:rPr>
                <w:rFonts w:ascii="Calibri" w:cs="Calibri" w:eastAsia="Calibri" w:hAnsi="Calibri"/>
                <w:i/>
                <w:iCs/>
                <w:color w:val="334155"/>
                <w:sz w:val="16"/>
                <w:szCs w:val="16"/>
              </w:rPr>
              <w:t xml:space="preserve">Der Zahlteil auf der letzten Seite kann im E-Banking gescannt werden.</w:t>
            </w:r>
          </w:p>
        </w:tc>
      </w:tr>
    </w:tbl>
    <w:p>
      <w:pPr>
        <w:spacing w:after="120" w:before="260" w:line="300" w:lineRule="auto"/>
      </w:pPr>
      <w:r>
        <w:rPr>
          <w:rFonts w:ascii="Calibri" w:cs="Calibri" w:eastAsia="Calibri" w:hAnsi="Calibri"/>
          <w:color w:val="0F172A"/>
          <w:sz w:val="20"/>
          <w:szCs w:val="20"/>
        </w:rPr>
        <w:t xml:space="preserve">Besten Dank für das Vertrauen und die unkomplizierte Zusammenarbeit. Freundliche Grüsse</w:t>
      </w:r>
    </w:p>
    <w:p>
      <w:pPr>
        <w:spacing w:after="0" w:before="240"/>
      </w:pPr>
      <w:r>
        <w:rPr>
          <w:rFonts w:ascii="Calibri" w:cs="Calibri" w:eastAsia="Calibri" w:hAnsi="Calibri"/>
          <w:b/>
          <w:bCs/>
          <w:color w:val="0B2545"/>
          <w:sz w:val="22"/>
          <w:szCs w:val="22"/>
        </w:rPr>
        <w:t xml:space="preserve">Burak Ücöz</w:t>
      </w:r>
    </w:p>
    <w:p>
      <w:pPr>
        <w:spacing w:after="100" w:before="0"/>
      </w:pPr>
      <w:r>
        <w:rPr>
          <w:rFonts w:ascii="Calibri" w:cs="Calibri" w:eastAsia="Calibri" w:hAnsi="Calibri"/>
          <w:b/>
          <w:bCs/>
          <w:color w:val="0B2545"/>
          <w:sz w:val="18"/>
          <w:szCs w:val="18"/>
        </w:rPr>
        <w:t xml:space="preserve">kabuu — Netzqualität &amp; EMV Messungen · Engineering</w:t>
      </w:r>
    </w:p>
    <w:p>
      <w:r>
        <w:br w:type="page"/>
      </w:r>
    </w:p>
    <w:p>
      <w:pPr>
        <w:pStyle w:val="Heading1"/>
        <w:pBdr>
          <w:bottom w:val="single" w:color="00B8D9" w:sz="12" w:space="6"/>
        </w:pBdr>
        <w:spacing w:after="160" w:before="300"/>
      </w:pPr>
      <w:r>
        <w:rPr>
          <w:rFonts w:ascii="Calibri" w:cs="Calibri" w:eastAsia="Calibri" w:hAnsi="Calibri"/>
          <w:b/>
          <w:bCs/>
          <w:color w:val="0B2545"/>
          <w:sz w:val="34"/>
          <w:szCs w:val="34"/>
        </w:rPr>
        <w:t xml:space="preserve">Herleitung des Mehraufwands</w:t>
      </w:r>
    </w:p>
    <w:p>
      <w:pPr>
        <w:spacing w:after="200" w:line="300" w:lineRule="auto"/>
      </w:pPr>
      <w:r>
        <w:rPr>
          <w:rFonts w:ascii="Calibri" w:cs="Calibri" w:eastAsia="Calibri" w:hAnsi="Calibri"/>
          <w:color w:val="0F172A"/>
          <w:sz w:val="20"/>
          <w:szCs w:val="20"/>
        </w:rPr>
        <w:t xml:space="preserve">Damit die Nachforderung nachvollziehbar bleibt, ist sie nicht neu kalkuliert, sondern vollständig aus den Ansätzen der Rechnung 2026-0801 abgeleitet.</w:t>
      </w:r>
    </w:p>
    <w:p>
      <w:pPr>
        <w:pStyle w:val="Heading2"/>
        <w:spacing w:after="100" w:before="260"/>
      </w:pPr>
      <w:r>
        <w:rPr>
          <w:rFonts w:ascii="Calibri" w:cs="Calibri" w:eastAsia="Calibri" w:hAnsi="Calibri"/>
          <w:b/>
          <w:bCs/>
          <w:color w:val="0B2545"/>
          <w:sz w:val="24"/>
          <w:szCs w:val="24"/>
        </w:rPr>
        <w:t xml:space="preserve">1  Sachverhalt</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2600"/>
        <w:gridCol w:w="3200"/>
        <w:gridCol w:w="3560"/>
      </w:tblGrid>
      <w:tr>
        <w:trPr>
          <w:tblHeader/>
        </w:trPr>
        <w:tc>
          <w:tcPr>
            <w:tcW w:type="dxa" w:w="26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ANGABE</w:t>
            </w:r>
          </w:p>
        </w:tc>
        <w:tc>
          <w:tcPr>
            <w:tcW w:type="dxa" w:w="3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VEREINBART</w:t>
            </w:r>
          </w:p>
        </w:tc>
        <w:tc>
          <w:tcPr>
            <w:tcW w:type="dxa" w:w="35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TATSÄCHLICH</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Messdauer</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7 Tage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Tage</w:t>
            </w:r>
          </w:p>
        </w:tc>
      </w:tr>
      <w:tr>
        <w:tc>
          <w:tcPr>
            <w:tcW w:type="dxa" w:w="26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Zeitraum</w:t>
            </w:r>
          </w:p>
        </w:tc>
        <w:tc>
          <w:tcPr>
            <w:tcW w:type="dxa" w:w="3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05.08. bis 17.08.2026</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Mehrdauer</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5 Tage (entspricht 71 %)</w:t>
            </w:r>
          </w:p>
        </w:tc>
      </w:tr>
      <w:tr>
        <w:tc>
          <w:tcPr>
            <w:tcW w:type="dxa" w:w="26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Grund</w:t>
            </w:r>
          </w:p>
        </w:tc>
        <w:tc>
          <w:tcPr>
            <w:tcW w:type="dxa" w:w="3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Ferienabwesenheit vor Ort, Abbau früher nicht möglich</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Veranlassung</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nicht durch den Auftraggeber</w:t>
            </w:r>
          </w:p>
        </w:tc>
      </w:tr>
    </w:tbl>
    <w:p>
      <w:pPr>
        <w:pStyle w:val="Heading2"/>
        <w:spacing w:after="100" w:before="260"/>
      </w:pPr>
      <w:r>
        <w:rPr>
          <w:rFonts w:ascii="Calibri" w:cs="Calibri" w:eastAsia="Calibri" w:hAnsi="Calibri"/>
          <w:b/>
          <w:bCs/>
          <w:color w:val="0B2545"/>
          <w:sz w:val="24"/>
          <w:szCs w:val="24"/>
        </w:rPr>
        <w:t xml:space="preserve">2  Welche Positionen betroffen sind</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700"/>
        <w:gridCol w:w="4200"/>
        <w:gridCol w:w="1400"/>
        <w:gridCol w:w="3060"/>
      </w:tblGrid>
      <w:tr>
        <w:trPr>
          <w:tblHeader/>
        </w:trPr>
        <w:tc>
          <w:tcPr>
            <w:tcW w:type="dxa" w:w="7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POS</w:t>
            </w:r>
          </w:p>
        </w:tc>
        <w:tc>
          <w:tcPr>
            <w:tcW w:type="dxa" w:w="4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LEISTUNG AUS RECHNUNG 2026-0801</w:t>
            </w:r>
          </w:p>
        </w:tc>
        <w:tc>
          <w:tcPr>
            <w:tcW w:type="dxa" w:w="14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BETROFFEN</w:t>
            </w:r>
          </w:p>
        </w:tc>
        <w:tc>
          <w:tcPr>
            <w:tcW w:type="dxa" w:w="30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BEGRÜNDUNG</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1</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Augenschein vom 24.06.2026</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fand vor der Messung statt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2</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Messplanung und Konfiguration</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vor Messbeginn</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3</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Installation an drei Messpunkten</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unverändert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4</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Messkampagne 7 Tage, 3 Geräte, inkl. Fernüberwachung</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0B2545"/>
                <w:sz w:val="20"/>
                <w:szCs w:val="20"/>
              </w:rPr>
              <w:t xml:space="preserve">ja</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statt 7 Tage</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5</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Abbau der Messtechnik</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nur später ausgeführt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6</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und Bericht</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0B2545"/>
                <w:sz w:val="20"/>
                <w:szCs w:val="20"/>
              </w:rPr>
              <w:t xml:space="preserve">ja</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statt 7 Tage Datenbasis</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7</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Besprechung der Ergebnisse</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unverändert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8</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Anfahrten Pauschale</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keine zusätzliche Fahrt erforderlich</w:t>
            </w:r>
          </w:p>
        </w:tc>
      </w:tr>
    </w:tbl>
    <w:p>
      <w:pPr>
        <w:pStyle w:val="Heading2"/>
        <w:spacing w:after="100" w:before="260"/>
      </w:pPr>
      <w:r>
        <w:rPr>
          <w:rFonts w:ascii="Calibri" w:cs="Calibri" w:eastAsia="Calibri" w:hAnsi="Calibri"/>
          <w:b/>
          <w:bCs/>
          <w:color w:val="0B2545"/>
          <w:sz w:val="24"/>
          <w:szCs w:val="24"/>
        </w:rPr>
        <w:t xml:space="preserve">3  Position 4 · Gerätebereitstellung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400"/>
        <w:gridCol w:w="2500"/>
        <w:gridCol w:w="2460"/>
      </w:tblGrid>
      <w:tr>
        <w:trPr>
          <w:tblHeader/>
        </w:trPr>
        <w:tc>
          <w:tcPr>
            <w:tcW w:type="dxa" w:w="44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SCHRITT</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RECHNUNG</w:t>
            </w:r>
          </w:p>
        </w:tc>
        <w:tc>
          <w:tcPr>
            <w:tcW w:type="dxa" w:w="24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ERGEBNIS</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Ansatz aus Rechnung 2026-0801, Pos. 4</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7 Tage, 3 Geräte</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750.00</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Daraus abgeleiteter Tagessatz für alle drei Geräte</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750 ÷ 7</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107.14</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Je Gerät und Tag</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107.14 ÷ 3</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35.71</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Mehrdauer</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Tage</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64748B"/>
                <w:sz w:val="20"/>
                <w:szCs w:val="20"/>
              </w:rPr>
              <w:t xml:space="preserve">—</w:t>
            </w:r>
          </w:p>
        </w:tc>
      </w:tr>
      <w:tr>
        <w:tc>
          <w:tcPr>
            <w:tcW w:type="dxa" w:w="4400"/>
            <w:tcMar>
              <w:top w:type="dxa" w:w="90"/>
              <w:left w:type="dxa" w:w="140"/>
              <w:bottom w:type="dxa" w:w="90"/>
              <w:right w:type="dxa" w:w="140"/>
            </w:tcMar>
            <w:vAlign w:val="center"/>
          </w:tcPr>
          <w:p>
            <w:pPr>
              <w:jc w:val="left"/>
            </w:pPr>
            <w:r>
              <w:rPr>
                <w:rFonts w:ascii="Calibri" w:cs="Calibri" w:eastAsia="Calibri" w:hAnsi="Calibri"/>
                <w:b/>
                <w:bCs/>
                <w:i w:val="false"/>
                <w:iCs w:val="false"/>
                <w:color w:val="0B2545"/>
                <w:sz w:val="20"/>
                <w:szCs w:val="20"/>
              </w:rPr>
              <w:t xml:space="preserve">Mehraufwand Position 4</w:t>
            </w:r>
          </w:p>
        </w:tc>
        <w:tc>
          <w:tcPr>
            <w:tcW w:type="dxa" w:w="250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5 × 107.14</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CHF 535.71</w:t>
            </w:r>
          </w:p>
        </w:tc>
      </w:tr>
    </w:tbl>
    <w:p>
      <w:pPr>
        <w:spacing w:after="0" w:before="120" w:line="300" w:lineRule="auto"/>
      </w:pPr>
      <w:r>
        <w:rPr>
          <w:rFonts w:ascii="Calibri" w:cs="Calibri" w:eastAsia="Calibri" w:hAnsi="Calibri"/>
          <w:i/>
          <w:iCs/>
          <w:color w:val="334155"/>
          <w:sz w:val="20"/>
          <w:szCs w:val="20"/>
        </w:rPr>
        <w:t xml:space="preserve">Die Fernüberwachung ist im Ansatz der Position 4 enthalten und wird deshalb nicht separat verrechnet — sie ist über die fünf zusätzlichen Tage anteilig abgedeckt.</w:t>
      </w:r>
    </w:p>
    <w:p>
      <w:pPr>
        <w:pStyle w:val="Heading2"/>
        <w:spacing w:after="100" w:before="260"/>
      </w:pPr>
      <w:r>
        <w:rPr>
          <w:rFonts w:ascii="Calibri" w:cs="Calibri" w:eastAsia="Calibri" w:hAnsi="Calibri"/>
          <w:b/>
          <w:bCs/>
          <w:color w:val="0B2545"/>
          <w:sz w:val="24"/>
          <w:szCs w:val="24"/>
        </w:rPr>
        <w:t xml:space="preserve">4  Position 6 · Auswertung</w:t>
      </w:r>
    </w:p>
    <w:p>
      <w:pPr>
        <w:spacing w:after="140" w:before="100" w:line="300" w:lineRule="auto"/>
      </w:pPr>
      <w:r>
        <w:rPr>
          <w:rFonts w:ascii="Calibri" w:cs="Calibri" w:eastAsia="Calibri" w:hAnsi="Calibri"/>
          <w:color w:val="0F172A"/>
          <w:sz w:val="20"/>
          <w:szCs w:val="20"/>
        </w:rPr>
        <w:t xml:space="preserve">Der Auswertungsaufwand steigt nicht proportional zur Datenmenge. Ein Teil der Arbeit ist von der Messdauer unabhängig.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680"/>
        <w:gridCol w:w="4680"/>
      </w:tblGrid>
      <w:tr>
        <w:trPr>
          <w:tblHeader/>
        </w:trPr>
        <w:tc>
          <w:tcPr>
            <w:tcW w:type="dxa" w:w="468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VON DER DAUER UNABHÄNGIG</w:t>
            </w:r>
          </w:p>
        </w:tc>
        <w:tc>
          <w:tcPr>
            <w:tcW w:type="dxa" w:w="468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MIT DER DAUER WACHSEND</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Gerätekonfiguration einlesen</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Sichtung der Zeitreihen, 12 statt 7 Tage</w:t>
            </w:r>
          </w:p>
        </w:tc>
      </w:tr>
      <w:tr>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95-Perzentil-Lauf je Bewertungsgrösse</w:t>
            </w:r>
          </w:p>
        </w:tc>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Prüfung und Zuordnung der Ereignisse</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Normvergleich nach EN 50160</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Plausibilisierung je Messpunkt</w:t>
            </w:r>
          </w:p>
        </w:tc>
      </w:tr>
      <w:tr>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Berichtsstruktur, Kapitel, Grafiken</w:t>
            </w:r>
          </w:p>
        </w:tc>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Datenexport und Aufbereitung</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Anlagenbeschreibung und Schema</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r>
    </w:tbl>
    <w:p>
      <w:pPr>
        <w:spacing w:before="220"/>
      </w:pPr>
      <w:r>
        <w:t xml:space="preserve"/>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400"/>
        <w:gridCol w:w="2500"/>
        <w:gridCol w:w="2460"/>
      </w:tblGrid>
      <w:tr>
        <w:trPr>
          <w:tblHeader/>
        </w:trPr>
        <w:tc>
          <w:tcPr>
            <w:tcW w:type="dxa" w:w="44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SCHRITT</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RECHNUNG</w:t>
            </w:r>
          </w:p>
        </w:tc>
        <w:tc>
          <w:tcPr>
            <w:tcW w:type="dxa" w:w="24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ERGEBNIS</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Ansatz aus Rechnung 2026-0801, Pos. 6</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64748B"/>
                <w:sz w:val="20"/>
                <w:szCs w:val="20"/>
              </w:rPr>
              <w:t xml:space="preserve">—</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350.00</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Geschätzter dauerabhängiger Anteil</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40 %</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140.00</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Davon anteilig für 5 zusätzliche Tage</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 5/7</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100.00</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B2545"/>
                <w:sz w:val="20"/>
                <w:szCs w:val="20"/>
              </w:rPr>
              <w:t xml:space="preserve">Mehraufwand Position 6</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64748B"/>
                <w:sz w:val="20"/>
                <w:szCs w:val="20"/>
              </w:rPr>
              <w:t xml:space="preserve">—</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CHF 100.00</w:t>
            </w:r>
          </w:p>
        </w:tc>
      </w:tr>
    </w:tbl>
    <w:p>
      <w:pPr>
        <w:spacing w:before="22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2E8F0" w:sz="4"/>
              <w:left w:val="single" w:color="00B8D9" w:sz="24"/>
              <w:bottom w:val="single" w:color="E2E8F0" w:sz="4"/>
              <w:right w:val="single" w:color="E2E8F0" w:sz="4"/>
            </w:tcBorders>
            <w:shd w:fill="F8FAFC" w:color="auto" w:val="clear"/>
            <w:tcMar>
              <w:top w:type="dxa" w:w="200"/>
              <w:left w:type="dxa" w:w="260"/>
              <w:bottom w:type="dxa" w:w="200"/>
              <w:right w:type="dxa" w:w="260"/>
            </w:tcMar>
          </w:tcPr>
          <w:p>
            <w:pPr>
              <w:spacing w:after="40"/>
            </w:pPr>
            <w:r>
              <w:rPr>
                <w:rFonts w:ascii="Calibri" w:cs="Calibri" w:eastAsia="Calibri" w:hAnsi="Calibri"/>
                <w:b/>
                <w:bCs/>
                <w:caps/>
                <w:color w:val="0B2545"/>
                <w:spacing w:val="60"/>
                <w:sz w:val="14"/>
                <w:szCs w:val="14"/>
              </w:rPr>
              <w:t xml:space="preserve">WARUM NICHT PROPORTIONAL</w:t>
            </w:r>
          </w:p>
          <w:p>
            <w:pPr>
              <w:spacing w:after="60" w:line="300" w:lineRule="auto"/>
            </w:pPr>
            <w:r>
              <w:rPr>
                <w:rFonts w:ascii="Calibri" w:cs="Calibri" w:eastAsia="Calibri" w:hAnsi="Calibri"/>
                <w:color w:val="0F172A"/>
                <w:sz w:val="20"/>
                <w:szCs w:val="20"/>
              </w:rPr>
              <w:t xml:space="preserve">Die Datenmenge wuchs um 71 %, von rund 201'600 auf rund 345'600 Drei-Sekunden-Werte je Gerät. Ein proportionaler Zuschlag von 71 % auf die gesamte Position ergäbe CHF 250.00. Das wäre nicht gerechtfertigt, weil der Perzentil-Lauf und die Berichtsstruktur unabhängig von der Messdauer sind.</w:t>
            </w:r>
          </w:p>
          <w:p>
            <w:r>
              <w:rPr>
                <w:rFonts w:ascii="Calibri" w:cs="Calibri" w:eastAsia="Calibri" w:hAnsi="Calibri"/>
                <w:color w:val="0F172A"/>
                <w:sz w:val="18"/>
                <w:szCs w:val="18"/>
              </w:rPr>
              <w:t xml:space="preserve">Verrechnet wird deshalb nur der dauerabhängige Anteil, anteilig für fünf Tage: </w:t>
            </w:r>
            <w:r>
              <w:rPr>
                <w:rFonts w:ascii="Calibri" w:cs="Calibri" w:eastAsia="Calibri" w:hAnsi="Calibri"/>
                <w:b/>
                <w:bCs/>
                <w:color w:val="0B2545"/>
                <w:sz w:val="18"/>
                <w:szCs w:val="18"/>
              </w:rPr>
              <w:t xml:space="preserve">CHF 100.00 statt CHF 250.00.</w:t>
            </w:r>
          </w:p>
        </w:tc>
      </w:tr>
    </w:tbl>
    <w:p>
      <w:pPr>
        <w:spacing w:after="60" w:before="220"/>
      </w:pPr>
      <w:r>
        <w:rPr>
          <w:rFonts w:ascii="Calibri" w:cs="Calibri" w:eastAsia="Calibri" w:hAnsi="Calibri"/>
          <w:b/>
          <w:bCs/>
          <w:caps/>
          <w:color w:val="00B8D9"/>
          <w:spacing w:val="60"/>
          <w:sz w:val="14"/>
          <w:szCs w:val="14"/>
        </w:rPr>
        <w:t xml:space="preserve">NICHT VERRECHNET</w:t>
      </w:r>
    </w:p>
    <w:p>
      <w:pPr>
        <w:pStyle w:val="ListParagraph"/>
        <w:numPr>
          <w:ilvl w:val="0"/>
          <w:numId w:val="2"/>
        </w:numPr>
        <w:spacing w:after="40"/>
      </w:pPr>
      <w:r>
        <w:rPr>
          <w:rFonts w:ascii="Calibri" w:cs="Calibri" w:eastAsia="Calibri" w:hAnsi="Calibri"/>
          <w:color w:val="0F172A"/>
          <w:sz w:val="20"/>
          <w:szCs w:val="20"/>
        </w:rPr>
        <w:t xml:space="preserve">Zusätzliche Anfahrt für den späteren Abbau — es war keine zusätzliche Fahrt nötig.</w:t>
      </w:r>
    </w:p>
    <w:p>
      <w:pPr>
        <w:pStyle w:val="ListParagraph"/>
        <w:numPr>
          <w:ilvl w:val="0"/>
          <w:numId w:val="2"/>
        </w:numPr>
        <w:spacing w:after="40"/>
      </w:pPr>
      <w:r>
        <w:rPr>
          <w:rFonts w:ascii="Calibri" w:cs="Calibri" w:eastAsia="Calibri" w:hAnsi="Calibri"/>
          <w:color w:val="0F172A"/>
          <w:sz w:val="20"/>
          <w:szCs w:val="20"/>
        </w:rPr>
        <w:t xml:space="preserve">Mehraufwand für die drei Geräteauswertungen, die drei Übereinstimmungsberichte und die Bilddokumentation.</w:t>
      </w:r>
    </w:p>
    <w:p>
      <w:pPr>
        <w:pStyle w:val="ListParagraph"/>
        <w:numPr>
          <w:ilvl w:val="0"/>
          <w:numId w:val="2"/>
        </w:numPr>
        <w:spacing w:after="40"/>
      </w:pPr>
      <w:r>
        <w:rPr>
          <w:rFonts w:ascii="Calibri" w:cs="Calibri" w:eastAsia="Calibri" w:hAnsi="Calibri"/>
          <w:color w:val="0F172A"/>
          <w:sz w:val="20"/>
          <w:szCs w:val="20"/>
        </w:rPr>
        <w:t xml:space="preserve">Die Positionen 1 bis 3, 5, 7 und 8 der Rechnung 2026-0801 bleiben unverändert.</w:t>
      </w:r>
    </w:p>
    <w:p>
      <w:pPr>
        <w:pStyle w:val="Heading2"/>
        <w:spacing w:after="100" w:before="260"/>
      </w:pPr>
      <w:r>
        <w:rPr>
          <w:rFonts w:ascii="Calibri" w:cs="Calibri" w:eastAsia="Calibri" w:hAnsi="Calibri"/>
          <w:b/>
          <w:bCs/>
          <w:color w:val="0B2545"/>
          <w:sz w:val="24"/>
          <w:szCs w:val="24"/>
        </w:rPr>
        <w:t xml:space="preserve">5  Zusammenzug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5000"/>
        <w:gridCol w:w="2500"/>
        <w:gridCol w:w="1860"/>
      </w:tblGrid>
      <w:tr>
        <w:trPr>
          <w:tblHeader/>
        </w:trPr>
        <w:tc>
          <w:tcPr>
            <w:tcW w:type="dxa" w:w="50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POSITION</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ANSATZ</w:t>
            </w:r>
          </w:p>
        </w:tc>
        <w:tc>
          <w:tcPr>
            <w:tcW w:type="dxa" w:w="18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CHF</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Position 4 · Gerätebereitstellung 5 zusätzliche Tage</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 107.14</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535.71</w:t>
            </w:r>
          </w:p>
        </w:tc>
      </w:tr>
      <w:tr>
        <w:tc>
          <w:tcPr>
            <w:tcW w:type="dxa" w:w="50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Position 6 · Auswertung, dauerabhängiger Anteil</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350 × 40 % × 5/7</w:t>
            </w:r>
          </w:p>
        </w:tc>
        <w:tc>
          <w:tcPr>
            <w:tcW w:type="dxa" w:w="18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100.00</w:t>
            </w:r>
          </w:p>
        </w:tc>
      </w:tr>
    </w:tbl>
    <w:p>
      <w:pPr>
        <w:spacing w:before="4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00"/>
        <w:gridCol w:w="2500"/>
        <w:gridCol w:w="1860"/>
      </w:tblGrid>
      <w:tr>
        <w:tc>
          <w:tcPr>
            <w:tcW w:type="dxa" w:w="50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Zwischensumme</w:t>
            </w:r>
          </w:p>
        </w:tc>
        <w:tc>
          <w:tcPr>
            <w:tcW w:type="dxa" w:w="25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186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right"/>
            </w:pPr>
            <w:r>
              <w:rPr>
                <w:rFonts w:ascii="Calibri" w:cs="Calibri" w:eastAsia="Calibri" w:hAnsi="Calibri"/>
                <w:b/>
                <w:bCs/>
                <w:color w:val="0B2545"/>
                <w:sz w:val="20"/>
                <w:szCs w:val="20"/>
              </w:rPr>
              <w:t xml:space="preserve">635.71</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334155"/>
                <w:sz w:val="20"/>
                <w:szCs w:val="20"/>
              </w:rPr>
              <w:t xml:space="preserve">Rundung</w:t>
            </w:r>
          </w:p>
        </w:tc>
        <w:tc>
          <w:tcPr>
            <w:tcW w:type="dxa" w:w="25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186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−0.71</w:t>
            </w:r>
          </w:p>
        </w:tc>
      </w:tr>
      <w:tr>
        <w:tc>
          <w:tcPr>
            <w:tcW w:type="dxa" w:w="50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TOTAL NACHTRAG OHNE MWST</w:t>
            </w:r>
          </w:p>
        </w:tc>
        <w:tc>
          <w:tcPr>
            <w:tcW w:type="dxa" w:w="25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186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CHF 635.00</w:t>
            </w:r>
          </w:p>
        </w:tc>
      </w:tr>
    </w:tbl>
    <w:p>
      <w:pPr>
        <w:pStyle w:val="Heading2"/>
        <w:spacing w:after="100" w:before="260"/>
      </w:pPr>
      <w:r>
        <w:rPr>
          <w:rFonts w:ascii="Calibri" w:cs="Calibri" w:eastAsia="Calibri" w:hAnsi="Calibri"/>
          <w:b/>
          <w:bCs/>
          <w:color w:val="0B2545"/>
          <w:sz w:val="24"/>
          <w:szCs w:val="24"/>
        </w:rPr>
        <w:t xml:space="preserve">6  Einordnung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400"/>
        <w:gridCol w:w="2800"/>
        <w:gridCol w:w="2160"/>
      </w:tblGrid>
      <w:tr>
        <w:trPr>
          <w:tblHeader/>
        </w:trPr>
        <w:tc>
          <w:tcPr>
            <w:tcW w:type="dxa" w:w="44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GRÖSSE</w:t>
            </w:r>
          </w:p>
        </w:tc>
        <w:tc>
          <w:tcPr>
            <w:tcW w:type="dxa" w:w="28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BETRAG</w:t>
            </w:r>
          </w:p>
        </w:tc>
        <w:tc>
          <w:tcPr>
            <w:tcW w:type="dxa" w:w="21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ANTEIL</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Rechnung 2026-0801</w:t>
            </w:r>
          </w:p>
        </w:tc>
        <w:tc>
          <w:tcPr>
            <w:tcW w:type="dxa" w:w="28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0F172A"/>
                <w:sz w:val="20"/>
                <w:szCs w:val="20"/>
              </w:rPr>
              <w:t xml:space="preserve">CHF 1'850.00</w:t>
            </w:r>
          </w:p>
        </w:tc>
        <w:tc>
          <w:tcPr>
            <w:tcW w:type="dxa" w:w="216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100 %</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Nachtrag 2026-0802</w:t>
            </w:r>
          </w:p>
        </w:tc>
        <w:tc>
          <w:tcPr>
            <w:tcW w:type="dxa" w:w="28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0F172A"/>
                <w:sz w:val="20"/>
                <w:szCs w:val="20"/>
              </w:rPr>
              <w:t xml:space="preserve">CHF 635.00</w:t>
            </w:r>
          </w:p>
        </w:tc>
        <w:tc>
          <w:tcPr>
            <w:tcW w:type="dxa" w:w="216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34.3 %</w:t>
            </w:r>
          </w:p>
        </w:tc>
      </w:tr>
      <w:tr>
        <w:tc>
          <w:tcPr>
            <w:tcW w:type="dxa" w:w="4400"/>
            <w:tcMar>
              <w:top w:type="dxa" w:w="90"/>
              <w:left w:type="dxa" w:w="140"/>
              <w:bottom w:type="dxa" w:w="90"/>
              <w:right w:type="dxa" w:w="140"/>
            </w:tcMar>
            <w:vAlign w:val="center"/>
          </w:tcPr>
          <w:p>
            <w:pPr>
              <w:jc w:val="left"/>
            </w:pPr>
            <w:r>
              <w:rPr>
                <w:rFonts w:ascii="Calibri" w:cs="Calibri" w:eastAsia="Calibri" w:hAnsi="Calibri"/>
                <w:b/>
                <w:bCs/>
                <w:i w:val="false"/>
                <w:iCs w:val="false"/>
                <w:color w:val="0B2545"/>
                <w:sz w:val="20"/>
                <w:szCs w:val="20"/>
              </w:rPr>
              <w:t xml:space="preserve">Gesamtsumme Projekt</w:t>
            </w:r>
          </w:p>
        </w:tc>
        <w:tc>
          <w:tcPr>
            <w:tcW w:type="dxa" w:w="280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CHF 2'485.00</w:t>
            </w:r>
          </w:p>
        </w:tc>
        <w:tc>
          <w:tcPr>
            <w:tcW w:type="dxa" w:w="216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134.3 %</w:t>
            </w:r>
          </w:p>
        </w:tc>
      </w:tr>
    </w:tbl>
    <w:p>
      <w:pPr>
        <w:spacing w:after="0" w:before="120" w:line="300" w:lineRule="auto"/>
      </w:pPr>
      <w:r>
        <w:rPr>
          <w:rFonts w:ascii="Calibri" w:cs="Calibri" w:eastAsia="Calibri" w:hAnsi="Calibri"/>
          <w:color w:val="334155"/>
          <w:sz w:val="20"/>
          <w:szCs w:val="20"/>
        </w:rPr>
        <w:t xml:space="preserve">Bezogen auf die tatsächliche Messdauer von 12 statt 7 Tagen (also +71 %) liegt der Nachtrag mit +34.3 % deutlich unter einer proportionalen Fortschreibung. Der Grund: sechs von acht Positionen sind von der Verlängerung nicht betroffen.</w:t>
      </w:r>
    </w:p>
    <w:p>
      <w:pPr>
        <w:pStyle w:val="Heading2"/>
        <w:spacing w:after="100" w:before="260"/>
      </w:pPr>
      <w:r>
        <w:rPr>
          <w:rFonts w:ascii="Calibri" w:cs="Calibri" w:eastAsia="Calibri" w:hAnsi="Calibri"/>
          <w:b/>
          <w:bCs/>
          <w:color w:val="0B2545"/>
          <w:sz w:val="24"/>
          <w:szCs w:val="24"/>
        </w:rPr>
        <w:t xml:space="preserve">7  Was zusätzlich geleistet und nicht verrechnet wurde</w:t>
      </w:r>
    </w:p>
    <w:p>
      <w:pPr>
        <w:spacing w:after="160" w:line="300" w:lineRule="auto"/>
      </w:pPr>
      <w:r>
        <w:rPr>
          <w:rFonts w:ascii="Calibri" w:cs="Calibri" w:eastAsia="Calibri" w:hAnsi="Calibri"/>
          <w:color w:val="0F172A"/>
          <w:sz w:val="20"/>
          <w:szCs w:val="20"/>
        </w:rPr>
        <w:t xml:space="preserve">Zur Transparenz, ohne Forderung: Im Rahmen der Auswertung sind Dokumente entstanden, die über die Position 6 der ursprünglichen Rechnung hinausgehen.</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5600"/>
        <w:gridCol w:w="3760"/>
      </w:tblGrid>
      <w:tr>
        <w:trPr>
          <w:tblHeader/>
        </w:trPr>
        <w:tc>
          <w:tcPr>
            <w:tcW w:type="dxa" w:w="56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DOKUMENT</w:t>
            </w:r>
          </w:p>
        </w:tc>
        <w:tc>
          <w:tcPr>
            <w:tcW w:type="dxa" w:w="37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UMFANG</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Schlussbericht mit Massnahmenkatalog</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61 Seiten, 15 Kapitel, 20 Massnahmen</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Einzelauswertungen der drei Messpunkte</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3 Dokumente</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der drei Übereinstimmungsberichte</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3 Dokumente</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Bilddokumentation</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19 Seiten, 14 Bilder</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Massnahmen-Kurzfassung und Vollständigkeitsbericht</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2 Dokumente</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Kundenpräsentation</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Folien mit Sprechernotizen</w:t>
            </w:r>
          </w:p>
        </w:tc>
      </w:tr>
    </w:tbl>
    <w:p>
      <w:pPr>
        <w:spacing w:before="22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00B8D9" w:sz="4"/>
              <w:left w:val="single" w:color="00B8D9" w:sz="24"/>
              <w:bottom w:val="single" w:color="00B8D9" w:sz="4"/>
              <w:right w:val="single" w:color="00B8D9" w:sz="4"/>
            </w:tcBorders>
            <w:shd w:fill="EAF7FB" w:color="auto" w:val="clear"/>
            <w:tcMar>
              <w:top w:type="dxa" w:w="200"/>
              <w:left w:type="dxa" w:w="260"/>
              <w:bottom w:type="dxa" w:w="200"/>
              <w:right w:type="dxa" w:w="260"/>
            </w:tcMar>
          </w:tcPr>
          <w:p>
            <w:pPr>
              <w:spacing w:after="40"/>
            </w:pPr>
            <w:r>
              <w:rPr>
                <w:rFonts w:ascii="Calibri" w:cs="Calibri" w:eastAsia="Calibri" w:hAnsi="Calibri"/>
                <w:b/>
                <w:bCs/>
                <w:caps/>
                <w:color w:val="0B2545"/>
                <w:spacing w:val="60"/>
                <w:sz w:val="14"/>
                <w:szCs w:val="14"/>
              </w:rPr>
              <w:t xml:space="preserve">HINWEIS</w:t>
            </w:r>
          </w:p>
          <w:p>
            <w:r>
              <w:rPr>
                <w:rFonts w:ascii="Calibri" w:cs="Calibri" w:eastAsia="Calibri" w:hAnsi="Calibri"/>
                <w:color w:val="0F172A"/>
                <w:sz w:val="20"/>
                <w:szCs w:val="20"/>
              </w:rPr>
              <w:t xml:space="preserve">Diese Leistungen sind mit der Position 6 der Rechnung 2026-0801 abgegolten und werden nicht nachverrechnet. Sie sind hier nur aufgeführt, damit der Umfang der erbrachten Arbeit erkennbar ist.</w:t>
            </w:r>
          </w:p>
        </w:tc>
      </w:tr>
    </w:tbl>
    <w:sectPr>
      <w:headerReference w:type="default" r:id="rId7"/>
      <w:footerReference w:type="default" r:id="rId8"/>
      <w:pgSz w:w="11905" w:h="16837" w:orient="portrait"/>
      <w:pgMar w:top="2154" w:right="1247" w:bottom="1360" w:left="1247" w:header="566"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space="4"/>
      </w:pBdr>
      <w:spacing w:after="40" w:before="0"/>
    </w:pPr>
    <w:r>
      <w:rPr>
        <w:sz w:val="2"/>
        <w:szCs w:val="2"/>
      </w:rPr>
      <w:t xml:space="preserve"/>
    </w:r>
  </w:p>
  <w:p>
    <w:pPr>
      <w:tabs>
        <w:tab w:val="center" w:pos="4536"/>
        <w:tab w:val="right" w:pos="9072"/>
      </w:tabs>
      <w:jc w:val="left"/>
    </w:pPr>
    <w:r>
      <w:rPr>
        <w:rFonts w:ascii="Calibri" w:cs="Calibri" w:eastAsia="Calibri" w:hAnsi="Calibri"/>
        <w:b/>
        <w:bCs/>
        <w:color w:val="0B2545"/>
        <w:sz w:val="16"/>
        <w:szCs w:val="16"/>
      </w:rPr>
      <w:t xml:space="preserve">kabuu  ·  Netzqualität &amp; EMV Messungen · Engineering</w:t>
    </w:r>
    <w:r>
      <w:rPr>
        <w:rFonts w:ascii="Calibri" w:cs="Calibri" w:eastAsia="Calibri" w:hAnsi="Calibri"/>
        <w:color w:val="64748B"/>
        <w:sz w:val="16"/>
        <w:szCs w:val="16"/>
      </w:rPr>
      <w:t xml:space="preserve">	Im Abt 9 A · 8240 Thayngen · +41 79 512 98 07 · engineering.kabuu@gmail.com</w:t>
    </w:r>
    <w:r>
      <w:rPr>
        <w:rFonts w:ascii="Calibri" w:cs="Calibri" w:eastAsia="Calibri" w:hAnsi="Calibri"/>
        <w:color w:val="64748B"/>
        <w:sz w:val="16"/>
        <w:szCs w:val="16"/>
      </w:rPr>
      <w:t xml:space="preserve">	Seite </w:t>
    </w:r>
    <w:r>
      <w:rPr>
        <w:rFonts w:ascii="Calibri" w:cs="Calibri" w:eastAsia="Calibri" w:hAnsi="Calibri"/>
        <w:b/>
        <w:bCs/>
        <w:color w:val="0B2545"/>
        <w:sz w:val="16"/>
        <w:szCs w:val="16"/>
      </w:rPr>
      <w:fldChar w:fldCharType="begin"/>
      <w:instrText xml:space="preserve">PAGE</w:instrText>
      <w:fldChar w:fldCharType="separate"/>
      <w:fldChar w:fldCharType="end"/>
    </w:r>
    <w:r>
      <w:rPr>
        <w:rFonts w:ascii="Calibri" w:cs="Calibri" w:eastAsia="Calibri" w:hAnsi="Calibri"/>
        <w:color w:val="64748B"/>
        <w:sz w:val="16"/>
        <w:szCs w:val="16"/>
      </w:rPr>
      <w:t xml:space="preserve"> / </w:t>
    </w:r>
    <w:r>
      <w:rPr>
        <w:rFonts w:ascii="Calibri" w:cs="Calibri" w:eastAsia="Calibri" w:hAnsi="Calibri"/>
        <w:b/>
        <w:bCs/>
        <w:color w:val="0B254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180975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1162050"/>
                  </a:xfrm>
                  <a:prstGeom prst="rect">
                    <a:avLst/>
                  </a:prstGeom>
                </pic:spPr>
              </pic:pic>
            </a:graphicData>
          </a:graphic>
        </wp:inline>
      </w:drawing>
    </w:r>
  </w:p>
  <w:p>
    <w:pPr>
      <w:pBdr>
        <w:bottom w:val="single" w:color="00B8D9" w:sz="8" w:space="1"/>
      </w:pBdr>
      <w:spacing w:after="0"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b/>
        <w:bCs/>
        <w:color w:val="00B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c44321a6356b0ec7a52e90719e35c302f7f7b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Nachtragsrechnung 2026-0802 · Baumann Elektrokontrollen GmbH</dc:title>
  <dc:creator>Burak Ücöz</dc:creator>
  <dc:description>Nachtragsrechnung · kabuu · Netzqualität &amp; EMV Messungen · Engineering</dc:description>
  <cp:lastModifiedBy>Un-named</cp:lastModifiedBy>
  <cp:revision>1</cp:revision>
  <dcterms:created xsi:type="dcterms:W3CDTF">2026-08-24T07:52:28.890Z</dcterms:created>
  <dcterms:modified xsi:type="dcterms:W3CDTF">2026-08-24T07:52:28.903Z</dcterms:modified>
</cp:coreProperties>
</file>

<file path=docProps/custom.xml><?xml version="1.0" encoding="utf-8"?>
<Properties xmlns="http://schemas.openxmlformats.org/officeDocument/2006/custom-properties" xmlns:vt="http://schemas.openxmlformats.org/officeDocument/2006/docPropsVTypes"/>
</file>