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svg" ContentType="image/svg+xml"/>
  <Override PartName="/word/media/image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ED782" w14:textId="77777777" w:rsidR="001208C5" w:rsidRDefault="0076422B" w:rsidP="00DB65E2">
      <w:pPr>
        <w:pStyle w:val="berschrift"/>
      </w:pPr>
      <w:bookmarkStart w:id="0" w:name="_Hlk120173001"/>
      <w:r w:rsidR="00D71904" w:rsidRPr="007E39E0">
        <w:rPr>
          <w:noProof/>
          <w:lang w:eastAsia="en-US" w:bidi="ar-SA"/>
        </w:rPr>
        <mc:AlternateContent>
          <mc:Choice Requires="wps">
            <w:drawing>
              <wp:anchor distT="45720" distB="45720" distL="114300" distR="114300" simplePos="0" relativeHeight="251665408" behindDoc="0" locked="0" layoutInCell="1" allowOverlap="1" wp14:anchorId="3F39C69F" wp14:editId="26859768">
                <wp:simplePos x="0" y="0"/>
                <wp:positionH relativeFrom="column">
                  <wp:posOffset>0</wp:posOffset>
                </wp:positionH>
                <wp:positionV relativeFrom="paragraph">
                  <wp:posOffset>980000</wp:posOffset>
                </wp:positionV>
                <wp:extent cx="3200000" cy="1240000"/>
                <wp:effectExtent l="0" t="0"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000" cy="1240000"/>
                        </a:xfrm>
                        <a:prstGeom prst="rect">
                          <a:avLst/>
                        </a:prstGeom>
                        <a:noFill/>
                        <a:ln w="9525">
                          <a:noFill/>
                          <a:miter lim="800000"/>
                          <a:headEnd/>
                          <a:tailEnd/>
                        </a:ln>
                      </wps:spPr>
                      <wps:txbx>
                        <w:txbxContent>
                          <w:p w14:paraId="1AE5B667" w14:textId="77777777" w:rsidR="00D71904" w:rsidRPr="005F5FDD" w:rsidRDefault="008F0143" w:rsidP="00D71904">
                            <w:pPr>
                              <w:rPr>
                                <w:rFonts w:ascii="Alata" w:hAnsi="Alata"/>
                                <w:color w:val="FFFFFF" w:themeColor="background1"/>
                                <w:sz w:val="40"/>
                                <w:szCs w:val="40"/>
                                <w:lang w:val="de-DE"/>
                              </w:rPr>
                            </w:pPr>
                            <w:r w:rsidRPr="005F5FDD">
                              <w:rPr>
                                <w:rFonts w:ascii="Alata" w:hAnsi="Alata"/>
                                <w:color w:val="FFFFFF" w:themeColor="background1"/>
                                <w:sz w:val="40"/>
                                <w:szCs w:val="40"/>
                                <w:lang w:val="de-DE"/>
                              </w:rPr>
                              <w:t>Risk Assessment</w:t>
                              <w:br/>
                              <w:t xml:space="preserve">&amp; Method Statement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F39C69F" id="_x0000_t202" coordsize="21600,21600" o:spt="202" path="m,l,21600r21600,l21600,xe">
                <v:stroke joinstyle="miter"/>
                <v:path gradientshapeok="t" o:connecttype="rect"/>
              </v:shapetype>
              <v:shape id="Textfeld 2" o:spid="_x0000_s1026" type="#_x0000_t202" style="position:absolute;margin-left:0;margin-top:90.2pt;width:243.1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" filled="f" stroked="f">
                <v:textbox style="mso-fit-shape-to-text:t">
                  <w:txbxContent>
                    <w:p w14:paraId="1AE5B667" w14:textId="77777777" w:rsidR="00D71904" w:rsidRPr="005F5FDD" w:rsidRDefault="008F0143" w:rsidP="00D71904">
                      <w:pPr>
                        <w:rPr>
                          <w:rFonts w:ascii="Alata" w:hAnsi="Alata"/>
                          <w:color w:val="FFFFFF" w:themeColor="background1"/>
                          <w:sz w:val="40"/>
                          <w:szCs w:val="40"/>
                          <w:lang w:val="de-DE"/>
                        </w:rPr>
                      </w:pPr>
                      <w:r w:rsidRPr="005F5FDD">
                        <w:rPr>
                          <w:rFonts w:ascii="Alata" w:hAnsi="Alata"/>
                          <w:color w:val="FFFFFF" w:themeColor="background1"/>
                          <w:sz w:val="40"/>
                          <w:szCs w:val="40"/>
                          <w:lang w:val="de-DE"/>
                        </w:rPr>
                        <w:t>Risk Assessment</w:t>
                        <w:br/>
                        <w:t xml:space="preserve">&amp; Method Statement</w:t>
                      </w:r>
                    </w:p>
                  </w:txbxContent>
                </v:textbox>
                <w10:wrap type="square"/>
              </v:shape>
            </w:pict>
          </mc:Fallback>
        </mc:AlternateContent>
      </w:r>
      <w:r w:rsidR="00D71904" w:rsidRPr="007E39E0">
        <w:rPr>
          <w:noProof/>
          <w:lang w:eastAsia="en-US" w:bidi="ar-SA"/>
        </w:rPr>
        <mc:AlternateContent>
          <mc:Choice Requires="wps">
            <w:drawing>
              <wp:anchor distT="45720" distB="45720" distL="114300" distR="114300" simplePos="0" relativeHeight="251666432" behindDoc="0" locked="0" layoutInCell="1" allowOverlap="1" wp14:anchorId="6E0E3BDB" wp14:editId="331B40E9">
                <wp:simplePos x="0" y="0"/>
                <wp:positionH relativeFrom="column">
                  <wp:posOffset>-635</wp:posOffset>
                </wp:positionH>
                <wp:positionV relativeFrom="paragraph">
                  <wp:posOffset>2280000</wp:posOffset>
                </wp:positionV>
                <wp:extent cx="3200000" cy="1450000"/>
                <wp:effectExtent l="0" t="0" r="0" b="0"/>
                <wp:wrapSquare wrapText="bothSides"/>
                <wp:docPr id="1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000" cy="1450000"/>
                        </a:xfrm>
                        <a:prstGeom prst="rect">
                          <a:avLst/>
                        </a:prstGeom>
                        <a:noFill/>
                        <a:ln w="9525">
                          <a:noFill/>
                          <a:miter lim="800000"/>
                          <a:headEnd/>
                          <a:tailEnd/>
                        </a:ln>
                      </wps:spPr>
                      <wps:txbx>
                        <w:txbxContent>
                          <w:p w14:paraId="236F28DF" w14:textId="77777777" w:rsidR="00D71904" w:rsidRPr="005F5FDD" w:rsidRDefault="008F0143" w:rsidP="00D71904">
                            <w:pPr>
                              <w:rPr>
                                <w:rFonts w:ascii="Alata" w:hAnsi="Alata"/>
                                <w:color w:val="FFFFFF" w:themeColor="background1"/>
                                <w:sz w:val="28"/>
                                <w:szCs w:val="28"/>
                                <w:lang w:val="de-DE"/>
                              </w:rPr>
                            </w:pPr>
                            <w:r w:rsidRPr="005F5FDD">
                              <w:rPr>
                                <w:rFonts w:ascii="Alata" w:hAnsi="Alata"/>
                                <w:color w:val="FFFFFF" w:themeColor="background1"/>
                                <w:sz w:val="23"/>
                                <w:szCs w:val="23"/>
                                <w:lang w:val="de-DE"/>
                              </w:rPr>
                              <w:t>Refuelling of the auxiliary generator with HVO fuel</w:t>
                              <w:br/>
                              <w:t xml:space="preserve">Vantage ZRH12, Winterthur</w:t>
                              <w:br/>
                              <w:t xml:space="preserve"/>
                              <w:br/>
                              <w:t xml:space="preserve">Mobil in Time AG – An Aggreko Company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0E3BDB" id="_x0000_s1027" type="#_x0000_t202" style="position:absolute;margin-left:-.05pt;margin-top:172.5pt;width:258.55pt;height:98.4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" filled="f" stroked="f">
                <v:textbox>
                  <w:txbxContent>
                    <w:p w14:paraId="236F28DF" w14:textId="77777777" w:rsidR="00D71904" w:rsidRPr="005F5FDD" w:rsidRDefault="008F0143" w:rsidP="00D71904">
                      <w:pPr>
                        <w:rPr>
                          <w:rFonts w:ascii="Alata" w:hAnsi="Alata"/>
                          <w:color w:val="FFFFFF" w:themeColor="background1"/>
                          <w:sz w:val="28"/>
                          <w:szCs w:val="28"/>
                          <w:lang w:val="de-DE"/>
                        </w:rPr>
                      </w:pPr>
                      <w:r w:rsidRPr="005F5FDD">
                        <w:rPr>
                          <w:rFonts w:ascii="Alata" w:hAnsi="Alata"/>
                          <w:color w:val="FFFFFF" w:themeColor="background1"/>
                          <w:sz w:val="23"/>
                          <w:szCs w:val="23"/>
                          <w:lang w:val="de-DE"/>
                        </w:rPr>
                        <w:t>Refuelling of the auxiliary generator with HVO fuel</w:t>
                        <w:br/>
                        <w:t xml:space="preserve">Vantage ZRH12, Winterthur</w:t>
                        <w:br/>
                        <w:t xml:space="preserve"/>
                        <w:br/>
                        <w:t xml:space="preserve">Mobil in Time AG – An Aggreko Company</w:t>
                      </w:r>
                    </w:p>
                  </w:txbxContent>
                </v:textbox>
                <w10:wrap type="square"/>
              </v:shape>
            </w:pict>
          </mc:Fallback>
        </mc:AlternateContent>
      </w:r>
      <w:r w:rsidR="00D71904">
        <w:rPr>
          <w:noProof/>
          <w:lang w:eastAsia="en-US" w:bidi="ar-SA"/>
        </w:rPr>
        <mc:AlternateContent>
          <mc:Choice Requires="wps">
            <w:drawing>
              <wp:anchor distT="0" distB="0" distL="114300" distR="114300" simplePos="0" relativeHeight="251664384" behindDoc="0" locked="0" layoutInCell="1" allowOverlap="1" wp14:anchorId="37960A54" wp14:editId="121710A2">
                <wp:simplePos x="0" y="0"/>
                <wp:positionH relativeFrom="column">
                  <wp:posOffset>-2540</wp:posOffset>
                </wp:positionH>
                <wp:positionV relativeFrom="paragraph">
                  <wp:posOffset>426720</wp:posOffset>
                </wp:positionV>
                <wp:extent cx="3400425" cy="3400000"/>
                <wp:effectExtent l="0" t="0" r="9525" b="9525"/>
                <wp:wrapNone/>
                <wp:docPr id="7" name="Rechteck 7"/>
                <wp:cNvGraphicFramePr/>
                <a:graphic xmlns:a="http://schemas.openxmlformats.org/drawingml/2006/main">
                  <a:graphicData uri="http://schemas.microsoft.com/office/word/2010/wordprocessingShape">
                    <wps:wsp>
                      <wps:cNvSpPr/>
                      <wps:spPr>
                        <a:xfrm>
                          <a:off x="0" y="0"/>
                          <a:ext cx="3400425" cy="3400000"/>
                        </a:xfrm>
                        <a:prstGeom prst="rect">
                          <a:avLst/>
                        </a:prstGeom>
                        <a:solidFill>
                          <a:srgbClr val="E0003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0C198D" id="Rechteck 7" o:spid="_x0000_s1026" style="position:absolute;margin-left:-.2pt;margin-top:33.6pt;width:267.75pt;height:230.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" fillcolor="#e00036" stroked="f" strokeweight="2pt"/>
            </w:pict>
          </mc:Fallback>
        </mc:AlternateContent>
      </w:r>
      <w:r xmlns:a="http://schemas.openxmlformats.org/drawingml/2006/main">
        <w:rPr>
          <w:noProof/>
        </w:rPr>
        <w:drawing>
          <wp:anchor distT="0" distB="0" distL="114300" distR="114300" simplePos="0" relativeHeight="251700000" behindDoc="0" locked="0" layoutInCell="1" allowOverlap="1">
            <wp:simplePos x="0" y="0"/>
            <wp:positionH relativeFrom="column">
              <wp:posOffset>0</wp:posOffset>
            </wp:positionH>
            <wp:positionV relativeFrom="paragraph">
              <wp:posOffset>4060000</wp:posOffset>
            </wp:positionV>
            <wp:extent cx="5760000" cy="900000"/>
            <wp:effectExtent l="0" t="0" r="0" b="0"/>
            <wp:wrapNone/>
            <wp:docPr id="901" name="Infoleiste"/>
            <wp:cNvGraphicFramePr/>
            <a:graphic>
              <a:graphicData uri="http://schemas.microsoft.com/office/word/2010/wordprocessingShape">
                <wps:wsp>
                  <wps:cNvSpPr txBox="1"/>
                  <wps:spPr>
                    <a:xfrm>
                      <a:off x="0" y="0"/>
                      <a:ext cx="5760000" cy="900000"/>
                    </a:xfrm>
                    <a:prstGeom prst="rect">
                      <a:avLst/>
                    </a:prstGeom>
                    <a:noFill/>
                    <a:ln>
                      <a:noFill/>
                    </a:ln>
                  </wps:spPr>
                  <wps:txbx>
                    <w:txbxContent>
                      <w:p>
                        <w:pPr>
                          <w:pBdr>
                            <w:top w:val="single" w:sz="12" w:space="6" w:color="E00036"/>
                          </w:pBdr>
                          <w:spacing w:before="0" w:after="40" w:line="240" w:lineRule="auto"/>
                          <w:rPr>
                            <w:rFonts w:ascii="IBM Plex Sans" w:hAnsi="IBM Plex Sans"/>
                            <w:sz w:val="20"/>
                          </w:rPr>
                        </w:pPr>
                        <w:r>
                          <w:rPr>
                            <w:rFonts w:ascii="IBM Plex Sans" w:hAnsi="IBM Plex Sans"/>
                            <w:b/>
                            <w:color w:val="1A1A1A"/>
                            <w:sz w:val="20"/>
                            <w:szCs w:val="20"/>
                          </w:rPr>
                          <w:t xml:space="preserve">RAMS-MIT-ZRH12-004   ·   Revision 3   ·   Date of issue  _________________</w:t>
                        </w:r>
                      </w:p>
                      <w:p>
                        <w:pPr>
                          <w:spacing w:before="0" w:after="40" w:line="240" w:lineRule="auto"/>
                          <w:rPr>
                            <w:rFonts w:ascii="IBM Plex Sans" w:hAnsi="IBM Plex Sans"/>
                            <w:sz w:val="18"/>
                          </w:rPr>
                        </w:pPr>
                        <w:r>
                          <w:rPr>
                            <w:rFonts w:ascii="IBM Plex Sans" w:hAnsi="IBM Plex Sans"/>
                            <w:color w:val="5F5F5F"/>
                            <w:sz w:val="18"/>
                            <w:szCs w:val="18"/>
                          </w:rPr>
                          <w:t xml:space="preserve">Issued for submission to DPR Construction CH AG</w:t>
                        </w:r>
                      </w:p>
                      <w:p>
                        <w:pPr>
                          <w:spacing w:before="0" w:after="40" w:line="240" w:lineRule="auto"/>
                          <w:rPr>
                            <w:rFonts w:ascii="IBM Plex Sans" w:hAnsi="IBM Plex Sans"/>
                            <w:sz w:val="18"/>
                          </w:rPr>
                        </w:pPr>
                        <w:r>
                          <w:rPr>
                            <w:rFonts w:ascii="IBM Plex Sans" w:hAnsi="IBM Plex Sans"/>
                            <w:color w:val="5F5F5F"/>
                            <w:sz w:val="18"/>
                            <w:szCs w:val="18"/>
                          </w:rPr>
                          <w:t xml:space="preserve">Site: Vantage ZRH12, Fabrikstrasse 10, 8404 Winterthur</w:t>
                        </w:r>
                      </w:p>
                      <w:p>
                        <w:pPr>
                          <w:spacing w:before="0" w:after="40" w:line="240" w:lineRule="auto"/>
                          <w:rPr>
                            <w:rFonts w:ascii="IBM Plex Sans" w:hAnsi="IBM Plex Sans"/>
                            <w:sz w:val="18"/>
                          </w:rPr>
                        </w:pPr>
                        <w:r>
                          <w:rPr>
                            <w:rFonts w:ascii="IBM Plex Sans" w:hAnsi="IBM Plex Sans"/>
                            <w:color w:val="5F5F5F"/>
                            <w:sz w:val="18"/>
                            <w:szCs w:val="18"/>
                          </w:rPr>
                          <w:t xml:space="preserve">Prepared by Burak Ücöz, Project Manager Switzerland</w:t>
                        </w:r>
                      </w:p>
                    </w:txbxContent>
                  </wps:txbx>
                  <wps:bodyPr rot="0" vert="horz" wrap="square" lIns="0" tIns="0" rIns="0" bIns="0" anchor="t">
                    <a:noAutofit/>
                  </wps:bodyPr>
                </wps:wsp>
              </a:graphicData>
            </a:graphic>
          </wp:anchor>
        </w:drawing>
      </w:r>
    </w:p>
    <w:p>
      <w:pPr>
        <w:keepLines/>
        <w:pageBreakBefore/>
        <w:spacing w:before="0" w:after="0"/>
      </w:pPr>
      <w:r>
        <w:rPr>
          <w:rFonts w:ascii="IBM Plex Sans" w:hAnsi="IBM Plex Sans" w:cs="IBM Plex Sans" w:eastAsia="IBM Plex Sans"/>
          <w:b w:val="0"/>
          <w:i w:val="0"/>
          <w:color w:val="1A1A1A"/>
          <w:sz w:val="4"/>
        </w:rPr>
      </w:r>
    </w:p>
    <w:p>
      <w:pPr>
        <w:pStyle w:val="berschrift"/>
        <w:keepNext/>
        <w:keepLines/>
        <w:pBdr>
          <w:bottom w:val="single" w:sz="8" w:space="4" w:color="E00036"/>
        </w:pBdr>
        <w:spacing w:before="360" w:after="60"/>
      </w:pPr>
      <w:r>
        <w:rPr>
          <w:rFonts w:ascii="Alata" w:hAnsi="Alata" w:cs="Alata" w:eastAsia="Alata"/>
          <w:b w:val="0"/>
          <w:i w:val="0"/>
          <w:color w:val="E00036"/>
          <w:sz w:val="36"/>
        </w:rPr>
        <w:t>Contents</w:t>
      </w:r>
    </w:p>
    <w:tbl>
      <w:tblPr>
        <w:tblW w:w="9071" w:type="dxa"/>
        <w:tblInd w:w="0" w:type="dxa"/>
        <w:tblBorders>
          <w:top w:val="single" w:sz="4" w:space="0" w:color="DCDCDC"/>
          <w:left w:val="none" w:sz="0" w:space="0" w:color="auto"/>
          <w:bottom w:val="single" w:sz="4" w:space="0" w:color="DCDCDC"/>
          <w:right w:val="none" w:sz="0" w:space="0" w:color="auto"/>
          <w:insideH w:val="single" w:sz="4" w:space="0" w:color="DCDCDC"/>
          <w:insideV w:val="none" w:sz="0" w:space="0" w:color="auto"/>
        </w:tblBorders>
        <w:tblLayout w:type="fixed"/>
        <w:tblCellMar>
          <w:top w:w="70" w:type="dxa"/>
          <w:left w:w="100" w:type="dxa"/>
          <w:bottom w:w="70" w:type="dxa"/>
          <w:right w:w="100" w:type="dxa"/>
        </w:tblCellMar>
        <w:tblLook w:val="04A0" w:firstRow="1" w:lastRow="0" w:firstColumn="1" w:lastColumn="0" w:noHBand="0" w:noVBand="1"/>
        <w:jc w:val="left"/>
      </w:tblPr>
      <w:tblGrid>
        <w:gridCol w:w="520"/>
        <w:gridCol w:w="4015"/>
        <w:gridCol w:w="520"/>
        <w:gridCol w:w="4016"/>
      </w:tblGrid>
      <w:tr>
        <w:trPr>
          <w:cantSplit/>
          <w:trHeight w:val="300" w:hRule="atLeast"/>
        </w:trPr>
        <w:tc>
          <w:tcPr>
            <w:tcW w:w="520" w:type="dxa"/>
            <w:vAlign w:val="center"/>
          </w:tcPr>
          <w:p>
            <w:pPr>
              <w:keepLines/>
              <w:spacing w:before="10" w:after="0" w:line="240" w:lineRule="auto"/>
              <w:ind w:left="0" w:right="0" w:firstLine="0"/>
              <w:jc w:val="center"/>
            </w:pPr>
            <w:r/>
            <w:r>
              <w:rPr>
                <w:rFonts w:ascii="IBM Plex Sans" w:hAnsi="IBM Plex Sans" w:cs="IBM Plex Sans" w:eastAsia="IBM Plex Sans"/>
                <w:b/>
                <w:i w:val="0"/>
                <w:color w:val="E00036"/>
                <w:sz w:val="20"/>
              </w:rPr>
              <w:t>1</w:t>
            </w:r>
          </w:p>
        </w:tc>
        <w:tc>
          <w:tcPr>
            <w:tcW w:w="4015" w:type="dxa"/>
            <w:vAlign w:val="center"/>
          </w:tcPr>
          <w:p>
            <w:pPr>
              <w:keepLines/>
              <w:spacing w:before="10" w:after="0" w:line="240" w:lineRule="auto"/>
              <w:ind w:left="0" w:right="0" w:firstLine="0"/>
              <w:jc w:val="left"/>
            </w:pPr>
            <w:r/>
            <w:r>
              <w:rPr>
                <w:rFonts w:ascii="IBM Plex Sans" w:hAnsi="IBM Plex Sans" w:cs="IBM Plex Sans" w:eastAsia="IBM Plex Sans"/>
                <w:b w:val="0"/>
                <w:i w:val="0"/>
                <w:color w:val="1A1A1A"/>
                <w:sz w:val="20"/>
              </w:rPr>
              <w:t>Document Control</w:t>
            </w:r>
          </w:p>
        </w:tc>
        <w:tc>
          <w:tcPr>
            <w:tcW w:w="520" w:type="dxa"/>
            <w:vAlign w:val="center"/>
          </w:tcPr>
          <w:p>
            <w:pPr>
              <w:keepLines/>
              <w:spacing w:before="10" w:after="0" w:line="240" w:lineRule="auto"/>
              <w:ind w:left="0" w:right="0" w:firstLine="0"/>
              <w:jc w:val="center"/>
            </w:pPr>
            <w:r/>
            <w:r>
              <w:rPr>
                <w:rFonts w:ascii="IBM Plex Sans" w:hAnsi="IBM Plex Sans" w:cs="IBM Plex Sans" w:eastAsia="IBM Plex Sans"/>
                <w:b/>
                <w:i w:val="0"/>
                <w:color w:val="E00036"/>
                <w:sz w:val="20"/>
              </w:rPr>
              <w:t>8</w:t>
            </w:r>
          </w:p>
        </w:tc>
        <w:tc>
          <w:tcPr>
            <w:tcW w:w="4016" w:type="dxa"/>
            <w:vAlign w:val="center"/>
          </w:tcPr>
          <w:p>
            <w:pPr>
              <w:keepLines/>
              <w:spacing w:before="10" w:after="0" w:line="240" w:lineRule="auto"/>
              <w:ind w:left="0" w:right="0" w:firstLine="0"/>
              <w:jc w:val="left"/>
            </w:pPr>
            <w:r/>
            <w:r>
              <w:rPr>
                <w:rFonts w:ascii="IBM Plex Sans" w:hAnsi="IBM Plex Sans" w:cs="IBM Plex Sans" w:eastAsia="IBM Plex Sans"/>
                <w:b w:val="0"/>
                <w:i w:val="0"/>
                <w:color w:val="1A1A1A"/>
                <w:sz w:val="20"/>
              </w:rPr>
              <w:t>Risk Assessment</w:t>
            </w:r>
          </w:p>
        </w:tc>
      </w:tr>
      <w:tr>
        <w:trPr>
          <w:cantSplit/>
          <w:trHeight w:val="300" w:hRule="atLeast"/>
        </w:trPr>
        <w:tc>
          <w:tcPr>
            <w:tcW w:w="520" w:type="dxa"/>
            <w:vAlign w:val="center"/>
          </w:tcPr>
          <w:p>
            <w:pPr>
              <w:keepLines/>
              <w:spacing w:before="10" w:after="0" w:line="240" w:lineRule="auto"/>
              <w:ind w:left="0" w:right="0" w:firstLine="0"/>
              <w:jc w:val="center"/>
            </w:pPr>
            <w:r/>
            <w:r>
              <w:rPr>
                <w:rFonts w:ascii="IBM Plex Sans" w:hAnsi="IBM Plex Sans" w:cs="IBM Plex Sans" w:eastAsia="IBM Plex Sans"/>
                <w:b/>
                <w:i w:val="0"/>
                <w:color w:val="E00036"/>
                <w:sz w:val="20"/>
              </w:rPr>
              <w:t>2</w:t>
            </w:r>
          </w:p>
        </w:tc>
        <w:tc>
          <w:tcPr>
            <w:tcW w:w="4015" w:type="dxa"/>
            <w:vAlign w:val="center"/>
          </w:tcPr>
          <w:p>
            <w:pPr>
              <w:keepLines/>
              <w:spacing w:before="10" w:after="0" w:line="240" w:lineRule="auto"/>
              <w:ind w:left="0" w:right="0" w:firstLine="0"/>
              <w:jc w:val="left"/>
            </w:pPr>
            <w:r/>
            <w:r>
              <w:rPr>
                <w:rFonts w:ascii="IBM Plex Sans" w:hAnsi="IBM Plex Sans" w:cs="IBM Plex Sans" w:eastAsia="IBM Plex Sans"/>
                <w:b w:val="0"/>
                <w:i w:val="0"/>
                <w:color w:val="1A1A1A"/>
                <w:sz w:val="20"/>
              </w:rPr>
              <w:t>Scope of Works</w:t>
            </w:r>
          </w:p>
        </w:tc>
        <w:tc>
          <w:tcPr>
            <w:tcW w:w="520" w:type="dxa"/>
            <w:vAlign w:val="center"/>
          </w:tcPr>
          <w:p>
            <w:pPr>
              <w:keepLines/>
              <w:spacing w:before="10" w:after="0" w:line="240" w:lineRule="auto"/>
              <w:ind w:left="0" w:right="0" w:firstLine="0"/>
              <w:jc w:val="center"/>
            </w:pPr>
            <w:r/>
            <w:r>
              <w:rPr>
                <w:rFonts w:ascii="IBM Plex Sans" w:hAnsi="IBM Plex Sans" w:cs="IBM Plex Sans" w:eastAsia="IBM Plex Sans"/>
                <w:b/>
                <w:i w:val="0"/>
                <w:color w:val="E00036"/>
                <w:sz w:val="20"/>
              </w:rPr>
              <w:t>9</w:t>
            </w:r>
          </w:p>
        </w:tc>
        <w:tc>
          <w:tcPr>
            <w:tcW w:w="4016" w:type="dxa"/>
            <w:vAlign w:val="center"/>
          </w:tcPr>
          <w:p>
            <w:pPr>
              <w:keepLines/>
              <w:spacing w:before="10" w:after="0" w:line="240" w:lineRule="auto"/>
              <w:ind w:left="0" w:right="0" w:firstLine="0"/>
              <w:jc w:val="left"/>
            </w:pPr>
            <w:r/>
            <w:r>
              <w:rPr>
                <w:rFonts w:ascii="IBM Plex Sans" w:hAnsi="IBM Plex Sans" w:cs="IBM Plex Sans" w:eastAsia="IBM Plex Sans"/>
                <w:b w:val="0"/>
                <w:i w:val="0"/>
                <w:color w:val="1A1A1A"/>
                <w:sz w:val="20"/>
              </w:rPr>
              <w:t>Personal Protective Equipment</w:t>
            </w:r>
          </w:p>
        </w:tc>
      </w:tr>
      <w:tr>
        <w:trPr>
          <w:cantSplit/>
          <w:trHeight w:val="300" w:hRule="atLeast"/>
        </w:trPr>
        <w:tc>
          <w:tcPr>
            <w:tcW w:w="520" w:type="dxa"/>
            <w:vAlign w:val="center"/>
          </w:tcPr>
          <w:p>
            <w:pPr>
              <w:keepLines/>
              <w:spacing w:before="10" w:after="0" w:line="240" w:lineRule="auto"/>
              <w:ind w:left="0" w:right="0" w:firstLine="0"/>
              <w:jc w:val="center"/>
            </w:pPr>
            <w:r/>
            <w:r>
              <w:rPr>
                <w:rFonts w:ascii="IBM Plex Sans" w:hAnsi="IBM Plex Sans" w:cs="IBM Plex Sans" w:eastAsia="IBM Plex Sans"/>
                <w:b/>
                <w:i w:val="0"/>
                <w:color w:val="E00036"/>
                <w:sz w:val="20"/>
              </w:rPr>
              <w:t>3</w:t>
            </w:r>
          </w:p>
        </w:tc>
        <w:tc>
          <w:tcPr>
            <w:tcW w:w="4015" w:type="dxa"/>
            <w:vAlign w:val="center"/>
          </w:tcPr>
          <w:p>
            <w:pPr>
              <w:keepLines/>
              <w:spacing w:before="10" w:after="0" w:line="240" w:lineRule="auto"/>
              <w:ind w:left="0" w:right="0" w:firstLine="0"/>
              <w:jc w:val="left"/>
            </w:pPr>
            <w:r/>
            <w:r>
              <w:rPr>
                <w:rFonts w:ascii="IBM Plex Sans" w:hAnsi="IBM Plex Sans" w:cs="IBM Plex Sans" w:eastAsia="IBM Plex Sans"/>
                <w:b w:val="0"/>
                <w:i w:val="0"/>
                <w:color w:val="1A1A1A"/>
                <w:sz w:val="20"/>
              </w:rPr>
              <w:t>Reference Documents and Legal Framework</w:t>
            </w:r>
          </w:p>
        </w:tc>
        <w:tc>
          <w:tcPr>
            <w:tcW w:w="520" w:type="dxa"/>
            <w:vAlign w:val="center"/>
          </w:tcPr>
          <w:p>
            <w:pPr>
              <w:keepLines/>
              <w:spacing w:before="10" w:after="0" w:line="240" w:lineRule="auto"/>
              <w:ind w:left="0" w:right="0" w:firstLine="0"/>
              <w:jc w:val="center"/>
            </w:pPr>
            <w:r/>
            <w:r>
              <w:rPr>
                <w:rFonts w:ascii="IBM Plex Sans" w:hAnsi="IBM Plex Sans" w:cs="IBM Plex Sans" w:eastAsia="IBM Plex Sans"/>
                <w:b/>
                <w:i w:val="0"/>
                <w:color w:val="E00036"/>
                <w:sz w:val="20"/>
              </w:rPr>
              <w:t>10</w:t>
            </w:r>
          </w:p>
        </w:tc>
        <w:tc>
          <w:tcPr>
            <w:tcW w:w="4016" w:type="dxa"/>
            <w:vAlign w:val="center"/>
          </w:tcPr>
          <w:p>
            <w:pPr>
              <w:keepLines/>
              <w:spacing w:before="10" w:after="0" w:line="240" w:lineRule="auto"/>
              <w:ind w:left="0" w:right="0" w:firstLine="0"/>
              <w:jc w:val="left"/>
            </w:pPr>
            <w:r/>
            <w:r>
              <w:rPr>
                <w:rFonts w:ascii="IBM Plex Sans" w:hAnsi="IBM Plex Sans" w:cs="IBM Plex Sans" w:eastAsia="IBM Plex Sans"/>
                <w:b w:val="0"/>
                <w:i w:val="0"/>
                <w:color w:val="1A1A1A"/>
                <w:sz w:val="20"/>
              </w:rPr>
              <w:t>Environmental Controls and Waste</w:t>
            </w:r>
          </w:p>
        </w:tc>
      </w:tr>
      <w:tr>
        <w:trPr>
          <w:cantSplit/>
          <w:trHeight w:val="300" w:hRule="atLeast"/>
        </w:trPr>
        <w:tc>
          <w:tcPr>
            <w:tcW w:w="520" w:type="dxa"/>
            <w:vAlign w:val="center"/>
          </w:tcPr>
          <w:p>
            <w:pPr>
              <w:keepLines/>
              <w:spacing w:before="10" w:after="0" w:line="240" w:lineRule="auto"/>
              <w:ind w:left="0" w:right="0" w:firstLine="0"/>
              <w:jc w:val="center"/>
            </w:pPr>
            <w:r/>
            <w:r>
              <w:rPr>
                <w:rFonts w:ascii="IBM Plex Sans" w:hAnsi="IBM Plex Sans" w:cs="IBM Plex Sans" w:eastAsia="IBM Plex Sans"/>
                <w:b/>
                <w:i w:val="0"/>
                <w:color w:val="E00036"/>
                <w:sz w:val="20"/>
              </w:rPr>
              <w:t>4</w:t>
            </w:r>
          </w:p>
        </w:tc>
        <w:tc>
          <w:tcPr>
            <w:tcW w:w="4015" w:type="dxa"/>
            <w:vAlign w:val="center"/>
          </w:tcPr>
          <w:p>
            <w:pPr>
              <w:keepLines/>
              <w:spacing w:before="10" w:after="0" w:line="240" w:lineRule="auto"/>
              <w:ind w:left="0" w:right="0" w:firstLine="0"/>
              <w:jc w:val="left"/>
            </w:pPr>
            <w:r/>
            <w:r>
              <w:rPr>
                <w:rFonts w:ascii="IBM Plex Sans" w:hAnsi="IBM Plex Sans" w:cs="IBM Plex Sans" w:eastAsia="IBM Plex Sans"/>
                <w:b w:val="0"/>
                <w:i w:val="0"/>
                <w:color w:val="1A1A1A"/>
                <w:sz w:val="20"/>
              </w:rPr>
              <w:t>Equipment, Substance Data and Certification</w:t>
            </w:r>
          </w:p>
        </w:tc>
        <w:tc>
          <w:tcPr>
            <w:tcW w:w="520" w:type="dxa"/>
            <w:vAlign w:val="center"/>
          </w:tcPr>
          <w:p>
            <w:pPr>
              <w:keepLines/>
              <w:spacing w:before="10" w:after="0" w:line="240" w:lineRule="auto"/>
              <w:ind w:left="0" w:right="0" w:firstLine="0"/>
              <w:jc w:val="center"/>
            </w:pPr>
            <w:r/>
            <w:r>
              <w:rPr>
                <w:rFonts w:ascii="IBM Plex Sans" w:hAnsi="IBM Plex Sans" w:cs="IBM Plex Sans" w:eastAsia="IBM Plex Sans"/>
                <w:b/>
                <w:i w:val="0"/>
                <w:color w:val="E00036"/>
                <w:sz w:val="20"/>
              </w:rPr>
              <w:t>11</w:t>
            </w:r>
          </w:p>
        </w:tc>
        <w:tc>
          <w:tcPr>
            <w:tcW w:w="4016" w:type="dxa"/>
            <w:vAlign w:val="center"/>
          </w:tcPr>
          <w:p>
            <w:pPr>
              <w:keepLines/>
              <w:spacing w:before="10" w:after="0" w:line="240" w:lineRule="auto"/>
              <w:ind w:left="0" w:right="0" w:firstLine="0"/>
              <w:jc w:val="left"/>
            </w:pPr>
            <w:r/>
            <w:r>
              <w:rPr>
                <w:rFonts w:ascii="IBM Plex Sans" w:hAnsi="IBM Plex Sans" w:cs="IBM Plex Sans" w:eastAsia="IBM Plex Sans"/>
                <w:b w:val="0"/>
                <w:i w:val="0"/>
                <w:color w:val="1A1A1A"/>
                <w:sz w:val="20"/>
              </w:rPr>
              <w:t>Emergency Arrangements</w:t>
            </w:r>
          </w:p>
        </w:tc>
      </w:tr>
      <w:tr>
        <w:trPr>
          <w:cantSplit/>
          <w:trHeight w:val="300" w:hRule="atLeast"/>
        </w:trPr>
        <w:tc>
          <w:tcPr>
            <w:tcW w:w="520" w:type="dxa"/>
            <w:vAlign w:val="center"/>
          </w:tcPr>
          <w:p>
            <w:pPr>
              <w:keepLines/>
              <w:spacing w:before="10" w:after="0" w:line="240" w:lineRule="auto"/>
              <w:ind w:left="0" w:right="0" w:firstLine="0"/>
              <w:jc w:val="center"/>
            </w:pPr>
            <w:r/>
            <w:r>
              <w:rPr>
                <w:rFonts w:ascii="IBM Plex Sans" w:hAnsi="IBM Plex Sans" w:cs="IBM Plex Sans" w:eastAsia="IBM Plex Sans"/>
                <w:b/>
                <w:i w:val="0"/>
                <w:color w:val="E00036"/>
                <w:sz w:val="20"/>
              </w:rPr>
              <w:t>5</w:t>
            </w:r>
          </w:p>
        </w:tc>
        <w:tc>
          <w:tcPr>
            <w:tcW w:w="4015" w:type="dxa"/>
            <w:vAlign w:val="center"/>
          </w:tcPr>
          <w:p>
            <w:pPr>
              <w:keepLines/>
              <w:spacing w:before="10" w:after="0" w:line="240" w:lineRule="auto"/>
              <w:ind w:left="0" w:right="0" w:firstLine="0"/>
              <w:jc w:val="left"/>
            </w:pPr>
            <w:r/>
            <w:r>
              <w:rPr>
                <w:rFonts w:ascii="IBM Plex Sans" w:hAnsi="IBM Plex Sans" w:cs="IBM Plex Sans" w:eastAsia="IBM Plex Sans"/>
                <w:b w:val="0"/>
                <w:i w:val="0"/>
                <w:color w:val="1A1A1A"/>
                <w:sz w:val="20"/>
              </w:rPr>
              <w:t>Personnel, Competence and Supervision</w:t>
            </w:r>
          </w:p>
        </w:tc>
        <w:tc>
          <w:tcPr>
            <w:tcW w:w="520" w:type="dxa"/>
            <w:vAlign w:val="center"/>
          </w:tcPr>
          <w:p>
            <w:pPr>
              <w:keepLines/>
              <w:spacing w:before="10" w:after="0" w:line="240" w:lineRule="auto"/>
              <w:ind w:left="0" w:right="0" w:firstLine="0"/>
              <w:jc w:val="center"/>
            </w:pPr>
            <w:r/>
            <w:r>
              <w:rPr>
                <w:rFonts w:ascii="IBM Plex Sans" w:hAnsi="IBM Plex Sans" w:cs="IBM Plex Sans" w:eastAsia="IBM Plex Sans"/>
                <w:b/>
                <w:i w:val="0"/>
                <w:color w:val="E00036"/>
                <w:sz w:val="20"/>
              </w:rPr>
              <w:t>12</w:t>
            </w:r>
          </w:p>
        </w:tc>
        <w:tc>
          <w:tcPr>
            <w:tcW w:w="4016" w:type="dxa"/>
            <w:vAlign w:val="center"/>
          </w:tcPr>
          <w:p>
            <w:pPr>
              <w:keepLines/>
              <w:spacing w:before="10" w:after="0" w:line="240" w:lineRule="auto"/>
              <w:ind w:left="0" w:right="0" w:firstLine="0"/>
              <w:jc w:val="left"/>
            </w:pPr>
            <w:r/>
            <w:r>
              <w:rPr>
                <w:rFonts w:ascii="IBM Plex Sans" w:hAnsi="IBM Plex Sans" w:cs="IBM Plex Sans" w:eastAsia="IBM Plex Sans"/>
                <w:b w:val="0"/>
                <w:i w:val="0"/>
                <w:color w:val="1A1A1A"/>
                <w:sz w:val="20"/>
              </w:rPr>
              <w:t>Monitoring and Review</w:t>
            </w:r>
          </w:p>
        </w:tc>
      </w:tr>
      <w:tr>
        <w:trPr>
          <w:cantSplit/>
          <w:trHeight w:val="300" w:hRule="atLeast"/>
        </w:trPr>
        <w:tc>
          <w:tcPr>
            <w:tcW w:w="520" w:type="dxa"/>
            <w:vAlign w:val="center"/>
          </w:tcPr>
          <w:p>
            <w:pPr>
              <w:keepLines/>
              <w:spacing w:before="10" w:after="0" w:line="240" w:lineRule="auto"/>
              <w:ind w:left="0" w:right="0" w:firstLine="0"/>
              <w:jc w:val="center"/>
            </w:pPr>
            <w:r/>
            <w:r>
              <w:rPr>
                <w:rFonts w:ascii="IBM Plex Sans" w:hAnsi="IBM Plex Sans" w:cs="IBM Plex Sans" w:eastAsia="IBM Plex Sans"/>
                <w:b/>
                <w:i w:val="0"/>
                <w:color w:val="E00036"/>
                <w:sz w:val="20"/>
              </w:rPr>
              <w:t>6</w:t>
            </w:r>
          </w:p>
        </w:tc>
        <w:tc>
          <w:tcPr>
            <w:tcW w:w="4015" w:type="dxa"/>
            <w:vAlign w:val="center"/>
          </w:tcPr>
          <w:p>
            <w:pPr>
              <w:keepLines/>
              <w:spacing w:before="10" w:after="0" w:line="240" w:lineRule="auto"/>
              <w:ind w:left="0" w:right="0" w:firstLine="0"/>
              <w:jc w:val="left"/>
            </w:pPr>
            <w:r/>
            <w:r>
              <w:rPr>
                <w:rFonts w:ascii="IBM Plex Sans" w:hAnsi="IBM Plex Sans" w:cs="IBM Plex Sans" w:eastAsia="IBM Plex Sans"/>
                <w:b w:val="0"/>
                <w:i w:val="0"/>
                <w:color w:val="1A1A1A"/>
                <w:sz w:val="20"/>
              </w:rPr>
              <w:t>Timing, Delivery Booking and Interfaces</w:t>
            </w:r>
          </w:p>
        </w:tc>
        <w:tc>
          <w:tcPr>
            <w:tcW w:w="520" w:type="dxa"/>
            <w:vAlign w:val="center"/>
          </w:tcPr>
          <w:p>
            <w:pPr>
              <w:keepLines/>
              <w:spacing w:before="10" w:after="0" w:line="240" w:lineRule="auto"/>
              <w:ind w:left="0" w:right="0" w:firstLine="0"/>
              <w:jc w:val="center"/>
            </w:pPr>
            <w:r/>
            <w:r>
              <w:rPr>
                <w:rFonts w:ascii="IBM Plex Sans" w:hAnsi="IBM Plex Sans" w:cs="IBM Plex Sans" w:eastAsia="IBM Plex Sans"/>
                <w:b/>
                <w:i w:val="0"/>
                <w:color w:val="E00036"/>
                <w:sz w:val="20"/>
              </w:rPr>
              <w:t>13</w:t>
            </w:r>
          </w:p>
        </w:tc>
        <w:tc>
          <w:tcPr>
            <w:tcW w:w="4016" w:type="dxa"/>
            <w:vAlign w:val="center"/>
          </w:tcPr>
          <w:p>
            <w:pPr>
              <w:keepLines/>
              <w:spacing w:before="10" w:after="0" w:line="240" w:lineRule="auto"/>
              <w:ind w:left="0" w:right="0" w:firstLine="0"/>
              <w:jc w:val="left"/>
            </w:pPr>
            <w:r/>
            <w:r>
              <w:rPr>
                <w:rFonts w:ascii="IBM Plex Sans" w:hAnsi="IBM Plex Sans" w:cs="IBM Plex Sans" w:eastAsia="IBM Plex Sans"/>
                <w:b w:val="0"/>
                <w:i w:val="0"/>
                <w:color w:val="1A1A1A"/>
                <w:sz w:val="20"/>
              </w:rPr>
              <w:t>Briefing Record and Declaration</w:t>
            </w:r>
          </w:p>
        </w:tc>
      </w:tr>
      <w:tr>
        <w:trPr>
          <w:cantSplit/>
          <w:trHeight w:val="300" w:hRule="atLeast"/>
        </w:trPr>
        <w:tc>
          <w:tcPr>
            <w:tcW w:w="520" w:type="dxa"/>
            <w:vAlign w:val="center"/>
          </w:tcPr>
          <w:p>
            <w:pPr>
              <w:keepLines/>
              <w:spacing w:before="10" w:after="0" w:line="240" w:lineRule="auto"/>
              <w:ind w:left="0" w:right="0" w:firstLine="0"/>
              <w:jc w:val="center"/>
            </w:pPr>
            <w:r/>
            <w:r>
              <w:rPr>
                <w:rFonts w:ascii="IBM Plex Sans" w:hAnsi="IBM Plex Sans" w:cs="IBM Plex Sans" w:eastAsia="IBM Plex Sans"/>
                <w:b/>
                <w:i w:val="0"/>
                <w:color w:val="E00036"/>
                <w:sz w:val="20"/>
              </w:rPr>
              <w:t>7</w:t>
            </w:r>
          </w:p>
        </w:tc>
        <w:tc>
          <w:tcPr>
            <w:tcW w:w="4015" w:type="dxa"/>
            <w:vAlign w:val="center"/>
          </w:tcPr>
          <w:p>
            <w:pPr>
              <w:keepLines/>
              <w:spacing w:before="10" w:after="0" w:line="240" w:lineRule="auto"/>
              <w:ind w:left="0" w:right="0" w:firstLine="0"/>
              <w:jc w:val="left"/>
            </w:pPr>
            <w:r/>
            <w:r>
              <w:rPr>
                <w:rFonts w:ascii="IBM Plex Sans" w:hAnsi="IBM Plex Sans" w:cs="IBM Plex Sans" w:eastAsia="IBM Plex Sans"/>
                <w:b w:val="0"/>
                <w:i w:val="0"/>
                <w:color w:val="1A1A1A"/>
                <w:sz w:val="20"/>
              </w:rPr>
              <w:t>Method Statement: Sequence of Operations</w:t>
            </w:r>
          </w:p>
        </w:tc>
        <w:tc>
          <w:tcPr>
            <w:tcW w:w="520" w:type="dxa"/>
            <w:vAlign w:val="center"/>
          </w:tcPr>
          <w:p>
            <w:pPr>
              <w:keepLines/>
              <w:spacing w:before="10" w:after="0" w:line="240" w:lineRule="auto"/>
              <w:ind w:left="0" w:right="0" w:firstLine="0"/>
              <w:jc w:val="center"/>
            </w:pPr>
            <w:r/>
            <w:r>
              <w:rPr>
                <w:rFonts w:ascii="IBM Plex Sans" w:hAnsi="IBM Plex Sans" w:cs="IBM Plex Sans" w:eastAsia="IBM Plex Sans"/>
                <w:b/>
                <w:i w:val="0"/>
                <w:color w:val="E00036"/>
                <w:sz w:val="20"/>
              </w:rPr>
            </w:r>
          </w:p>
        </w:tc>
        <w:tc>
          <w:tcPr>
            <w:tcW w:w="4016" w:type="dxa"/>
            <w:vAlign w:val="center"/>
          </w:tcPr>
          <w:p>
            <w:pPr>
              <w:keepLines/>
              <w:spacing w:before="10" w:after="0" w:line="240" w:lineRule="auto"/>
              <w:ind w:left="0" w:right="0" w:firstLine="0"/>
              <w:jc w:val="left"/>
            </w:pPr>
            <w:r/>
            <w:r>
              <w:rPr>
                <w:rFonts w:ascii="IBM Plex Sans" w:hAnsi="IBM Plex Sans" w:cs="IBM Plex Sans" w:eastAsia="IBM Plex Sans"/>
                <w:b w:val="0"/>
                <w:i w:val="0"/>
                <w:color w:val="1A1A1A"/>
                <w:sz w:val="20"/>
              </w:rPr>
            </w:r>
          </w:p>
        </w:tc>
      </w:tr>
    </w:tbl>
    <w:p>
      <w:pPr>
        <w:pStyle w:val="Fliesstext"/>
        <w:keepLines/>
        <w:spacing w:before="0" w:after="200" w:line="240" w:lineRule="auto"/>
      </w:pPr>
      <w:r>
        <w:rPr>
          <w:rFonts w:ascii="IBM Plex Sans" w:hAnsi="IBM Plex Sans" w:cs="IBM Plex Sans" w:eastAsia="IBM Plex Sans"/>
          <w:b w:val="0"/>
          <w:i w:val="0"/>
          <w:color w:val="1A1A1A"/>
          <w:sz w:val="4"/>
        </w:rPr>
      </w:r>
    </w:p>
    <w:p>
      <w:pPr>
        <w:pStyle w:val="berschrift"/>
        <w:keepNext/>
        <w:keepLines/>
        <w:pBdr>
          <w:bottom w:val="single" w:sz="8" w:space="4" w:color="E00036"/>
        </w:pBdr>
        <w:spacing w:before="360" w:after="60"/>
      </w:pPr>
      <w:r>
        <w:rPr>
          <w:rFonts w:ascii="Alata" w:hAnsi="Alata" w:cs="Alata" w:eastAsia="Alata"/>
          <w:b w:val="0"/>
          <w:i w:val="0"/>
          <w:color w:val="E00036"/>
          <w:sz w:val="36"/>
        </w:rPr>
        <w:t xml:space="preserve">1   </w:t>
      </w:r>
      <w:r>
        <w:rPr>
          <w:rFonts w:ascii="Alata" w:hAnsi="Alata" w:cs="Alata" w:eastAsia="Alata"/>
          <w:b w:val="0"/>
          <w:i w:val="0"/>
          <w:color w:val="E00036"/>
          <w:sz w:val="36"/>
        </w:rPr>
        <w:t>Document Control</w:t>
      </w:r>
    </w:p>
    <w:tbl>
      <w:tblPr>
        <w:tblW w:w="9071" w:type="dxa"/>
        <w:tblInd w:w="0" w:type="dxa"/>
        <w:tblBorders>
          <w:top w:val="single" w:sz="4" w:space="0" w:color="DCDCDC"/>
          <w:left w:val="none" w:sz="0" w:space="0" w:color="auto"/>
          <w:bottom w:val="single" w:sz="4" w:space="0" w:color="DCDCDC"/>
          <w:right w:val="none" w:sz="0" w:space="0" w:color="auto"/>
          <w:insideH w:val="single" w:sz="4" w:space="0" w:color="DCDCDC"/>
          <w:insideV w:val="none" w:sz="0" w:space="0" w:color="auto"/>
        </w:tblBorders>
        <w:tblLayout w:type="fixed"/>
        <w:tblCellMar>
          <w:top w:w="70" w:type="dxa"/>
          <w:left w:w="100" w:type="dxa"/>
          <w:bottom w:w="70" w:type="dxa"/>
          <w:right w:w="100" w:type="dxa"/>
        </w:tblCellMar>
        <w:tblLook w:val="04A0" w:firstRow="1" w:lastRow="0" w:firstColumn="1" w:lastColumn="0" w:noHBand="0" w:noVBand="1"/>
        <w:jc w:val="left"/>
      </w:tblPr>
      <w:tblGrid>
        <w:gridCol w:w="2600"/>
        <w:gridCol w:w="6471"/>
      </w:tblGrid>
      <w:tr>
        <w:trPr>
          <w:cantSplit/>
          <w:tblHeader/>
        </w:trPr>
        <w:tc>
          <w:tcPr>
            <w:tcW w:w="2600" w:type="dxa"/>
            <w:shd w:val="clear" w:color="auto" w:fill="E00036"/>
            <w:vAlign w:val="center"/>
          </w:tcPr>
          <w:p>
            <w:pPr>
              <w:keepLines/>
              <w:spacing w:before="10" w:after="0" w:line="240" w:lineRule="auto"/>
              <w:ind w:left="0" w:right="0" w:firstLine="0"/>
              <w:jc w:val="left"/>
            </w:pPr>
            <w:r/>
            <w:r>
              <w:rPr>
                <w:rFonts w:ascii="IBM Plex Sans" w:hAnsi="IBM Plex Sans" w:cs="IBM Plex Sans" w:eastAsia="IBM Plex Sans"/>
                <w:b/>
                <w:i w:val="0"/>
                <w:color w:val="FFFFFF"/>
                <w:sz w:val="18"/>
              </w:rPr>
              <w:t>Field</w:t>
            </w:r>
          </w:p>
        </w:tc>
        <w:tc>
          <w:tcPr>
            <w:tcW w:w="6471" w:type="dxa"/>
            <w:shd w:val="clear" w:color="auto" w:fill="E00036"/>
            <w:vAlign w:val="center"/>
          </w:tcPr>
          <w:p>
            <w:pPr>
              <w:keepLines/>
              <w:spacing w:before="10" w:after="0" w:line="240" w:lineRule="auto"/>
              <w:ind w:left="0" w:right="0" w:firstLine="0"/>
              <w:jc w:val="left"/>
            </w:pPr>
            <w:r/>
            <w:r>
              <w:rPr>
                <w:rFonts w:ascii="IBM Plex Sans" w:hAnsi="IBM Plex Sans" w:cs="IBM Plex Sans" w:eastAsia="IBM Plex Sans"/>
                <w:b/>
                <w:i w:val="0"/>
                <w:color w:val="FFFFFF"/>
                <w:sz w:val="18"/>
              </w:rPr>
              <w:t>Detail</w:t>
            </w:r>
          </w:p>
        </w:tc>
      </w:tr>
      <w:tr>
        <w:trPr>
          <w:cantSplit/>
        </w:trPr>
        <w:tc>
          <w:tcPr>
            <w:tcW w:w="2600"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i w:val="0"/>
                <w:color w:val="1A1A1A"/>
                <w:sz w:val="19"/>
              </w:rPr>
              <w:t>Document reference</w:t>
            </w:r>
          </w:p>
        </w:tc>
        <w:tc>
          <w:tcPr>
            <w:tcW w:w="6471"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RAMS-MIT-ZRH12-004</w:t>
            </w:r>
          </w:p>
        </w:tc>
      </w:tr>
      <w:tr>
        <w:trPr>
          <w:cantSplit/>
        </w:trPr>
        <w:tc>
          <w:tcPr>
            <w:tcW w:w="2600"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i w:val="0"/>
                <w:color w:val="1A1A1A"/>
                <w:sz w:val="19"/>
              </w:rPr>
              <w:t>Revision</w:t>
            </w:r>
          </w:p>
        </w:tc>
        <w:tc>
          <w:tcPr>
            <w:tcW w:w="6471"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Rev. 3</w:t>
            </w:r>
          </w:p>
        </w:tc>
      </w:tr>
      <w:tr>
        <w:trPr>
          <w:cantSplit/>
        </w:trPr>
        <w:tc>
          <w:tcPr>
            <w:tcW w:w="2600"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i w:val="0"/>
                <w:color w:val="1A1A1A"/>
                <w:sz w:val="19"/>
              </w:rPr>
              <w:t>Date of issue</w:t>
            </w:r>
          </w:p>
        </w:tc>
        <w:tc>
          <w:tcPr>
            <w:tcW w:w="6471"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____________________</w:t>
            </w:r>
          </w:p>
        </w:tc>
      </w:tr>
      <w:tr>
        <w:trPr>
          <w:cantSplit/>
        </w:trPr>
        <w:tc>
          <w:tcPr>
            <w:tcW w:w="2600"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i w:val="0"/>
                <w:color w:val="1A1A1A"/>
                <w:sz w:val="19"/>
              </w:rPr>
              <w:t>Valid from</w:t>
            </w:r>
          </w:p>
        </w:tc>
        <w:tc>
          <w:tcPr>
            <w:tcW w:w="6471"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Date of issue until superseded by a later revision</w:t>
            </w:r>
          </w:p>
        </w:tc>
      </w:tr>
      <w:tr>
        <w:trPr>
          <w:cantSplit/>
        </w:trPr>
        <w:tc>
          <w:tcPr>
            <w:tcW w:w="2600"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i w:val="0"/>
                <w:color w:val="1A1A1A"/>
                <w:sz w:val="19"/>
              </w:rPr>
              <w:t>Project</w:t>
            </w:r>
          </w:p>
        </w:tc>
        <w:tc>
          <w:tcPr>
            <w:tcW w:w="6471"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Vantage ZRH12, Fabrikstrasse 10, 8404 Winterthur</w:t>
            </w:r>
          </w:p>
        </w:tc>
      </w:tr>
      <w:tr>
        <w:trPr>
          <w:cantSplit/>
        </w:trPr>
        <w:tc>
          <w:tcPr>
            <w:tcW w:w="2600"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i w:val="0"/>
                <w:color w:val="1A1A1A"/>
                <w:sz w:val="19"/>
              </w:rPr>
              <w:t>Principal Contractor</w:t>
            </w:r>
          </w:p>
        </w:tc>
        <w:tc>
          <w:tcPr>
            <w:tcW w:w="6471"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DPR Construction CH AG</w:t>
            </w:r>
          </w:p>
        </w:tc>
      </w:tr>
      <w:tr>
        <w:trPr>
          <w:cantSplit/>
        </w:trPr>
        <w:tc>
          <w:tcPr>
            <w:tcW w:w="2600"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i w:val="0"/>
                <w:color w:val="1A1A1A"/>
                <w:sz w:val="19"/>
              </w:rPr>
              <w:t>Trade Partner</w:t>
            </w:r>
          </w:p>
        </w:tc>
        <w:tc>
          <w:tcPr>
            <w:tcW w:w="6471"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Mobil in Time AG – An Aggreko Company</w:t>
            </w:r>
          </w:p>
        </w:tc>
      </w:tr>
      <w:tr>
        <w:trPr>
          <w:cantSplit/>
        </w:trPr>
        <w:tc>
          <w:tcPr>
            <w:tcW w:w="2600"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i w:val="0"/>
                <w:color w:val="1A1A1A"/>
                <w:sz w:val="19"/>
              </w:rPr>
              <w:t>Activity</w:t>
            </w:r>
          </w:p>
        </w:tc>
        <w:tc>
          <w:tcPr>
            <w:tcW w:w="6471"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Delivery of HVO fuel by road tanker and transfer into the 3,000 litre double-walled tank supplying the 100 kVA auxiliary generator</w:t>
            </w:r>
          </w:p>
        </w:tc>
      </w:tr>
      <w:tr>
        <w:trPr>
          <w:cantSplit/>
        </w:trPr>
        <w:tc>
          <w:tcPr>
            <w:tcW w:w="2600"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i w:val="0"/>
                <w:color w:val="1A1A1A"/>
                <w:sz w:val="19"/>
              </w:rPr>
              <w:t>Location</w:t>
            </w:r>
          </w:p>
        </w:tc>
        <w:tc>
          <w:tcPr>
            <w:tcW w:w="6471"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External trailer position within the load bank set-up area</w:t>
            </w:r>
          </w:p>
        </w:tc>
      </w:tr>
      <w:tr>
        <w:trPr>
          <w:cantSplit/>
        </w:trPr>
        <w:tc>
          <w:tcPr>
            <w:tcW w:w="2600"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i w:val="0"/>
                <w:color w:val="1A1A1A"/>
                <w:sz w:val="19"/>
              </w:rPr>
              <w:t>Frequency</w:t>
            </w:r>
          </w:p>
        </w:tc>
        <w:tc>
          <w:tcPr>
            <w:tcW w:w="6471"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Initial fill, then periodic top-up over the rental period, typically once the tank level falls below 30 per cent</w:t>
            </w:r>
          </w:p>
        </w:tc>
      </w:tr>
      <w:tr>
        <w:trPr>
          <w:cantSplit/>
        </w:trPr>
        <w:tc>
          <w:tcPr>
            <w:tcW w:w="2600"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i w:val="0"/>
                <w:color w:val="1A1A1A"/>
                <w:sz w:val="19"/>
              </w:rPr>
              <w:t>Prepared by</w:t>
            </w:r>
          </w:p>
        </w:tc>
        <w:tc>
          <w:tcPr>
            <w:tcW w:w="6471"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Burak Ücöz, Project Manager Switzerland</w:t>
            </w:r>
          </w:p>
        </w:tc>
      </w:tr>
      <w:tr>
        <w:trPr>
          <w:cantSplit/>
        </w:trPr>
        <w:tc>
          <w:tcPr>
            <w:tcW w:w="2600"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i w:val="0"/>
                <w:color w:val="1A1A1A"/>
                <w:sz w:val="19"/>
              </w:rPr>
              <w:t>Applies to</w:t>
            </w:r>
          </w:p>
        </w:tc>
        <w:tc>
          <w:tcPr>
            <w:tcW w:w="6471"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MiT personnel, the fuel supplier's tanker driver, and any person within the demarcated working area</w:t>
            </w:r>
          </w:p>
        </w:tc>
      </w:tr>
    </w:tbl>
    <w:p>
      <w:pPr>
        <w:pStyle w:val="Fliesstext"/>
        <w:keepLines/>
        <w:spacing w:before="0" w:after="140" w:line="240" w:lineRule="auto"/>
      </w:pPr>
      <w:r>
        <w:rPr>
          <w:rFonts w:ascii="IBM Plex Sans" w:hAnsi="IBM Plex Sans" w:cs="IBM Plex Sans" w:eastAsia="IBM Plex Sans"/>
          <w:b w:val="0"/>
          <w:i w:val="0"/>
          <w:color w:val="1A1A1A"/>
          <w:sz w:val="4"/>
        </w:rPr>
      </w:r>
    </w:p>
    <w:p>
      <w:pPr>
        <w:pStyle w:val="Unterberschrift"/>
        <w:keepNext/>
        <w:keepLines/>
        <w:spacing w:before="280" w:after="80"/>
      </w:pPr>
      <w:r>
        <w:rPr>
          <w:rFonts w:ascii="Alata" w:hAnsi="Alata" w:cs="Alata" w:eastAsia="Alata"/>
          <w:b w:val="0"/>
          <w:i w:val="0"/>
          <w:color w:val="E00036"/>
          <w:sz w:val="25"/>
        </w:rPr>
        <w:t>Revision history</w:t>
      </w:r>
    </w:p>
    <w:tbl>
      <w:tblPr>
        <w:tblW w:w="9071" w:type="dxa"/>
        <w:tblInd w:w="0" w:type="dxa"/>
        <w:tblBorders>
          <w:top w:val="single" w:sz="4" w:space="0" w:color="DCDCDC"/>
          <w:left w:val="none" w:sz="0" w:space="0" w:color="auto"/>
          <w:bottom w:val="single" w:sz="4" w:space="0" w:color="DCDCDC"/>
          <w:right w:val="none" w:sz="0" w:space="0" w:color="auto"/>
          <w:insideH w:val="single" w:sz="4" w:space="0" w:color="DCDCDC"/>
          <w:insideV w:val="none" w:sz="0" w:space="0" w:color="auto"/>
        </w:tblBorders>
        <w:tblLayout w:type="fixed"/>
        <w:tblCellMar>
          <w:top w:w="70" w:type="dxa"/>
          <w:left w:w="100" w:type="dxa"/>
          <w:bottom w:w="70" w:type="dxa"/>
          <w:right w:w="100" w:type="dxa"/>
        </w:tblCellMar>
        <w:tblLook w:val="04A0" w:firstRow="1" w:lastRow="0" w:firstColumn="1" w:lastColumn="0" w:noHBand="0" w:noVBand="1"/>
        <w:jc w:val="left"/>
      </w:tblPr>
      <w:tblGrid>
        <w:gridCol w:w="700"/>
        <w:gridCol w:w="4320"/>
        <w:gridCol w:w="4051"/>
      </w:tblGrid>
      <w:tr>
        <w:trPr>
          <w:cantSplit/>
          <w:tblHeader/>
        </w:trPr>
        <w:tc>
          <w:tcPr>
            <w:tcW w:w="700" w:type="dxa"/>
            <w:shd w:val="clear" w:color="auto" w:fill="E00036"/>
            <w:vAlign w:val="center"/>
          </w:tcPr>
          <w:p>
            <w:pPr>
              <w:keepLines/>
              <w:spacing w:before="10" w:after="0" w:line="240" w:lineRule="auto"/>
              <w:ind w:left="0" w:right="0" w:firstLine="0"/>
              <w:jc w:val="center"/>
            </w:pPr>
            <w:r/>
            <w:r>
              <w:rPr>
                <w:rFonts w:ascii="IBM Plex Sans" w:hAnsi="IBM Plex Sans" w:cs="IBM Plex Sans" w:eastAsia="IBM Plex Sans"/>
                <w:b/>
                <w:i w:val="0"/>
                <w:color w:val="FFFFFF"/>
                <w:sz w:val="18"/>
              </w:rPr>
              <w:t>Rev</w:t>
            </w:r>
          </w:p>
        </w:tc>
        <w:tc>
          <w:tcPr>
            <w:tcW w:w="4320" w:type="dxa"/>
            <w:shd w:val="clear" w:color="auto" w:fill="E00036"/>
            <w:vAlign w:val="center"/>
          </w:tcPr>
          <w:p>
            <w:pPr>
              <w:keepLines/>
              <w:spacing w:before="10" w:after="0" w:line="240" w:lineRule="auto"/>
              <w:ind w:left="0" w:right="0" w:firstLine="0"/>
              <w:jc w:val="left"/>
            </w:pPr>
            <w:r/>
            <w:r>
              <w:rPr>
                <w:rFonts w:ascii="IBM Plex Sans" w:hAnsi="IBM Plex Sans" w:cs="IBM Plex Sans" w:eastAsia="IBM Plex Sans"/>
                <w:b/>
                <w:i w:val="0"/>
                <w:color w:val="FFFFFF"/>
                <w:sz w:val="18"/>
              </w:rPr>
              <w:t>Change</w:t>
            </w:r>
          </w:p>
        </w:tc>
        <w:tc>
          <w:tcPr>
            <w:tcW w:w="4051" w:type="dxa"/>
            <w:shd w:val="clear" w:color="auto" w:fill="E00036"/>
            <w:vAlign w:val="center"/>
          </w:tcPr>
          <w:p>
            <w:pPr>
              <w:keepLines/>
              <w:spacing w:before="10" w:after="0" w:line="240" w:lineRule="auto"/>
              <w:ind w:left="0" w:right="0" w:firstLine="0"/>
              <w:jc w:val="left"/>
            </w:pPr>
            <w:r/>
            <w:r>
              <w:rPr>
                <w:rFonts w:ascii="IBM Plex Sans" w:hAnsi="IBM Plex Sans" w:cs="IBM Plex Sans" w:eastAsia="IBM Plex Sans"/>
                <w:b/>
                <w:i w:val="0"/>
                <w:color w:val="FFFFFF"/>
                <w:sz w:val="18"/>
              </w:rPr>
              <w:t>Reason</w:t>
            </w:r>
          </w:p>
        </w:tc>
      </w:tr>
      <w:tr>
        <w:trPr>
          <w:cantSplit/>
        </w:trPr>
        <w:tc>
          <w:tcPr>
            <w:tcW w:w="700" w:type="dxa"/>
            <w:shd w:val="clear" w:color="auto" w:fill="F4F4F5"/>
            <w:vAlign w:val="center"/>
          </w:tcPr>
          <w:p>
            <w:pPr>
              <w:keepLines/>
              <w:spacing w:before="10" w:after="0" w:line="240" w:lineRule="auto"/>
              <w:ind w:left="0" w:right="0" w:firstLine="0"/>
              <w:jc w:val="center"/>
            </w:pPr>
            <w:r/>
            <w:r>
              <w:rPr>
                <w:rFonts w:ascii="IBM Plex Sans" w:hAnsi="IBM Plex Sans" w:cs="IBM Plex Sans" w:eastAsia="IBM Plex Sans"/>
                <w:b/>
                <w:i w:val="0"/>
                <w:color w:val="E00036"/>
                <w:sz w:val="20"/>
              </w:rPr>
              <w:t>0</w:t>
            </w:r>
          </w:p>
        </w:tc>
        <w:tc>
          <w:tcPr>
            <w:tcW w:w="4320"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First issue</w:t>
            </w:r>
          </w:p>
        </w:tc>
        <w:tc>
          <w:tcPr>
            <w:tcW w:w="4051" w:type="dxa"/>
          </w:tcPr>
          <w:p>
            <w:pPr>
              <w:keepLines/>
              <w:spacing w:before="10" w:after="0" w:line="240" w:lineRule="auto"/>
              <w:ind w:left="0" w:right="0" w:firstLine="0"/>
              <w:jc w:val="left"/>
            </w:pPr>
            <w:r/>
            <w:r>
              <w:rPr>
                <w:rFonts w:ascii="IBM Plex Sans" w:hAnsi="IBM Plex Sans" w:cs="IBM Plex Sans" w:eastAsia="IBM Plex Sans"/>
                <w:b w:val="0"/>
                <w:i w:val="0"/>
                <w:color w:val="5F5F5F"/>
                <w:sz w:val="19"/>
              </w:rPr>
              <w:t>Initial submission for the refuelling operation</w:t>
            </w:r>
          </w:p>
        </w:tc>
      </w:tr>
      <w:tr>
        <w:trPr>
          <w:cantSplit/>
        </w:trPr>
        <w:tc>
          <w:tcPr>
            <w:tcW w:w="700" w:type="dxa"/>
            <w:shd w:val="clear" w:color="auto" w:fill="F4F4F5"/>
            <w:vAlign w:val="center"/>
          </w:tcPr>
          <w:p>
            <w:pPr>
              <w:keepLines/>
              <w:spacing w:before="10" w:after="0" w:line="240" w:lineRule="auto"/>
              <w:ind w:left="0" w:right="0" w:firstLine="0"/>
              <w:jc w:val="center"/>
            </w:pPr>
            <w:r/>
            <w:r>
              <w:rPr>
                <w:rFonts w:ascii="IBM Plex Sans" w:hAnsi="IBM Plex Sans" w:cs="IBM Plex Sans" w:eastAsia="IBM Plex Sans"/>
                <w:b/>
                <w:i w:val="0"/>
                <w:color w:val="E00036"/>
                <w:sz w:val="20"/>
              </w:rPr>
              <w:t>1</w:t>
            </w:r>
          </w:p>
        </w:tc>
        <w:tc>
          <w:tcPr>
            <w:tcW w:w="4320"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Legal framework, hierarchy of controls, competence requirements and rating legend added</w:t>
            </w:r>
          </w:p>
        </w:tc>
        <w:tc>
          <w:tcPr>
            <w:tcW w:w="4051" w:type="dxa"/>
          </w:tcPr>
          <w:p>
            <w:pPr>
              <w:keepLines/>
              <w:spacing w:before="10" w:after="0" w:line="240" w:lineRule="auto"/>
              <w:ind w:left="0" w:right="0" w:firstLine="0"/>
              <w:jc w:val="left"/>
            </w:pPr>
            <w:r/>
            <w:r>
              <w:rPr>
                <w:rFonts w:ascii="IBM Plex Sans" w:hAnsi="IBM Plex Sans" w:cs="IBM Plex Sans" w:eastAsia="IBM Plex Sans"/>
                <w:b w:val="0"/>
                <w:i w:val="0"/>
                <w:color w:val="5F5F5F"/>
                <w:sz w:val="19"/>
              </w:rPr>
              <w:t>Alignment with the site EHS plan and Swiss regulatory references</w:t>
            </w:r>
          </w:p>
        </w:tc>
      </w:tr>
      <w:tr>
        <w:trPr>
          <w:cantSplit/>
        </w:trPr>
        <w:tc>
          <w:tcPr>
            <w:tcW w:w="700" w:type="dxa"/>
            <w:shd w:val="clear" w:color="auto" w:fill="F4F4F5"/>
            <w:vAlign w:val="center"/>
          </w:tcPr>
          <w:p>
            <w:pPr>
              <w:keepLines/>
              <w:spacing w:before="10" w:after="0" w:line="240" w:lineRule="auto"/>
              <w:ind w:left="0" w:right="0" w:firstLine="0"/>
              <w:jc w:val="center"/>
            </w:pPr>
            <w:r/>
            <w:r>
              <w:rPr>
                <w:rFonts w:ascii="IBM Plex Sans" w:hAnsi="IBM Plex Sans" w:cs="IBM Plex Sans" w:eastAsia="IBM Plex Sans"/>
                <w:b/>
                <w:i w:val="0"/>
                <w:color w:val="E00036"/>
                <w:sz w:val="20"/>
              </w:rPr>
              <w:t>2</w:t>
            </w:r>
          </w:p>
        </w:tc>
        <w:tc>
          <w:tcPr>
            <w:tcW w:w="4320"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Working hours and delivery booking, supervision, interfaces with other trades, certification, spill kit inventory, emergency contacts, monitoring and review added</w:t>
            </w:r>
          </w:p>
        </w:tc>
        <w:tc>
          <w:tcPr>
            <w:tcW w:w="4051" w:type="dxa"/>
          </w:tcPr>
          <w:p>
            <w:pPr>
              <w:keepLines/>
              <w:spacing w:before="10" w:after="0" w:line="240" w:lineRule="auto"/>
              <w:ind w:left="0" w:right="0" w:firstLine="0"/>
              <w:jc w:val="left"/>
            </w:pPr>
            <w:r/>
            <w:r>
              <w:rPr>
                <w:rFonts w:ascii="IBM Plex Sans" w:hAnsi="IBM Plex Sans" w:cs="IBM Plex Sans" w:eastAsia="IBM Plex Sans"/>
                <w:b w:val="0"/>
                <w:i w:val="0"/>
                <w:color w:val="5F5F5F"/>
                <w:sz w:val="19"/>
              </w:rPr>
              <w:t>Full alignment with the Supplemental Conditions and the required method statement contents</w:t>
            </w:r>
          </w:p>
        </w:tc>
      </w:tr>
      <w:tr>
        <w:trPr>
          <w:cantSplit/>
        </w:trPr>
        <w:tc>
          <w:tcPr>
            <w:tcW w:w="700" w:type="dxa"/>
            <w:shd w:val="clear" w:color="auto" w:fill="F4F4F5"/>
            <w:vAlign w:val="center"/>
          </w:tcPr>
          <w:p>
            <w:pPr>
              <w:keepLines/>
              <w:spacing w:before="10" w:after="0" w:line="240" w:lineRule="auto"/>
              <w:ind w:left="0" w:right="0" w:firstLine="0"/>
              <w:jc w:val="center"/>
            </w:pPr>
            <w:r/>
            <w:r>
              <w:rPr>
                <w:rFonts w:ascii="IBM Plex Sans" w:hAnsi="IBM Plex Sans" w:cs="IBM Plex Sans" w:eastAsia="IBM Plex Sans"/>
                <w:b/>
                <w:i w:val="0"/>
                <w:color w:val="E00036"/>
                <w:sz w:val="20"/>
              </w:rPr>
              <w:t>3</w:t>
            </w:r>
          </w:p>
        </w:tc>
        <w:tc>
          <w:tcPr>
            <w:tcW w:w="4320"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Contents page and issue date added; editorial review throughout</w:t>
            </w:r>
          </w:p>
        </w:tc>
        <w:tc>
          <w:tcPr>
            <w:tcW w:w="4051" w:type="dxa"/>
          </w:tcPr>
          <w:p>
            <w:pPr>
              <w:keepLines/>
              <w:spacing w:before="10" w:after="0" w:line="240" w:lineRule="auto"/>
              <w:ind w:left="0" w:right="0" w:firstLine="0"/>
              <w:jc w:val="left"/>
            </w:pPr>
            <w:r/>
            <w:r>
              <w:rPr>
                <w:rFonts w:ascii="IBM Plex Sans" w:hAnsi="IBM Plex Sans" w:cs="IBM Plex Sans" w:eastAsia="IBM Plex Sans"/>
                <w:b w:val="0"/>
                <w:i w:val="0"/>
                <w:color w:val="5F5F5F"/>
                <w:sz w:val="19"/>
              </w:rPr>
              <w:t>Final issue for submission to DPR Construction</w:t>
            </w:r>
          </w:p>
        </w:tc>
      </w:tr>
    </w:tbl>
    <w:p>
      <w:pPr>
        <w:pStyle w:val="Fliesstext"/>
        <w:keepLines/>
        <w:spacing w:before="0" w:after="140" w:line="240" w:lineRule="auto"/>
      </w:pPr>
      <w:r>
        <w:rPr>
          <w:rFonts w:ascii="IBM Plex Sans" w:hAnsi="IBM Plex Sans" w:cs="IBM Plex Sans" w:eastAsia="IBM Plex Sans"/>
          <w:b w:val="0"/>
          <w:i w:val="0"/>
          <w:color w:val="1A1A1A"/>
          <w:sz w:val="4"/>
        </w:rPr>
      </w:r>
    </w:p>
    <w:p>
      <w:pPr>
        <w:pStyle w:val="Unterberschrift"/>
        <w:keepNext/>
        <w:keepLines/>
        <w:spacing w:before="280" w:after="80"/>
      </w:pPr>
      <w:r>
        <w:rPr>
          <w:rFonts w:ascii="Alata" w:hAnsi="Alata" w:cs="Alata" w:eastAsia="Alata"/>
          <w:b w:val="0"/>
          <w:i w:val="0"/>
          <w:color w:val="E00036"/>
          <w:sz w:val="25"/>
        </w:rPr>
        <w:t>Review</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Before every delivery as part of the pre-start evaluation.</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On any change of location, equipment, personnel, fuel product or site conditions.</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After any incident, near miss or spillage, before the next delivery takes place.</w:t>
      </w:r>
    </w:p>
    <w:p>
      <w:pPr>
        <w:pStyle w:val="berschrift"/>
        <w:keepNext/>
        <w:keepLines/>
        <w:pBdr>
          <w:bottom w:val="single" w:sz="8" w:space="4" w:color="E00036"/>
        </w:pBdr>
        <w:spacing w:before="360" w:after="60"/>
      </w:pPr>
      <w:r>
        <w:rPr>
          <w:rFonts w:ascii="Alata" w:hAnsi="Alata" w:cs="Alata" w:eastAsia="Alata"/>
          <w:b w:val="0"/>
          <w:i w:val="0"/>
          <w:color w:val="E00036"/>
          <w:sz w:val="36"/>
        </w:rPr>
        <w:t xml:space="preserve">2   </w:t>
      </w:r>
      <w:r>
        <w:rPr>
          <w:rFonts w:ascii="Alata" w:hAnsi="Alata" w:cs="Alata" w:eastAsia="Alata"/>
          <w:b w:val="0"/>
          <w:i w:val="0"/>
          <w:color w:val="E00036"/>
          <w:sz w:val="36"/>
        </w:rPr>
        <w:t>Scope of Works</w:t>
      </w:r>
    </w:p>
    <w:p>
      <w:pPr>
        <w:pStyle w:val="Fliesstext"/>
        <w:spacing w:before="0" w:after="110" w:line="250" w:lineRule="auto"/>
        <w:jc w:val="both"/>
      </w:pPr>
      <w:r>
        <w:rPr>
          <w:rFonts w:ascii="IBM Plex Sans" w:hAnsi="IBM Plex Sans" w:cs="IBM Plex Sans" w:eastAsia="IBM Plex Sans"/>
          <w:b w:val="0"/>
          <w:i w:val="0"/>
          <w:color w:val="1A1A1A"/>
          <w:sz w:val="21"/>
        </w:rPr>
        <w:t>This RAMS covers the delivery of HVO fuel by road tanker and its transfer into the double-walled bunded tank that supplies the 100 kVA auxiliary generator. The generator provides auxiliary power to the fans and the control system of the 6 MVA load bank and is positioned externally on the trailer.</w:t>
      </w:r>
    </w:p>
    <w:p>
      <w:pPr>
        <w:pStyle w:val="Fliesstext"/>
        <w:spacing w:before="0" w:after="110" w:line="250" w:lineRule="auto"/>
        <w:jc w:val="both"/>
      </w:pPr>
      <w:r>
        <w:rPr>
          <w:rFonts w:ascii="IBM Plex Sans" w:hAnsi="IBM Plex Sans" w:cs="IBM Plex Sans" w:eastAsia="IBM Plex Sans"/>
          <w:b w:val="0"/>
          <w:i w:val="0"/>
          <w:color w:val="1A1A1A"/>
          <w:sz w:val="21"/>
        </w:rPr>
        <w:t>The activity is limited to fuelling the generator set and its associated tank. No other plant or equipment on site is fuelled by this operation.</w:t>
      </w:r>
    </w:p>
    <w:p>
      <w:pPr>
        <w:keepNext/>
        <w:keepLines/>
        <w:spacing w:before="240" w:after="60"/>
        <w:ind w:left="0" w:firstLine="0"/>
      </w:pPr>
      <w:r>
        <w:rPr>
          <w:rFonts w:ascii="IBM Plex Sans" w:hAnsi="IBM Plex Sans" w:cs="IBM Plex Sans" w:eastAsia="IBM Plex Sans"/>
          <w:b/>
          <w:i w:val="0"/>
          <w:color w:val="1A1A1A"/>
          <w:sz w:val="20"/>
        </w:rPr>
        <w:t>Explicitly excluded</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Any work on the electrical installation of the generator, the load bank or the customer's installation</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Fuelling of third-party plant or equipment</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Decanting into drums, cans or intermediate containers</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Any activity inside the building</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Hot works of any kind</w:t>
      </w:r>
    </w:p>
    <w:p>
      <w:pPr>
        <w:pStyle w:val="berschrift"/>
        <w:keepNext/>
        <w:keepLines/>
        <w:pBdr>
          <w:bottom w:val="single" w:sz="8" w:space="4" w:color="E00036"/>
        </w:pBdr>
        <w:spacing w:before="360" w:after="60"/>
      </w:pPr>
      <w:r>
        <w:rPr>
          <w:rFonts w:ascii="Alata" w:hAnsi="Alata" w:cs="Alata" w:eastAsia="Alata"/>
          <w:b w:val="0"/>
          <w:i w:val="0"/>
          <w:color w:val="E00036"/>
          <w:sz w:val="36"/>
        </w:rPr>
        <w:t xml:space="preserve">3   </w:t>
      </w:r>
      <w:r>
        <w:rPr>
          <w:rFonts w:ascii="Alata" w:hAnsi="Alata" w:cs="Alata" w:eastAsia="Alata"/>
          <w:b w:val="0"/>
          <w:i w:val="0"/>
          <w:color w:val="E00036"/>
          <w:sz w:val="36"/>
        </w:rPr>
        <w:t>Reference Documents and Legal Framework</w:t>
      </w:r>
    </w:p>
    <w:tbl>
      <w:tblPr>
        <w:tblW w:w="9071" w:type="dxa"/>
        <w:tblInd w:w="0" w:type="dxa"/>
        <w:tblBorders>
          <w:top w:val="single" w:sz="4" w:space="0" w:color="DCDCDC"/>
          <w:left w:val="none" w:sz="0" w:space="0" w:color="auto"/>
          <w:bottom w:val="single" w:sz="4" w:space="0" w:color="DCDCDC"/>
          <w:right w:val="none" w:sz="0" w:space="0" w:color="auto"/>
          <w:insideH w:val="single" w:sz="4" w:space="0" w:color="DCDCDC"/>
          <w:insideV w:val="none" w:sz="0" w:space="0" w:color="auto"/>
        </w:tblBorders>
        <w:tblLayout w:type="fixed"/>
        <w:tblCellMar>
          <w:top w:w="70" w:type="dxa"/>
          <w:left w:w="100" w:type="dxa"/>
          <w:bottom w:w="70" w:type="dxa"/>
          <w:right w:w="100" w:type="dxa"/>
        </w:tblCellMar>
        <w:tblLook w:val="04A0" w:firstRow="1" w:lastRow="0" w:firstColumn="1" w:lastColumn="0" w:noHBand="0" w:noVBand="1"/>
        <w:jc w:val="left"/>
      </w:tblPr>
      <w:tblGrid>
        <w:gridCol w:w="3400"/>
        <w:gridCol w:w="5671"/>
      </w:tblGrid>
      <w:tr>
        <w:trPr>
          <w:cantSplit/>
          <w:tblHeader/>
        </w:trPr>
        <w:tc>
          <w:tcPr>
            <w:tcW w:w="3400" w:type="dxa"/>
            <w:shd w:val="clear" w:color="auto" w:fill="E00036"/>
            <w:vAlign w:val="center"/>
          </w:tcPr>
          <w:p>
            <w:pPr>
              <w:keepLines/>
              <w:spacing w:before="10" w:after="0" w:line="240" w:lineRule="auto"/>
              <w:ind w:left="0" w:right="0" w:firstLine="0"/>
              <w:jc w:val="left"/>
            </w:pPr>
            <w:r/>
            <w:r>
              <w:rPr>
                <w:rFonts w:ascii="IBM Plex Sans" w:hAnsi="IBM Plex Sans" w:cs="IBM Plex Sans" w:eastAsia="IBM Plex Sans"/>
                <w:b/>
                <w:i w:val="0"/>
                <w:color w:val="FFFFFF"/>
                <w:sz w:val="18"/>
              </w:rPr>
              <w:t>Reference</w:t>
            </w:r>
          </w:p>
        </w:tc>
        <w:tc>
          <w:tcPr>
            <w:tcW w:w="5671" w:type="dxa"/>
            <w:shd w:val="clear" w:color="auto" w:fill="E00036"/>
            <w:vAlign w:val="center"/>
          </w:tcPr>
          <w:p>
            <w:pPr>
              <w:keepLines/>
              <w:spacing w:before="10" w:after="0" w:line="240" w:lineRule="auto"/>
              <w:ind w:left="0" w:right="0" w:firstLine="0"/>
              <w:jc w:val="left"/>
            </w:pPr>
            <w:r/>
            <w:r>
              <w:rPr>
                <w:rFonts w:ascii="IBM Plex Sans" w:hAnsi="IBM Plex Sans" w:cs="IBM Plex Sans" w:eastAsia="IBM Plex Sans"/>
                <w:b/>
                <w:i w:val="0"/>
                <w:color w:val="FFFFFF"/>
                <w:sz w:val="18"/>
              </w:rPr>
              <w:t>Relevance</w:t>
            </w:r>
          </w:p>
        </w:tc>
      </w:tr>
      <w:tr>
        <w:trPr>
          <w:cantSplit/>
        </w:trPr>
        <w:tc>
          <w:tcPr>
            <w:tcW w:w="3400"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i w:val="0"/>
                <w:color w:val="1A1A1A"/>
                <w:sz w:val="19"/>
              </w:rPr>
              <w:t>Vantage ZRH12 Environmental Health &amp; Safety Plan, Rev. 4</w:t>
            </w:r>
          </w:p>
        </w:tc>
        <w:tc>
          <w:tcPr>
            <w:tcW w:w="5671"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Governing site EHS document, including the hierarchy of controls and the permit regime</w:t>
            </w:r>
          </w:p>
        </w:tc>
      </w:tr>
      <w:tr>
        <w:trPr>
          <w:cantSplit/>
        </w:trPr>
        <w:tc>
          <w:tcPr>
            <w:tcW w:w="3400"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i w:val="0"/>
                <w:color w:val="1A1A1A"/>
                <w:sz w:val="19"/>
              </w:rPr>
              <w:t>DPR Supplemental Conditions</w:t>
            </w:r>
          </w:p>
        </w:tc>
        <w:tc>
          <w:tcPr>
            <w:tcW w:w="5671"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Working hours, delivery notification and booking, vehicle movements, PPE, site rules</w:t>
            </w:r>
          </w:p>
        </w:tc>
      </w:tr>
      <w:tr>
        <w:trPr>
          <w:cantSplit/>
        </w:trPr>
        <w:tc>
          <w:tcPr>
            <w:tcW w:w="3400"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i w:val="0"/>
                <w:color w:val="1A1A1A"/>
                <w:sz w:val="19"/>
              </w:rPr>
              <w:t>SUVA guidance and EKAS directives</w:t>
            </w:r>
          </w:p>
        </w:tc>
        <w:tc>
          <w:tcPr>
            <w:tcW w:w="5671"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Swiss occupational safety framework</w:t>
            </w:r>
          </w:p>
        </w:tc>
      </w:tr>
      <w:tr>
        <w:trPr>
          <w:cantSplit/>
        </w:trPr>
        <w:tc>
          <w:tcPr>
            <w:tcW w:w="3400"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i w:val="0"/>
                <w:color w:val="1A1A1A"/>
                <w:sz w:val="19"/>
              </w:rPr>
              <w:t>Bauarbeitenverordnung (BauAV)</w:t>
            </w:r>
          </w:p>
        </w:tc>
        <w:tc>
          <w:tcPr>
            <w:tcW w:w="5671"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Swiss construction site safety ordinance</w:t>
            </w:r>
          </w:p>
        </w:tc>
      </w:tr>
      <w:tr>
        <w:trPr>
          <w:cantSplit/>
        </w:trPr>
        <w:tc>
          <w:tcPr>
            <w:tcW w:w="3400"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i w:val="0"/>
                <w:color w:val="1A1A1A"/>
                <w:sz w:val="19"/>
              </w:rPr>
              <w:t>Gewässerschutzgesetz and Gewässerschutzverordnung</w:t>
            </w:r>
          </w:p>
        </w:tc>
        <w:tc>
          <w:tcPr>
            <w:tcW w:w="5671"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Protection of ground and surface water from substances hazardous to water</w:t>
            </w:r>
          </w:p>
        </w:tc>
      </w:tr>
      <w:tr>
        <w:trPr>
          <w:cantSplit/>
        </w:trPr>
        <w:tc>
          <w:tcPr>
            <w:tcW w:w="3400"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i w:val="0"/>
                <w:color w:val="1A1A1A"/>
                <w:sz w:val="19"/>
              </w:rPr>
              <w:t>VKF fire protection directives</w:t>
            </w:r>
          </w:p>
        </w:tc>
        <w:tc>
          <w:tcPr>
            <w:tcW w:w="5671"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Handling and storage of flammable liquids</w:t>
            </w:r>
          </w:p>
        </w:tc>
      </w:tr>
      <w:tr>
        <w:trPr>
          <w:cantSplit/>
        </w:trPr>
        <w:tc>
          <w:tcPr>
            <w:tcW w:w="3400"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i w:val="0"/>
                <w:color w:val="1A1A1A"/>
                <w:sz w:val="19"/>
              </w:rPr>
              <w:t>SDR / ADR</w:t>
            </w:r>
          </w:p>
        </w:tc>
        <w:tc>
          <w:tcPr>
            <w:tcW w:w="5671"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Carriage of dangerous goods by road; driver qualification and vehicle equipment</w:t>
            </w:r>
          </w:p>
        </w:tc>
      </w:tr>
      <w:tr>
        <w:trPr>
          <w:cantSplit/>
        </w:trPr>
        <w:tc>
          <w:tcPr>
            <w:tcW w:w="3400"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i w:val="0"/>
                <w:color w:val="1A1A1A"/>
                <w:sz w:val="19"/>
              </w:rPr>
              <w:t>VeVA (Ordinance on Movements of Waste)</w:t>
            </w:r>
          </w:p>
        </w:tc>
        <w:tc>
          <w:tcPr>
            <w:tcW w:w="5671"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Disposal of contaminated absorbent material</w:t>
            </w:r>
          </w:p>
        </w:tc>
      </w:tr>
      <w:tr>
        <w:trPr>
          <w:cantSplit/>
        </w:trPr>
        <w:tc>
          <w:tcPr>
            <w:tcW w:w="3400"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i w:val="0"/>
                <w:color w:val="1A1A1A"/>
                <w:sz w:val="19"/>
              </w:rPr>
              <w:t>EN 15940</w:t>
            </w:r>
          </w:p>
        </w:tc>
        <w:tc>
          <w:tcPr>
            <w:tcW w:w="5671"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Product standard for paraffinic diesel fuel (HVO)</w:t>
            </w:r>
          </w:p>
        </w:tc>
      </w:tr>
    </w:tbl>
    <w:p>
      <w:pPr>
        <w:pStyle w:val="Fliesstext"/>
        <w:keepLines/>
        <w:spacing w:before="0" w:after="140" w:line="240" w:lineRule="auto"/>
      </w:pPr>
      <w:r>
        <w:rPr>
          <w:rFonts w:ascii="IBM Plex Sans" w:hAnsi="IBM Plex Sans" w:cs="IBM Plex Sans" w:eastAsia="IBM Plex Sans"/>
          <w:b w:val="0"/>
          <w:i w:val="0"/>
          <w:color w:val="1A1A1A"/>
          <w:sz w:val="4"/>
        </w:rPr>
      </w:r>
    </w:p>
    <w:p>
      <w:pPr>
        <w:pStyle w:val="Fliesstext"/>
        <w:pBdr>
          <w:left w:val="single" w:sz="18" w:space="8" w:color="E00036"/>
        </w:pBdr>
        <w:shd w:val="clear" w:color="auto" w:fill="F4F4F5"/>
        <w:spacing w:before="120" w:after="160" w:line="250" w:lineRule="auto"/>
        <w:ind w:left="170" w:right="113"/>
        <w:jc w:val="left"/>
      </w:pPr>
      <w:r>
        <w:rPr>
          <w:rFonts w:ascii="IBM Plex Sans" w:hAnsi="IBM Plex Sans" w:cs="IBM Plex Sans" w:eastAsia="IBM Plex Sans"/>
          <w:b w:val="0"/>
          <w:i w:val="0"/>
          <w:color w:val="1A1A1A"/>
          <w:sz w:val="19"/>
        </w:rPr>
        <w:t>This assessment applies the hierarchy of controls set out in the site EHS plan: elimination and substitution where reasonably practicable, then engineering controls, then administrative controls, with personal protective equipment as the final layer rather than the primary measure.</w:t>
      </w:r>
    </w:p>
    <w:p>
      <w:pPr>
        <w:pStyle w:val="berschrift"/>
        <w:keepNext/>
        <w:keepLines/>
        <w:pBdr>
          <w:bottom w:val="single" w:sz="8" w:space="4" w:color="E00036"/>
        </w:pBdr>
        <w:spacing w:before="360" w:after="60"/>
      </w:pPr>
      <w:r>
        <w:rPr>
          <w:rFonts w:ascii="Alata" w:hAnsi="Alata" w:cs="Alata" w:eastAsia="Alata"/>
          <w:b w:val="0"/>
          <w:i w:val="0"/>
          <w:color w:val="E00036"/>
          <w:sz w:val="36"/>
        </w:rPr>
        <w:t xml:space="preserve">4   </w:t>
      </w:r>
      <w:r>
        <w:rPr>
          <w:rFonts w:ascii="Alata" w:hAnsi="Alata" w:cs="Alata" w:eastAsia="Alata"/>
          <w:b w:val="0"/>
          <w:i w:val="0"/>
          <w:color w:val="E00036"/>
          <w:sz w:val="36"/>
        </w:rPr>
        <w:t>Equipment, Substance Data and Certification</w:t>
      </w:r>
    </w:p>
    <w:tbl>
      <w:tblPr>
        <w:tblW w:w="9071" w:type="dxa"/>
        <w:tblInd w:w="0" w:type="dxa"/>
        <w:tblBorders>
          <w:top w:val="single" w:sz="4" w:space="0" w:color="DCDCDC"/>
          <w:left w:val="none" w:sz="0" w:space="0" w:color="auto"/>
          <w:bottom w:val="single" w:sz="4" w:space="0" w:color="DCDCDC"/>
          <w:right w:val="none" w:sz="0" w:space="0" w:color="auto"/>
          <w:insideH w:val="single" w:sz="4" w:space="0" w:color="DCDCDC"/>
          <w:insideV w:val="none" w:sz="0" w:space="0" w:color="auto"/>
        </w:tblBorders>
        <w:tblLayout w:type="fixed"/>
        <w:tblCellMar>
          <w:top w:w="70" w:type="dxa"/>
          <w:left w:w="100" w:type="dxa"/>
          <w:bottom w:w="70" w:type="dxa"/>
          <w:right w:w="100" w:type="dxa"/>
        </w:tblCellMar>
        <w:tblLook w:val="04A0" w:firstRow="1" w:lastRow="0" w:firstColumn="1" w:lastColumn="0" w:noHBand="0" w:noVBand="1"/>
        <w:jc w:val="left"/>
      </w:tblPr>
      <w:tblGrid>
        <w:gridCol w:w="2800"/>
        <w:gridCol w:w="6271"/>
      </w:tblGrid>
      <w:tr>
        <w:trPr>
          <w:cantSplit/>
          <w:tblHeader/>
        </w:trPr>
        <w:tc>
          <w:tcPr>
            <w:tcW w:w="2800" w:type="dxa"/>
            <w:shd w:val="clear" w:color="auto" w:fill="E00036"/>
            <w:vAlign w:val="center"/>
          </w:tcPr>
          <w:p>
            <w:pPr>
              <w:keepLines/>
              <w:spacing w:before="10" w:after="0" w:line="240" w:lineRule="auto"/>
              <w:ind w:left="0" w:right="0" w:firstLine="0"/>
              <w:jc w:val="left"/>
            </w:pPr>
            <w:r/>
            <w:r>
              <w:rPr>
                <w:rFonts w:ascii="IBM Plex Sans" w:hAnsi="IBM Plex Sans" w:cs="IBM Plex Sans" w:eastAsia="IBM Plex Sans"/>
                <w:b/>
                <w:i w:val="0"/>
                <w:color w:val="FFFFFF"/>
                <w:sz w:val="18"/>
              </w:rPr>
              <w:t>Item</w:t>
            </w:r>
          </w:p>
        </w:tc>
        <w:tc>
          <w:tcPr>
            <w:tcW w:w="6271" w:type="dxa"/>
            <w:shd w:val="clear" w:color="auto" w:fill="E00036"/>
            <w:vAlign w:val="center"/>
          </w:tcPr>
          <w:p>
            <w:pPr>
              <w:keepLines/>
              <w:spacing w:before="10" w:after="0" w:line="240" w:lineRule="auto"/>
              <w:ind w:left="0" w:right="0" w:firstLine="0"/>
              <w:jc w:val="left"/>
            </w:pPr>
            <w:r/>
            <w:r>
              <w:rPr>
                <w:rFonts w:ascii="IBM Plex Sans" w:hAnsi="IBM Plex Sans" w:cs="IBM Plex Sans" w:eastAsia="IBM Plex Sans"/>
                <w:b/>
                <w:i w:val="0"/>
                <w:color w:val="FFFFFF"/>
                <w:sz w:val="18"/>
              </w:rPr>
              <w:t>Detail</w:t>
            </w:r>
          </w:p>
        </w:tc>
      </w:tr>
      <w:tr>
        <w:trPr>
          <w:cantSplit/>
        </w:trPr>
        <w:tc>
          <w:tcPr>
            <w:tcW w:w="2800"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i w:val="0"/>
                <w:color w:val="1A1A1A"/>
                <w:sz w:val="19"/>
              </w:rPr>
              <w:t>Generator</w:t>
            </w:r>
          </w:p>
        </w:tc>
        <w:tc>
          <w:tcPr>
            <w:tcW w:w="6271"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100 kVA auxiliary set, Stage V emissions compliant</w:t>
            </w:r>
          </w:p>
        </w:tc>
      </w:tr>
      <w:tr>
        <w:trPr>
          <w:cantSplit/>
        </w:trPr>
        <w:tc>
          <w:tcPr>
            <w:tcW w:w="2800"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i w:val="0"/>
                <w:color w:val="1A1A1A"/>
                <w:sz w:val="19"/>
              </w:rPr>
              <w:t>Fuel tank</w:t>
            </w:r>
          </w:p>
        </w:tc>
        <w:tc>
          <w:tcPr>
            <w:tcW w:w="6271"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3,000 litre double-walled combination tank with integrated secondary containment and overfill protection</w:t>
            </w:r>
          </w:p>
        </w:tc>
      </w:tr>
      <w:tr>
        <w:trPr>
          <w:cantSplit/>
        </w:trPr>
        <w:tc>
          <w:tcPr>
            <w:tcW w:w="2800"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i w:val="0"/>
                <w:color w:val="1A1A1A"/>
                <w:sz w:val="19"/>
              </w:rPr>
              <w:t>Fuel</w:t>
            </w:r>
          </w:p>
        </w:tc>
        <w:tc>
          <w:tcPr>
            <w:tcW w:w="6271"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HVO, hydrotreated vegetable oil to EN 15940 (paraffinic diesel fuel)</w:t>
            </w:r>
          </w:p>
        </w:tc>
      </w:tr>
      <w:tr>
        <w:trPr>
          <w:cantSplit/>
        </w:trPr>
        <w:tc>
          <w:tcPr>
            <w:tcW w:w="2800"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i w:val="0"/>
                <w:color w:val="1A1A1A"/>
                <w:sz w:val="19"/>
              </w:rPr>
              <w:t>Flash point</w:t>
            </w:r>
          </w:p>
        </w:tc>
        <w:tc>
          <w:tcPr>
            <w:tcW w:w="6271"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Above 55 °C. Flammable liquid, category 3 under CLP. The fire risk profile is comparable to conventional diesel and not to volatile fuels such as petrol</w:t>
            </w:r>
          </w:p>
        </w:tc>
      </w:tr>
      <w:tr>
        <w:trPr>
          <w:cantSplit/>
        </w:trPr>
        <w:tc>
          <w:tcPr>
            <w:tcW w:w="2800"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i w:val="0"/>
                <w:color w:val="1A1A1A"/>
                <w:sz w:val="19"/>
              </w:rPr>
              <w:t>Transport classification</w:t>
            </w:r>
          </w:p>
        </w:tc>
        <w:tc>
          <w:tcPr>
            <w:tcW w:w="6271"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UN 1202, carried under SDR/ADR</w:t>
            </w:r>
          </w:p>
        </w:tc>
      </w:tr>
      <w:tr>
        <w:trPr>
          <w:cantSplit/>
        </w:trPr>
        <w:tc>
          <w:tcPr>
            <w:tcW w:w="2800"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i w:val="0"/>
                <w:color w:val="1A1A1A"/>
                <w:sz w:val="19"/>
              </w:rPr>
              <w:t>Environmental classification</w:t>
            </w:r>
          </w:p>
        </w:tc>
        <w:tc>
          <w:tcPr>
            <w:tcW w:w="6271"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Substance hazardous to water; release to ground, drainage or surface water must be prevented</w:t>
            </w:r>
          </w:p>
        </w:tc>
      </w:tr>
      <w:tr>
        <w:trPr>
          <w:cantSplit/>
        </w:trPr>
        <w:tc>
          <w:tcPr>
            <w:tcW w:w="2800"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i w:val="0"/>
                <w:color w:val="1A1A1A"/>
                <w:sz w:val="19"/>
              </w:rPr>
              <w:t>Delivery vehicle</w:t>
            </w:r>
          </w:p>
        </w:tc>
        <w:tc>
          <w:tcPr>
            <w:tcW w:w="6271"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Road tanker of the appointed fuel supplier, equipped in accordance with SDR/ADR</w:t>
            </w:r>
          </w:p>
        </w:tc>
      </w:tr>
      <w:tr>
        <w:trPr>
          <w:cantSplit/>
        </w:trPr>
        <w:tc>
          <w:tcPr>
            <w:tcW w:w="2800"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i w:val="0"/>
                <w:color w:val="1A1A1A"/>
                <w:sz w:val="19"/>
              </w:rPr>
              <w:t>Transfer method</w:t>
            </w:r>
          </w:p>
        </w:tc>
        <w:tc>
          <w:tcPr>
            <w:tcW w:w="6271"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Pumped transfer via the tanker's own hose and metered nozzle, attended throughout</w:t>
            </w:r>
          </w:p>
        </w:tc>
      </w:tr>
      <w:tr>
        <w:trPr>
          <w:cantSplit/>
        </w:trPr>
        <w:tc>
          <w:tcPr>
            <w:tcW w:w="2800"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i w:val="0"/>
                <w:color w:val="1A1A1A"/>
                <w:sz w:val="19"/>
              </w:rPr>
              <w:t>Typical duration</w:t>
            </w:r>
          </w:p>
        </w:tc>
        <w:tc>
          <w:tcPr>
            <w:tcW w:w="6271"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30 to 45 minutes per delivery, including positioning and clearing the area</w:t>
            </w:r>
          </w:p>
        </w:tc>
      </w:tr>
    </w:tbl>
    <w:p>
      <w:pPr>
        <w:pStyle w:val="Fliesstext"/>
        <w:keepLines/>
        <w:spacing w:before="0" w:after="140" w:line="240" w:lineRule="auto"/>
      </w:pPr>
      <w:r>
        <w:rPr>
          <w:rFonts w:ascii="IBM Plex Sans" w:hAnsi="IBM Plex Sans" w:cs="IBM Plex Sans" w:eastAsia="IBM Plex Sans"/>
          <w:b w:val="0"/>
          <w:i w:val="0"/>
          <w:color w:val="1A1A1A"/>
          <w:sz w:val="4"/>
        </w:rPr>
      </w:r>
    </w:p>
    <w:p>
      <w:pPr>
        <w:pStyle w:val="Unterberschrift"/>
        <w:keepNext/>
        <w:keepLines/>
        <w:spacing w:before="280" w:after="80"/>
      </w:pPr>
      <w:r>
        <w:rPr>
          <w:rFonts w:ascii="Alata" w:hAnsi="Alata" w:cs="Alata" w:eastAsia="Alata"/>
          <w:b w:val="0"/>
          <w:i w:val="0"/>
          <w:color w:val="E00036"/>
          <w:sz w:val="25"/>
        </w:rPr>
        <w:t>Certification held and available for inspection</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SDR/ADR approval certificate for the tanker and current vehicle inspection</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SDR/ADR training certificate for the driver</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Current inspection tag on the fire extinguisher provided at the delivery point</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Earthing and bonding cable with visual inspection before each use</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Safety data sheet for HVO, held at the point of use</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Tank documentation and overfill protection specification</w:t>
      </w:r>
    </w:p>
    <w:p>
      <w:pPr>
        <w:pStyle w:val="berschrift"/>
        <w:keepNext/>
        <w:keepLines/>
        <w:pBdr>
          <w:bottom w:val="single" w:sz="8" w:space="4" w:color="E00036"/>
        </w:pBdr>
        <w:spacing w:before="360" w:after="60"/>
      </w:pPr>
      <w:r>
        <w:rPr>
          <w:rFonts w:ascii="Alata" w:hAnsi="Alata" w:cs="Alata" w:eastAsia="Alata"/>
          <w:b w:val="0"/>
          <w:i w:val="0"/>
          <w:color w:val="E00036"/>
          <w:sz w:val="36"/>
        </w:rPr>
        <w:t xml:space="preserve">5   </w:t>
      </w:r>
      <w:r>
        <w:rPr>
          <w:rFonts w:ascii="Alata" w:hAnsi="Alata" w:cs="Alata" w:eastAsia="Alata"/>
          <w:b w:val="0"/>
          <w:i w:val="0"/>
          <w:color w:val="E00036"/>
          <w:sz w:val="36"/>
        </w:rPr>
        <w:t>Personnel, Competence and Supervision</w:t>
      </w:r>
    </w:p>
    <w:tbl>
      <w:tblPr>
        <w:tblW w:w="9071" w:type="dxa"/>
        <w:tblInd w:w="0" w:type="dxa"/>
        <w:tblBorders>
          <w:top w:val="single" w:sz="4" w:space="0" w:color="DCDCDC"/>
          <w:left w:val="none" w:sz="0" w:space="0" w:color="auto"/>
          <w:bottom w:val="single" w:sz="4" w:space="0" w:color="DCDCDC"/>
          <w:right w:val="none" w:sz="0" w:space="0" w:color="auto"/>
          <w:insideH w:val="single" w:sz="4" w:space="0" w:color="DCDCDC"/>
          <w:insideV w:val="none" w:sz="0" w:space="0" w:color="auto"/>
        </w:tblBorders>
        <w:tblLayout w:type="fixed"/>
        <w:tblCellMar>
          <w:top w:w="70" w:type="dxa"/>
          <w:left w:w="100" w:type="dxa"/>
          <w:bottom w:w="70" w:type="dxa"/>
          <w:right w:w="100" w:type="dxa"/>
        </w:tblCellMar>
        <w:tblLook w:val="04A0" w:firstRow="1" w:lastRow="0" w:firstColumn="1" w:lastColumn="0" w:noHBand="0" w:noVBand="1"/>
        <w:jc w:val="left"/>
      </w:tblPr>
      <w:tblGrid>
        <w:gridCol w:w="2400"/>
        <w:gridCol w:w="6671"/>
      </w:tblGrid>
      <w:tr>
        <w:trPr>
          <w:cantSplit/>
          <w:tblHeader/>
        </w:trPr>
        <w:tc>
          <w:tcPr>
            <w:tcW w:w="2400" w:type="dxa"/>
            <w:shd w:val="clear" w:color="auto" w:fill="E00036"/>
            <w:vAlign w:val="center"/>
          </w:tcPr>
          <w:p>
            <w:pPr>
              <w:keepLines/>
              <w:spacing w:before="10" w:after="0" w:line="240" w:lineRule="auto"/>
              <w:ind w:left="0" w:right="0" w:firstLine="0"/>
              <w:jc w:val="left"/>
            </w:pPr>
            <w:r/>
            <w:r>
              <w:rPr>
                <w:rFonts w:ascii="IBM Plex Sans" w:hAnsi="IBM Plex Sans" w:cs="IBM Plex Sans" w:eastAsia="IBM Plex Sans"/>
                <w:b/>
                <w:i w:val="0"/>
                <w:color w:val="FFFFFF"/>
                <w:sz w:val="18"/>
              </w:rPr>
              <w:t>Role</w:t>
            </w:r>
          </w:p>
        </w:tc>
        <w:tc>
          <w:tcPr>
            <w:tcW w:w="6671" w:type="dxa"/>
            <w:shd w:val="clear" w:color="auto" w:fill="E00036"/>
            <w:vAlign w:val="center"/>
          </w:tcPr>
          <w:p>
            <w:pPr>
              <w:keepLines/>
              <w:spacing w:before="10" w:after="0" w:line="240" w:lineRule="auto"/>
              <w:ind w:left="0" w:right="0" w:firstLine="0"/>
              <w:jc w:val="left"/>
            </w:pPr>
            <w:r/>
            <w:r>
              <w:rPr>
                <w:rFonts w:ascii="IBM Plex Sans" w:hAnsi="IBM Plex Sans" w:cs="IBM Plex Sans" w:eastAsia="IBM Plex Sans"/>
                <w:b/>
                <w:i w:val="0"/>
                <w:color w:val="FFFFFF"/>
                <w:sz w:val="18"/>
              </w:rPr>
              <w:t>Competence and responsibility</w:t>
            </w:r>
          </w:p>
        </w:tc>
      </w:tr>
      <w:tr>
        <w:trPr>
          <w:cantSplit/>
        </w:trPr>
        <w:tc>
          <w:tcPr>
            <w:tcW w:w="2400"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i w:val="0"/>
                <w:color w:val="1A1A1A"/>
                <w:sz w:val="19"/>
              </w:rPr>
              <w:t>MiT Project Manager</w:t>
            </w:r>
          </w:p>
        </w:tc>
        <w:tc>
          <w:tcPr>
            <w:tcW w:w="6671"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Notifies DPR in advance of each delivery and books the delivery slot; confirms route and standing position; verifies that the controls in this RAMS are in place before transfer begins; site induction completed; communicates in English and German</w:t>
            </w:r>
          </w:p>
        </w:tc>
      </w:tr>
      <w:tr>
        <w:trPr>
          <w:cantSplit/>
        </w:trPr>
        <w:tc>
          <w:tcPr>
            <w:tcW w:w="2400"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i w:val="0"/>
                <w:color w:val="1A1A1A"/>
                <w:sz w:val="19"/>
              </w:rPr>
              <w:t>Tanker driver</w:t>
            </w:r>
          </w:p>
        </w:tc>
        <w:tc>
          <w:tcPr>
            <w:tcW w:w="6671"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Holds a valid SDR/ADR qualification; operates pump and nozzle; remains at the delivery point throughout; site induction completed and valid site access badge held</w:t>
            </w:r>
          </w:p>
        </w:tc>
      </w:tr>
      <w:tr>
        <w:trPr>
          <w:cantSplit/>
        </w:trPr>
        <w:tc>
          <w:tcPr>
            <w:tcW w:w="2400"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i w:val="0"/>
                <w:color w:val="1A1A1A"/>
                <w:sz w:val="19"/>
              </w:rPr>
              <w:t>MiT attendant</w:t>
            </w:r>
          </w:p>
        </w:tc>
        <w:tc>
          <w:tcPr>
            <w:tcW w:w="6671"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Second competent person present throughout; monitors the tank level; acts as banksman during all vehicle manoeuvres; initiates emergency stop where required; trained in the use of the spill kit</w:t>
            </w:r>
          </w:p>
        </w:tc>
      </w:tr>
      <w:tr>
        <w:trPr>
          <w:cantSplit/>
        </w:trPr>
        <w:tc>
          <w:tcPr>
            <w:tcW w:w="2400"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i w:val="0"/>
                <w:color w:val="1A1A1A"/>
                <w:sz w:val="19"/>
              </w:rPr>
              <w:t>DPR site management</w:t>
            </w:r>
          </w:p>
        </w:tc>
        <w:tc>
          <w:tcPr>
            <w:tcW w:w="6671"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Grants site access; confirms route and standing position; issues any permit required under the site permit regime</w:t>
            </w:r>
          </w:p>
        </w:tc>
      </w:tr>
    </w:tbl>
    <w:p>
      <w:pPr>
        <w:pStyle w:val="Fliesstext"/>
        <w:keepLines/>
        <w:spacing w:before="0" w:after="140" w:line="240" w:lineRule="auto"/>
      </w:pPr>
      <w:r>
        <w:rPr>
          <w:rFonts w:ascii="IBM Plex Sans" w:hAnsi="IBM Plex Sans" w:cs="IBM Plex Sans" w:eastAsia="IBM Plex Sans"/>
          <w:b w:val="0"/>
          <w:i w:val="0"/>
          <w:color w:val="1A1A1A"/>
          <w:sz w:val="4"/>
        </w:rPr>
      </w:r>
    </w:p>
    <w:p>
      <w:pPr>
        <w:pStyle w:val="Fliesstext"/>
        <w:pBdr>
          <w:left w:val="single" w:sz="18" w:space="8" w:color="E00036"/>
        </w:pBdr>
        <w:shd w:val="clear" w:color="auto" w:fill="F4F4F5"/>
        <w:spacing w:before="120" w:after="160" w:line="250" w:lineRule="auto"/>
        <w:ind w:left="170" w:right="113"/>
        <w:jc w:val="left"/>
      </w:pPr>
      <w:r>
        <w:rPr>
          <w:rFonts w:ascii="IBM Plex Sans" w:hAnsi="IBM Plex Sans" w:cs="IBM Plex Sans" w:eastAsia="IBM Plex Sans"/>
          <w:b w:val="0"/>
          <w:i w:val="0"/>
          <w:color w:val="1A1A1A"/>
          <w:sz w:val="19"/>
        </w:rPr>
        <w:t>A minimum of two persons is present for the entire operation. The transfer is never left unattended at any point.</w:t>
      </w:r>
    </w:p>
    <w:p>
      <w:pPr>
        <w:pStyle w:val="Unterberschrift"/>
        <w:keepNext/>
        <w:keepLines/>
        <w:spacing w:before="280" w:after="80"/>
      </w:pPr>
      <w:r>
        <w:rPr>
          <w:rFonts w:ascii="Alata" w:hAnsi="Alata" w:cs="Alata" w:eastAsia="Alata"/>
          <w:b w:val="0"/>
          <w:i w:val="0"/>
          <w:color w:val="E00036"/>
          <w:sz w:val="25"/>
        </w:rPr>
        <w:t>Supervision and language</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An English-speaking supervisor from Mobil in Time is present on site for the duration of the operation, in accordance with the Supplemental Conditions.</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Where the driver does not command sufficient English or German, instructions and the content of this RAMS are translated by MiT before the operation begins, and communication is maintained in a language the driver understands.</w:t>
      </w:r>
    </w:p>
    <w:p>
      <w:pPr>
        <w:pStyle w:val="Unterberschrift"/>
        <w:keepNext/>
        <w:keepLines/>
        <w:spacing w:before="280" w:after="80"/>
      </w:pPr>
      <w:r>
        <w:rPr>
          <w:rFonts w:ascii="Alata" w:hAnsi="Alata" w:cs="Alata" w:eastAsia="Alata"/>
          <w:b w:val="0"/>
          <w:i w:val="0"/>
          <w:color w:val="E00036"/>
          <w:sz w:val="25"/>
        </w:rPr>
        <w:t>Briefing</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All persons involved are briefed on this RAMS before the first delivery and confirm their understanding by signature in section 13.</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A pre-start evaluation is carried out before every subsequent delivery, covering current site conditions, the standing position and any change since the previous operation.</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Under the site EHS plan, refuelling is not listed among the activities requiring a permit to work. MiT will nevertheless apply for a permit or attend a toolbox talk on request by DPR.</w:t>
      </w:r>
    </w:p>
    <w:p>
      <w:pPr>
        <w:pStyle w:val="berschrift"/>
        <w:keepNext/>
        <w:keepLines/>
        <w:pBdr>
          <w:bottom w:val="single" w:sz="8" w:space="4" w:color="E00036"/>
        </w:pBdr>
        <w:spacing w:before="360" w:after="60"/>
      </w:pPr>
      <w:r>
        <w:rPr>
          <w:rFonts w:ascii="Alata" w:hAnsi="Alata" w:cs="Alata" w:eastAsia="Alata"/>
          <w:b w:val="0"/>
          <w:i w:val="0"/>
          <w:color w:val="E00036"/>
          <w:sz w:val="36"/>
        </w:rPr>
        <w:t xml:space="preserve">6   </w:t>
      </w:r>
      <w:r>
        <w:rPr>
          <w:rFonts w:ascii="Alata" w:hAnsi="Alata" w:cs="Alata" w:eastAsia="Alata"/>
          <w:b w:val="0"/>
          <w:i w:val="0"/>
          <w:color w:val="E00036"/>
          <w:sz w:val="36"/>
        </w:rPr>
        <w:t>Timing, Delivery Booking and Interfaces</w:t>
      </w:r>
    </w:p>
    <w:p>
      <w:pPr>
        <w:pStyle w:val="Unterberschrift"/>
        <w:keepNext/>
        <w:keepLines/>
        <w:spacing w:before="280" w:after="80"/>
      </w:pPr>
      <w:r>
        <w:rPr>
          <w:rFonts w:ascii="Alata" w:hAnsi="Alata" w:cs="Alata" w:eastAsia="Alata"/>
          <w:b w:val="0"/>
          <w:i w:val="0"/>
          <w:color w:val="E00036"/>
          <w:sz w:val="25"/>
        </w:rPr>
        <w:t>6.1  Working hours</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The operation is carried out within the site working hours of Monday to Friday, 07:00 to 17:30.</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Should a delivery outside these hours become necessary, it is notified to DPR at least three working days in advance and carried out only with a DPR supervisor present, in accordance with the Supplemental Conditions.</w:t>
      </w:r>
    </w:p>
    <w:p>
      <w:pPr>
        <w:pStyle w:val="Unterberschrift"/>
        <w:keepNext/>
        <w:keepLines/>
        <w:spacing w:before="280" w:after="80"/>
      </w:pPr>
      <w:r>
        <w:rPr>
          <w:rFonts w:ascii="Alata" w:hAnsi="Alata" w:cs="Alata" w:eastAsia="Alata"/>
          <w:b w:val="0"/>
          <w:i w:val="0"/>
          <w:color w:val="E00036"/>
          <w:sz w:val="25"/>
        </w:rPr>
        <w:t>6.2  Delivery booking</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Each delivery is booked through the site booking system with the required notice. The tanker does not attend site before its allocated slot and does not wait on approach roads.</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Mobil in Time currently has no access to the site booking platform. Until access is provided, deliveries are notified to DPR site management by email and confirmed before the tanker is dispatched.</w:t>
      </w:r>
    </w:p>
    <w:p>
      <w:pPr>
        <w:pStyle w:val="Unterberschrift"/>
        <w:keepNext/>
        <w:keepLines/>
        <w:spacing w:before="280" w:after="80"/>
      </w:pPr>
      <w:r>
        <w:rPr>
          <w:rFonts w:ascii="Alata" w:hAnsi="Alata" w:cs="Alata" w:eastAsia="Alata"/>
          <w:b w:val="0"/>
          <w:i w:val="0"/>
          <w:color w:val="E00036"/>
          <w:sz w:val="25"/>
        </w:rPr>
        <w:t>6.3  Interfaces with other trades and the adjacent facility</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The route and standing position are agreed with DPR so that access routes, laydown areas and the working areas of other trades are not obstructed.</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The operation is coordinated through the daily site briefing so that adjacent trades are aware of the activity and the demarcated area.</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Particular attention is paid to the proximity of the live ZRH11 facility and of the railway line: no obstruction of emergency routes, and no activity that could affect the operation of the adjacent facility.</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Should another trade require access through the demarcated area during transfer, the transfer is paused until safe passage is arranged.</w:t>
      </w:r>
    </w:p>
    <w:p>
      <w:pPr>
        <w:pStyle w:val="berschrift"/>
        <w:keepNext/>
        <w:keepLines/>
        <w:pBdr>
          <w:bottom w:val="single" w:sz="8" w:space="4" w:color="E00036"/>
        </w:pBdr>
        <w:spacing w:before="360" w:after="60"/>
      </w:pPr>
      <w:r>
        <w:rPr>
          <w:rFonts w:ascii="Alata" w:hAnsi="Alata" w:cs="Alata" w:eastAsia="Alata"/>
          <w:b w:val="0"/>
          <w:i w:val="0"/>
          <w:color w:val="E00036"/>
          <w:sz w:val="36"/>
        </w:rPr>
        <w:t xml:space="preserve">7   </w:t>
      </w:r>
      <w:r>
        <w:rPr>
          <w:rFonts w:ascii="Alata" w:hAnsi="Alata" w:cs="Alata" w:eastAsia="Alata"/>
          <w:b w:val="0"/>
          <w:i w:val="0"/>
          <w:color w:val="E00036"/>
          <w:sz w:val="36"/>
        </w:rPr>
        <w:t>Method Statement: Sequence of Operations</w:t>
      </w:r>
    </w:p>
    <w:p>
      <w:pPr>
        <w:pStyle w:val="Unterberschrift"/>
        <w:keepNext/>
        <w:keepLines/>
        <w:spacing w:before="280" w:after="80"/>
      </w:pPr>
      <w:r>
        <w:rPr>
          <w:rFonts w:ascii="Alata" w:hAnsi="Alata" w:cs="Alata" w:eastAsia="Alata"/>
          <w:b w:val="0"/>
          <w:i w:val="0"/>
          <w:color w:val="E00036"/>
          <w:sz w:val="25"/>
        </w:rPr>
        <w:t>7.1  Before arrival</w:t>
      </w:r>
    </w:p>
    <w:tbl>
      <w:tblPr>
        <w:tblW w:w="9071" w:type="dxa"/>
        <w:tblInd w:w="0" w:type="dxa"/>
        <w:tblBorders>
          <w:top w:val="none" w:sz="0" w:space="0" w:color="auto"/>
          <w:left w:val="none" w:sz="0" w:space="0" w:color="auto"/>
          <w:bottom w:val="none" w:sz="0" w:space="0" w:color="auto"/>
          <w:right w:val="none" w:sz="0" w:space="0" w:color="auto"/>
          <w:insideH w:val="single" w:sz="12" w:space="0" w:color="FFFFFF"/>
          <w:insideV w:val="none" w:sz="0" w:space="0" w:color="auto"/>
        </w:tblBorders>
        <w:tblLayout w:type="fixed"/>
        <w:tblCellMar>
          <w:top w:w="70" w:type="dxa"/>
          <w:left w:w="100" w:type="dxa"/>
          <w:bottom w:w="70" w:type="dxa"/>
          <w:right w:w="100" w:type="dxa"/>
        </w:tblCellMar>
        <w:tblLook w:val="04A0" w:firstRow="1" w:lastRow="0" w:firstColumn="1" w:lastColumn="0" w:noHBand="0" w:noVBand="1"/>
        <w:jc w:val="left"/>
      </w:tblPr>
      <w:tblGrid>
        <w:gridCol w:w="660"/>
        <w:gridCol w:w="8411"/>
      </w:tblGrid>
      <w:tr>
        <w:trPr>
          <w:cantSplit/>
        </w:trPr>
        <w:tc>
          <w:tcPr>
            <w:tcW w:w="660" w:type="dxa"/>
            <w:shd w:val="clear" w:color="auto" w:fill="E00036"/>
            <w:tcMar>
              <w:top w:w="90" w:type="dxa"/>
              <w:left w:w="30" w:type="dxa"/>
              <w:bottom w:w="120" w:type="dxa"/>
              <w:right w:w="30" w:type="dxa"/>
            </w:tcMar>
          </w:tcPr>
          <w:p>
            <w:pPr>
              <w:keepLines/>
              <w:spacing w:before="10" w:after="0" w:line="240" w:lineRule="auto"/>
              <w:ind w:left="0" w:right="0" w:firstLine="0"/>
              <w:jc w:val="center"/>
            </w:pPr>
            <w:r/>
            <w:r>
              <w:rPr>
                <w:rFonts w:ascii="IBM Plex Sans" w:hAnsi="IBM Plex Sans" w:cs="IBM Plex Sans" w:eastAsia="IBM Plex Sans"/>
                <w:b/>
                <w:i w:val="0"/>
                <w:color w:val="FFFFFF"/>
                <w:sz w:val="20"/>
              </w:rPr>
              <w:t>1</w:t>
            </w:r>
          </w:p>
        </w:tc>
        <w:tc>
          <w:tcPr>
            <w:tcW w:w="8411" w:type="dxa"/>
            <w:tcMar>
              <w:left w:w="200" w:type="dxa"/>
              <w:bottom w:w="140" w:type="dxa"/>
            </w:tcMar>
          </w:tcPr>
          <w:p>
            <w:pPr>
              <w:keepLines/>
              <w:spacing w:before="10" w:after="130" w:line="240" w:lineRule="auto"/>
              <w:ind w:left="0" w:right="0" w:firstLine="0"/>
              <w:jc w:val="both"/>
            </w:pPr>
            <w:r/>
            <w:r>
              <w:rPr>
                <w:rFonts w:ascii="IBM Plex Sans" w:hAnsi="IBM Plex Sans" w:cs="IBM Plex Sans" w:eastAsia="IBM Plex Sans"/>
                <w:b w:val="0"/>
                <w:i w:val="0"/>
                <w:color w:val="1A1A1A"/>
                <w:sz w:val="20"/>
              </w:rPr>
              <w:t>The delivery is notified to DPR site management and the slot confirmed. The tanker and driver are registered for site access in accordance with the site access procedure.</w:t>
            </w:r>
          </w:p>
        </w:tc>
      </w:tr>
      <w:tr>
        <w:trPr>
          <w:cantSplit/>
        </w:trPr>
        <w:tc>
          <w:tcPr>
            <w:tcW w:w="660" w:type="dxa"/>
            <w:shd w:val="clear" w:color="auto" w:fill="E00036"/>
            <w:tcMar>
              <w:top w:w="90" w:type="dxa"/>
              <w:left w:w="30" w:type="dxa"/>
              <w:bottom w:w="120" w:type="dxa"/>
              <w:right w:w="30" w:type="dxa"/>
            </w:tcMar>
          </w:tcPr>
          <w:p>
            <w:pPr>
              <w:keepLines/>
              <w:spacing w:before="10" w:after="0" w:line="240" w:lineRule="auto"/>
              <w:ind w:left="0" w:right="0" w:firstLine="0"/>
              <w:jc w:val="center"/>
            </w:pPr>
            <w:r/>
            <w:r>
              <w:rPr>
                <w:rFonts w:ascii="IBM Plex Sans" w:hAnsi="IBM Plex Sans" w:cs="IBM Plex Sans" w:eastAsia="IBM Plex Sans"/>
                <w:b/>
                <w:i w:val="0"/>
                <w:color w:val="FFFFFF"/>
                <w:sz w:val="20"/>
              </w:rPr>
              <w:t>2</w:t>
            </w:r>
          </w:p>
        </w:tc>
        <w:tc>
          <w:tcPr>
            <w:tcW w:w="8411" w:type="dxa"/>
            <w:tcMar>
              <w:left w:w="200" w:type="dxa"/>
              <w:bottom w:w="140" w:type="dxa"/>
            </w:tcMar>
          </w:tcPr>
          <w:p>
            <w:pPr>
              <w:keepLines/>
              <w:spacing w:before="10" w:after="130" w:line="240" w:lineRule="auto"/>
              <w:ind w:left="0" w:right="0" w:firstLine="0"/>
              <w:jc w:val="both"/>
            </w:pPr>
            <w:r/>
            <w:r>
              <w:rPr>
                <w:rFonts w:ascii="IBM Plex Sans" w:hAnsi="IBM Plex Sans" w:cs="IBM Plex Sans" w:eastAsia="IBM Plex Sans"/>
                <w:b w:val="0"/>
                <w:i w:val="0"/>
                <w:color w:val="1A1A1A"/>
                <w:sz w:val="20"/>
              </w:rPr>
              <w:t>The approved access route and the standing position of the tanker are confirmed with DPR. The route is kept clear of pedestrian walkways as far as reasonably practicable.</w:t>
            </w:r>
          </w:p>
        </w:tc>
      </w:tr>
      <w:tr>
        <w:trPr>
          <w:cantSplit/>
        </w:trPr>
        <w:tc>
          <w:tcPr>
            <w:tcW w:w="660" w:type="dxa"/>
            <w:shd w:val="clear" w:color="auto" w:fill="E00036"/>
            <w:tcMar>
              <w:top w:w="90" w:type="dxa"/>
              <w:left w:w="30" w:type="dxa"/>
              <w:bottom w:w="120" w:type="dxa"/>
              <w:right w:w="30" w:type="dxa"/>
            </w:tcMar>
          </w:tcPr>
          <w:p>
            <w:pPr>
              <w:keepLines/>
              <w:spacing w:before="10" w:after="0" w:line="240" w:lineRule="auto"/>
              <w:ind w:left="0" w:right="0" w:firstLine="0"/>
              <w:jc w:val="center"/>
            </w:pPr>
            <w:r/>
            <w:r>
              <w:rPr>
                <w:rFonts w:ascii="IBM Plex Sans" w:hAnsi="IBM Plex Sans" w:cs="IBM Plex Sans" w:eastAsia="IBM Plex Sans"/>
                <w:b/>
                <w:i w:val="0"/>
                <w:color w:val="FFFFFF"/>
                <w:sz w:val="20"/>
              </w:rPr>
              <w:t>3</w:t>
            </w:r>
          </w:p>
        </w:tc>
        <w:tc>
          <w:tcPr>
            <w:tcW w:w="8411" w:type="dxa"/>
            <w:tcMar>
              <w:left w:w="200" w:type="dxa"/>
              <w:bottom w:w="140" w:type="dxa"/>
            </w:tcMar>
          </w:tcPr>
          <w:p>
            <w:pPr>
              <w:keepLines/>
              <w:spacing w:before="10" w:after="130" w:line="240" w:lineRule="auto"/>
              <w:ind w:left="0" w:right="0" w:firstLine="0"/>
              <w:jc w:val="both"/>
            </w:pPr>
            <w:r/>
            <w:r>
              <w:rPr>
                <w:rFonts w:ascii="IBM Plex Sans" w:hAnsi="IBM Plex Sans" w:cs="IBM Plex Sans" w:eastAsia="IBM Plex Sans"/>
                <w:b w:val="0"/>
                <w:i w:val="0"/>
                <w:color w:val="1A1A1A"/>
                <w:sz w:val="20"/>
              </w:rPr>
              <w:t>Ground conditions and weather are assessed. The operation is postponed in the event of an electrical storm or where ground conditions are unsuitable for the tanker.</w:t>
            </w:r>
          </w:p>
        </w:tc>
      </w:tr>
      <w:tr>
        <w:trPr>
          <w:cantSplit/>
        </w:trPr>
        <w:tc>
          <w:tcPr>
            <w:tcW w:w="660" w:type="dxa"/>
            <w:shd w:val="clear" w:color="auto" w:fill="E00036"/>
            <w:tcMar>
              <w:top w:w="90" w:type="dxa"/>
              <w:left w:w="30" w:type="dxa"/>
              <w:bottom w:w="120" w:type="dxa"/>
              <w:right w:w="30" w:type="dxa"/>
            </w:tcMar>
          </w:tcPr>
          <w:p>
            <w:pPr>
              <w:keepLines/>
              <w:spacing w:before="10" w:after="0" w:line="240" w:lineRule="auto"/>
              <w:ind w:left="0" w:right="0" w:firstLine="0"/>
              <w:jc w:val="center"/>
            </w:pPr>
            <w:r/>
            <w:r>
              <w:rPr>
                <w:rFonts w:ascii="IBM Plex Sans" w:hAnsi="IBM Plex Sans" w:cs="IBM Plex Sans" w:eastAsia="IBM Plex Sans"/>
                <w:b/>
                <w:i w:val="0"/>
                <w:color w:val="FFFFFF"/>
                <w:sz w:val="20"/>
              </w:rPr>
              <w:t>4</w:t>
            </w:r>
          </w:p>
        </w:tc>
        <w:tc>
          <w:tcPr>
            <w:tcW w:w="8411" w:type="dxa"/>
            <w:tcMar>
              <w:left w:w="200" w:type="dxa"/>
              <w:bottom w:w="140" w:type="dxa"/>
            </w:tcMar>
          </w:tcPr>
          <w:p>
            <w:pPr>
              <w:keepLines/>
              <w:spacing w:before="10" w:after="130" w:line="240" w:lineRule="auto"/>
              <w:ind w:left="0" w:right="0" w:firstLine="0"/>
              <w:jc w:val="both"/>
            </w:pPr>
            <w:r/>
            <w:r>
              <w:rPr>
                <w:rFonts w:ascii="IBM Plex Sans" w:hAnsi="IBM Plex Sans" w:cs="IBM Plex Sans" w:eastAsia="IBM Plex Sans"/>
                <w:b w:val="0"/>
                <w:i w:val="0"/>
                <w:color w:val="1A1A1A"/>
                <w:sz w:val="20"/>
              </w:rPr>
              <w:t>A pre-start evaluation is held with all persons involved, covering the sequence, the controls and the emergency arrangements.</w:t>
            </w:r>
          </w:p>
        </w:tc>
      </w:tr>
    </w:tbl>
    <w:p>
      <w:pPr>
        <w:pStyle w:val="Fliesstext"/>
        <w:keepLines/>
        <w:spacing w:before="0" w:after="60" w:line="240" w:lineRule="auto"/>
      </w:pPr>
      <w:r>
        <w:rPr>
          <w:rFonts w:ascii="IBM Plex Sans" w:hAnsi="IBM Plex Sans" w:cs="IBM Plex Sans" w:eastAsia="IBM Plex Sans"/>
          <w:b w:val="0"/>
          <w:i w:val="0"/>
          <w:color w:val="1A1A1A"/>
          <w:sz w:val="4"/>
        </w:rPr>
      </w:r>
    </w:p>
    <w:p>
      <w:pPr>
        <w:pStyle w:val="Unterberschrift"/>
        <w:keepNext/>
        <w:keepLines/>
        <w:spacing w:before="280" w:after="80"/>
      </w:pPr>
      <w:r>
        <w:rPr>
          <w:rFonts w:ascii="Alata" w:hAnsi="Alata" w:cs="Alata" w:eastAsia="Alata"/>
          <w:b w:val="0"/>
          <w:i w:val="0"/>
          <w:color w:val="E00036"/>
          <w:sz w:val="25"/>
        </w:rPr>
        <w:t>7.2  Arrival and positioning</w:t>
      </w:r>
    </w:p>
    <w:tbl>
      <w:tblPr>
        <w:tblW w:w="9071" w:type="dxa"/>
        <w:tblInd w:w="0" w:type="dxa"/>
        <w:tblBorders>
          <w:top w:val="none" w:sz="0" w:space="0" w:color="auto"/>
          <w:left w:val="none" w:sz="0" w:space="0" w:color="auto"/>
          <w:bottom w:val="none" w:sz="0" w:space="0" w:color="auto"/>
          <w:right w:val="none" w:sz="0" w:space="0" w:color="auto"/>
          <w:insideH w:val="single" w:sz="12" w:space="0" w:color="FFFFFF"/>
          <w:insideV w:val="none" w:sz="0" w:space="0" w:color="auto"/>
        </w:tblBorders>
        <w:tblLayout w:type="fixed"/>
        <w:tblCellMar>
          <w:top w:w="70" w:type="dxa"/>
          <w:left w:w="100" w:type="dxa"/>
          <w:bottom w:w="70" w:type="dxa"/>
          <w:right w:w="100" w:type="dxa"/>
        </w:tblCellMar>
        <w:tblLook w:val="04A0" w:firstRow="1" w:lastRow="0" w:firstColumn="1" w:lastColumn="0" w:noHBand="0" w:noVBand="1"/>
        <w:jc w:val="left"/>
      </w:tblPr>
      <w:tblGrid>
        <w:gridCol w:w="660"/>
        <w:gridCol w:w="8411"/>
      </w:tblGrid>
      <w:tr>
        <w:trPr>
          <w:cantSplit/>
        </w:trPr>
        <w:tc>
          <w:tcPr>
            <w:tcW w:w="660" w:type="dxa"/>
            <w:shd w:val="clear" w:color="auto" w:fill="E00036"/>
            <w:tcMar>
              <w:top w:w="90" w:type="dxa"/>
              <w:left w:w="30" w:type="dxa"/>
              <w:bottom w:w="120" w:type="dxa"/>
              <w:right w:w="30" w:type="dxa"/>
            </w:tcMar>
          </w:tcPr>
          <w:p>
            <w:pPr>
              <w:keepLines/>
              <w:spacing w:before="10" w:after="0" w:line="240" w:lineRule="auto"/>
              <w:ind w:left="0" w:right="0" w:firstLine="0"/>
              <w:jc w:val="center"/>
            </w:pPr>
            <w:r/>
            <w:r>
              <w:rPr>
                <w:rFonts w:ascii="IBM Plex Sans" w:hAnsi="IBM Plex Sans" w:cs="IBM Plex Sans" w:eastAsia="IBM Plex Sans"/>
                <w:b/>
                <w:i w:val="0"/>
                <w:color w:val="FFFFFF"/>
                <w:sz w:val="20"/>
              </w:rPr>
              <w:t>5</w:t>
            </w:r>
          </w:p>
        </w:tc>
        <w:tc>
          <w:tcPr>
            <w:tcW w:w="8411" w:type="dxa"/>
            <w:tcMar>
              <w:left w:w="200" w:type="dxa"/>
              <w:bottom w:w="140" w:type="dxa"/>
            </w:tcMar>
          </w:tcPr>
          <w:p>
            <w:pPr>
              <w:keepLines/>
              <w:spacing w:before="10" w:after="130" w:line="240" w:lineRule="auto"/>
              <w:ind w:left="0" w:right="0" w:firstLine="0"/>
              <w:jc w:val="both"/>
            </w:pPr>
            <w:r/>
            <w:r>
              <w:rPr>
                <w:rFonts w:ascii="IBM Plex Sans" w:hAnsi="IBM Plex Sans" w:cs="IBM Plex Sans" w:eastAsia="IBM Plex Sans"/>
                <w:b w:val="0"/>
                <w:i w:val="0"/>
                <w:color w:val="1A1A1A"/>
                <w:sz w:val="20"/>
              </w:rPr>
              <w:t>The tanker enters site at walking pace and is escorted. The MiT attendant acts as banksman for all reversing and manoeuvring movements.</w:t>
            </w:r>
          </w:p>
        </w:tc>
      </w:tr>
      <w:tr>
        <w:trPr>
          <w:cantSplit/>
        </w:trPr>
        <w:tc>
          <w:tcPr>
            <w:tcW w:w="660" w:type="dxa"/>
            <w:shd w:val="clear" w:color="auto" w:fill="E00036"/>
            <w:tcMar>
              <w:top w:w="90" w:type="dxa"/>
              <w:left w:w="30" w:type="dxa"/>
              <w:bottom w:w="120" w:type="dxa"/>
              <w:right w:w="30" w:type="dxa"/>
            </w:tcMar>
          </w:tcPr>
          <w:p>
            <w:pPr>
              <w:keepLines/>
              <w:spacing w:before="10" w:after="0" w:line="240" w:lineRule="auto"/>
              <w:ind w:left="0" w:right="0" w:firstLine="0"/>
              <w:jc w:val="center"/>
            </w:pPr>
            <w:r/>
            <w:r>
              <w:rPr>
                <w:rFonts w:ascii="IBM Plex Sans" w:hAnsi="IBM Plex Sans" w:cs="IBM Plex Sans" w:eastAsia="IBM Plex Sans"/>
                <w:b/>
                <w:i w:val="0"/>
                <w:color w:val="FFFFFF"/>
                <w:sz w:val="20"/>
              </w:rPr>
              <w:t>6</w:t>
            </w:r>
          </w:p>
        </w:tc>
        <w:tc>
          <w:tcPr>
            <w:tcW w:w="8411" w:type="dxa"/>
            <w:tcMar>
              <w:left w:w="200" w:type="dxa"/>
              <w:bottom w:w="140" w:type="dxa"/>
            </w:tcMar>
          </w:tcPr>
          <w:p>
            <w:pPr>
              <w:keepLines/>
              <w:spacing w:before="10" w:after="130" w:line="240" w:lineRule="auto"/>
              <w:ind w:left="0" w:right="0" w:firstLine="0"/>
              <w:jc w:val="both"/>
            </w:pPr>
            <w:r/>
            <w:r>
              <w:rPr>
                <w:rFonts w:ascii="IBM Plex Sans" w:hAnsi="IBM Plex Sans" w:cs="IBM Plex Sans" w:eastAsia="IBM Plex Sans"/>
                <w:b w:val="0"/>
                <w:i w:val="0"/>
                <w:color w:val="1A1A1A"/>
                <w:sz w:val="20"/>
              </w:rPr>
              <w:t>The tanker is positioned on level, firm ground at the designated point. The parking brake is applied and the wheels are chocked. Where the transfer pump is driven by the vehicle's power take-off, the engine runs at idle for the pump only; no movement of the vehicle takes place while the hose is connected.</w:t>
            </w:r>
          </w:p>
        </w:tc>
      </w:tr>
      <w:tr>
        <w:trPr>
          <w:cantSplit/>
        </w:trPr>
        <w:tc>
          <w:tcPr>
            <w:tcW w:w="660" w:type="dxa"/>
            <w:shd w:val="clear" w:color="auto" w:fill="E00036"/>
            <w:tcMar>
              <w:top w:w="90" w:type="dxa"/>
              <w:left w:w="30" w:type="dxa"/>
              <w:bottom w:w="120" w:type="dxa"/>
              <w:right w:w="30" w:type="dxa"/>
            </w:tcMar>
          </w:tcPr>
          <w:p>
            <w:pPr>
              <w:keepLines/>
              <w:spacing w:before="10" w:after="0" w:line="240" w:lineRule="auto"/>
              <w:ind w:left="0" w:right="0" w:firstLine="0"/>
              <w:jc w:val="center"/>
            </w:pPr>
            <w:r/>
            <w:r>
              <w:rPr>
                <w:rFonts w:ascii="IBM Plex Sans" w:hAnsi="IBM Plex Sans" w:cs="IBM Plex Sans" w:eastAsia="IBM Plex Sans"/>
                <w:b/>
                <w:i w:val="0"/>
                <w:color w:val="FFFFFF"/>
                <w:sz w:val="20"/>
              </w:rPr>
              <w:t>7</w:t>
            </w:r>
          </w:p>
        </w:tc>
        <w:tc>
          <w:tcPr>
            <w:tcW w:w="8411" w:type="dxa"/>
            <w:tcMar>
              <w:left w:w="200" w:type="dxa"/>
              <w:bottom w:w="140" w:type="dxa"/>
            </w:tcMar>
          </w:tcPr>
          <w:p>
            <w:pPr>
              <w:keepLines/>
              <w:spacing w:before="10" w:after="130" w:line="240" w:lineRule="auto"/>
              <w:ind w:left="0" w:right="0" w:firstLine="0"/>
              <w:jc w:val="both"/>
            </w:pPr>
            <w:r/>
            <w:r>
              <w:rPr>
                <w:rFonts w:ascii="IBM Plex Sans" w:hAnsi="IBM Plex Sans" w:cs="IBM Plex Sans" w:eastAsia="IBM Plex Sans"/>
                <w:b w:val="0"/>
                <w:i w:val="0"/>
                <w:color w:val="1A1A1A"/>
                <w:sz w:val="20"/>
              </w:rPr>
              <w:t>The working area is demarcated with rigid barriers. Barrier tape is not used, in accordance with the site rules. No-smoking and no-naked-flame signage is displayed, and mobile telephones are not used within the demarcated area.</w:t>
            </w:r>
          </w:p>
        </w:tc>
      </w:tr>
      <w:tr>
        <w:trPr>
          <w:cantSplit/>
        </w:trPr>
        <w:tc>
          <w:tcPr>
            <w:tcW w:w="660" w:type="dxa"/>
            <w:shd w:val="clear" w:color="auto" w:fill="E00036"/>
            <w:tcMar>
              <w:top w:w="90" w:type="dxa"/>
              <w:left w:w="30" w:type="dxa"/>
              <w:bottom w:w="120" w:type="dxa"/>
              <w:right w:w="30" w:type="dxa"/>
            </w:tcMar>
          </w:tcPr>
          <w:p>
            <w:pPr>
              <w:keepLines/>
              <w:spacing w:before="10" w:after="0" w:line="240" w:lineRule="auto"/>
              <w:ind w:left="0" w:right="0" w:firstLine="0"/>
              <w:jc w:val="center"/>
            </w:pPr>
            <w:r/>
            <w:r>
              <w:rPr>
                <w:rFonts w:ascii="IBM Plex Sans" w:hAnsi="IBM Plex Sans" w:cs="IBM Plex Sans" w:eastAsia="IBM Plex Sans"/>
                <w:b/>
                <w:i w:val="0"/>
                <w:color w:val="FFFFFF"/>
                <w:sz w:val="20"/>
              </w:rPr>
              <w:t>8</w:t>
            </w:r>
          </w:p>
        </w:tc>
        <w:tc>
          <w:tcPr>
            <w:tcW w:w="8411" w:type="dxa"/>
            <w:tcMar>
              <w:left w:w="200" w:type="dxa"/>
              <w:bottom w:w="140" w:type="dxa"/>
            </w:tcMar>
          </w:tcPr>
          <w:p>
            <w:pPr>
              <w:keepLines/>
              <w:spacing w:before="10" w:after="130" w:line="240" w:lineRule="auto"/>
              <w:ind w:left="0" w:right="0" w:firstLine="0"/>
              <w:jc w:val="both"/>
            </w:pPr>
            <w:r/>
            <w:r>
              <w:rPr>
                <w:rFonts w:ascii="IBM Plex Sans" w:hAnsi="IBM Plex Sans" w:cs="IBM Plex Sans" w:eastAsia="IBM Plex Sans"/>
                <w:b w:val="0"/>
                <w:i w:val="0"/>
                <w:color w:val="1A1A1A"/>
                <w:sz w:val="20"/>
              </w:rPr>
              <w:t>The spill kit and a fire extinguisher of at least 6 kg ABC dry powder are positioned at the delivery point before any connection is made. The tanker's own extinguishers remain accessible.</w:t>
            </w:r>
          </w:p>
        </w:tc>
      </w:tr>
    </w:tbl>
    <w:p>
      <w:pPr>
        <w:pStyle w:val="Fliesstext"/>
        <w:keepLines/>
        <w:spacing w:before="0" w:after="60" w:line="240" w:lineRule="auto"/>
      </w:pPr>
      <w:r>
        <w:rPr>
          <w:rFonts w:ascii="IBM Plex Sans" w:hAnsi="IBM Plex Sans" w:cs="IBM Plex Sans" w:eastAsia="IBM Plex Sans"/>
          <w:b w:val="0"/>
          <w:i w:val="0"/>
          <w:color w:val="1A1A1A"/>
          <w:sz w:val="4"/>
        </w:rPr>
      </w:r>
    </w:p>
    <w:p>
      <w:pPr>
        <w:pStyle w:val="Unterberschrift"/>
        <w:keepNext/>
        <w:keepLines/>
        <w:spacing w:before="280" w:after="80"/>
      </w:pPr>
      <w:r>
        <w:rPr>
          <w:rFonts w:ascii="Alata" w:hAnsi="Alata" w:cs="Alata" w:eastAsia="Alata"/>
          <w:b w:val="0"/>
          <w:i w:val="0"/>
          <w:color w:val="E00036"/>
          <w:sz w:val="25"/>
        </w:rPr>
        <w:t>7.3  Preparation</w:t>
      </w:r>
    </w:p>
    <w:tbl>
      <w:tblPr>
        <w:tblW w:w="9071" w:type="dxa"/>
        <w:tblInd w:w="0" w:type="dxa"/>
        <w:tblBorders>
          <w:top w:val="none" w:sz="0" w:space="0" w:color="auto"/>
          <w:left w:val="none" w:sz="0" w:space="0" w:color="auto"/>
          <w:bottom w:val="none" w:sz="0" w:space="0" w:color="auto"/>
          <w:right w:val="none" w:sz="0" w:space="0" w:color="auto"/>
          <w:insideH w:val="single" w:sz="12" w:space="0" w:color="FFFFFF"/>
          <w:insideV w:val="none" w:sz="0" w:space="0" w:color="auto"/>
        </w:tblBorders>
        <w:tblLayout w:type="fixed"/>
        <w:tblCellMar>
          <w:top w:w="70" w:type="dxa"/>
          <w:left w:w="100" w:type="dxa"/>
          <w:bottom w:w="70" w:type="dxa"/>
          <w:right w:w="100" w:type="dxa"/>
        </w:tblCellMar>
        <w:tblLook w:val="04A0" w:firstRow="1" w:lastRow="0" w:firstColumn="1" w:lastColumn="0" w:noHBand="0" w:noVBand="1"/>
        <w:jc w:val="left"/>
      </w:tblPr>
      <w:tblGrid>
        <w:gridCol w:w="660"/>
        <w:gridCol w:w="8411"/>
      </w:tblGrid>
      <w:tr>
        <w:trPr>
          <w:cantSplit/>
        </w:trPr>
        <w:tc>
          <w:tcPr>
            <w:tcW w:w="660" w:type="dxa"/>
            <w:shd w:val="clear" w:color="auto" w:fill="E00036"/>
            <w:tcMar>
              <w:top w:w="90" w:type="dxa"/>
              <w:left w:w="30" w:type="dxa"/>
              <w:bottom w:w="120" w:type="dxa"/>
              <w:right w:w="30" w:type="dxa"/>
            </w:tcMar>
          </w:tcPr>
          <w:p>
            <w:pPr>
              <w:keepLines/>
              <w:spacing w:before="10" w:after="0" w:line="240" w:lineRule="auto"/>
              <w:ind w:left="0" w:right="0" w:firstLine="0"/>
              <w:jc w:val="center"/>
            </w:pPr>
            <w:r/>
            <w:r>
              <w:rPr>
                <w:rFonts w:ascii="IBM Plex Sans" w:hAnsi="IBM Plex Sans" w:cs="IBM Plex Sans" w:eastAsia="IBM Plex Sans"/>
                <w:b/>
                <w:i w:val="0"/>
                <w:color w:val="FFFFFF"/>
                <w:sz w:val="20"/>
              </w:rPr>
              <w:t>9</w:t>
            </w:r>
          </w:p>
        </w:tc>
        <w:tc>
          <w:tcPr>
            <w:tcW w:w="8411" w:type="dxa"/>
            <w:tcMar>
              <w:left w:w="200" w:type="dxa"/>
              <w:bottom w:w="140" w:type="dxa"/>
            </w:tcMar>
          </w:tcPr>
          <w:p>
            <w:pPr>
              <w:keepLines/>
              <w:spacing w:before="10" w:after="130" w:line="240" w:lineRule="auto"/>
              <w:ind w:left="0" w:right="0" w:firstLine="0"/>
              <w:jc w:val="both"/>
            </w:pPr>
            <w:r/>
            <w:r>
              <w:rPr>
                <w:rFonts w:ascii="IBM Plex Sans" w:hAnsi="IBM Plex Sans" w:cs="IBM Plex Sans" w:eastAsia="IBM Plex Sans"/>
                <w:b w:val="0"/>
                <w:i w:val="0"/>
                <w:color w:val="1A1A1A"/>
                <w:sz w:val="20"/>
              </w:rPr>
              <w:t>The generator is shut down and allowed to cool before the transfer begins. Refuelling of a running set does not take place.</w:t>
            </w:r>
          </w:p>
        </w:tc>
      </w:tr>
      <w:tr>
        <w:trPr>
          <w:cantSplit/>
        </w:trPr>
        <w:tc>
          <w:tcPr>
            <w:tcW w:w="660" w:type="dxa"/>
            <w:shd w:val="clear" w:color="auto" w:fill="E00036"/>
            <w:tcMar>
              <w:top w:w="90" w:type="dxa"/>
              <w:left w:w="30" w:type="dxa"/>
              <w:bottom w:w="120" w:type="dxa"/>
              <w:right w:w="30" w:type="dxa"/>
            </w:tcMar>
          </w:tcPr>
          <w:p>
            <w:pPr>
              <w:keepLines/>
              <w:spacing w:before="10" w:after="0" w:line="240" w:lineRule="auto"/>
              <w:ind w:left="0" w:right="0" w:firstLine="0"/>
              <w:jc w:val="center"/>
            </w:pPr>
            <w:r/>
            <w:r>
              <w:rPr>
                <w:rFonts w:ascii="IBM Plex Sans" w:hAnsi="IBM Plex Sans" w:cs="IBM Plex Sans" w:eastAsia="IBM Plex Sans"/>
                <w:b/>
                <w:i w:val="0"/>
                <w:color w:val="FFFFFF"/>
                <w:sz w:val="20"/>
              </w:rPr>
              <w:t>10</w:t>
            </w:r>
          </w:p>
        </w:tc>
        <w:tc>
          <w:tcPr>
            <w:tcW w:w="8411" w:type="dxa"/>
            <w:tcMar>
              <w:left w:w="200" w:type="dxa"/>
              <w:bottom w:w="140" w:type="dxa"/>
            </w:tcMar>
          </w:tcPr>
          <w:p>
            <w:pPr>
              <w:keepLines/>
              <w:spacing w:before="10" w:after="130" w:line="240" w:lineRule="auto"/>
              <w:ind w:left="0" w:right="0" w:firstLine="0"/>
              <w:jc w:val="both"/>
            </w:pPr>
            <w:r/>
            <w:r>
              <w:rPr>
                <w:rFonts w:ascii="IBM Plex Sans" w:hAnsi="IBM Plex Sans" w:cs="IBM Plex Sans" w:eastAsia="IBM Plex Sans"/>
                <w:b w:val="0"/>
                <w:i w:val="0"/>
                <w:color w:val="1A1A1A"/>
                <w:sz w:val="20"/>
              </w:rPr>
              <w:t>The tank level is verified and the delivery volume calculated so that a filling level of 95 per cent is not exceeded.</w:t>
            </w:r>
          </w:p>
        </w:tc>
      </w:tr>
      <w:tr>
        <w:trPr>
          <w:cantSplit/>
        </w:trPr>
        <w:tc>
          <w:tcPr>
            <w:tcW w:w="660" w:type="dxa"/>
            <w:shd w:val="clear" w:color="auto" w:fill="E00036"/>
            <w:tcMar>
              <w:top w:w="90" w:type="dxa"/>
              <w:left w:w="30" w:type="dxa"/>
              <w:bottom w:w="120" w:type="dxa"/>
              <w:right w:w="30" w:type="dxa"/>
            </w:tcMar>
          </w:tcPr>
          <w:p>
            <w:pPr>
              <w:keepLines/>
              <w:spacing w:before="10" w:after="0" w:line="240" w:lineRule="auto"/>
              <w:ind w:left="0" w:right="0" w:firstLine="0"/>
              <w:jc w:val="center"/>
            </w:pPr>
            <w:r/>
            <w:r>
              <w:rPr>
                <w:rFonts w:ascii="IBM Plex Sans" w:hAnsi="IBM Plex Sans" w:cs="IBM Plex Sans" w:eastAsia="IBM Plex Sans"/>
                <w:b/>
                <w:i w:val="0"/>
                <w:color w:val="FFFFFF"/>
                <w:sz w:val="20"/>
              </w:rPr>
              <w:t>11</w:t>
            </w:r>
          </w:p>
        </w:tc>
        <w:tc>
          <w:tcPr>
            <w:tcW w:w="8411" w:type="dxa"/>
            <w:tcMar>
              <w:left w:w="200" w:type="dxa"/>
              <w:bottom w:w="140" w:type="dxa"/>
            </w:tcMar>
          </w:tcPr>
          <w:p>
            <w:pPr>
              <w:keepLines/>
              <w:spacing w:before="10" w:after="130" w:line="240" w:lineRule="auto"/>
              <w:ind w:left="0" w:right="0" w:firstLine="0"/>
              <w:jc w:val="both"/>
            </w:pPr>
            <w:r/>
            <w:r>
              <w:rPr>
                <w:rFonts w:ascii="IBM Plex Sans" w:hAnsi="IBM Plex Sans" w:cs="IBM Plex Sans" w:eastAsia="IBM Plex Sans"/>
                <w:b w:val="0"/>
                <w:i w:val="0"/>
                <w:color w:val="1A1A1A"/>
                <w:sz w:val="20"/>
              </w:rPr>
              <w:t>The tank shell and the secondary containment are inspected visually for damage or accumulated liquid. Any water present in the containment is removed and disposed of correctly before filling begins.</w:t>
            </w:r>
          </w:p>
        </w:tc>
      </w:tr>
      <w:tr>
        <w:trPr>
          <w:cantSplit/>
        </w:trPr>
        <w:tc>
          <w:tcPr>
            <w:tcW w:w="660" w:type="dxa"/>
            <w:shd w:val="clear" w:color="auto" w:fill="E00036"/>
            <w:tcMar>
              <w:top w:w="90" w:type="dxa"/>
              <w:left w:w="30" w:type="dxa"/>
              <w:bottom w:w="120" w:type="dxa"/>
              <w:right w:w="30" w:type="dxa"/>
            </w:tcMar>
          </w:tcPr>
          <w:p>
            <w:pPr>
              <w:keepLines/>
              <w:spacing w:before="10" w:after="0" w:line="240" w:lineRule="auto"/>
              <w:ind w:left="0" w:right="0" w:firstLine="0"/>
              <w:jc w:val="center"/>
            </w:pPr>
            <w:r/>
            <w:r>
              <w:rPr>
                <w:rFonts w:ascii="IBM Plex Sans" w:hAnsi="IBM Plex Sans" w:cs="IBM Plex Sans" w:eastAsia="IBM Plex Sans"/>
                <w:b/>
                <w:i w:val="0"/>
                <w:color w:val="FFFFFF"/>
                <w:sz w:val="20"/>
              </w:rPr>
              <w:t>12</w:t>
            </w:r>
          </w:p>
        </w:tc>
        <w:tc>
          <w:tcPr>
            <w:tcW w:w="8411" w:type="dxa"/>
            <w:tcMar>
              <w:left w:w="200" w:type="dxa"/>
              <w:bottom w:w="140" w:type="dxa"/>
            </w:tcMar>
          </w:tcPr>
          <w:p>
            <w:pPr>
              <w:keepLines/>
              <w:spacing w:before="10" w:after="130" w:line="240" w:lineRule="auto"/>
              <w:ind w:left="0" w:right="0" w:firstLine="0"/>
              <w:jc w:val="both"/>
            </w:pPr>
            <w:r/>
            <w:r>
              <w:rPr>
                <w:rFonts w:ascii="IBM Plex Sans" w:hAnsi="IBM Plex Sans" w:cs="IBM Plex Sans" w:eastAsia="IBM Plex Sans"/>
                <w:b w:val="0"/>
                <w:i w:val="0"/>
                <w:color w:val="1A1A1A"/>
                <w:sz w:val="20"/>
              </w:rPr>
              <w:t>An earthing and bonding connection is established between tanker and tank before the hose is connected, to dissipate any static charge.</w:t>
            </w:r>
          </w:p>
        </w:tc>
      </w:tr>
      <w:tr>
        <w:trPr>
          <w:cantSplit/>
        </w:trPr>
        <w:tc>
          <w:tcPr>
            <w:tcW w:w="660" w:type="dxa"/>
            <w:shd w:val="clear" w:color="auto" w:fill="E00036"/>
            <w:tcMar>
              <w:top w:w="90" w:type="dxa"/>
              <w:left w:w="30" w:type="dxa"/>
              <w:bottom w:w="120" w:type="dxa"/>
              <w:right w:w="30" w:type="dxa"/>
            </w:tcMar>
          </w:tcPr>
          <w:p>
            <w:pPr>
              <w:keepLines/>
              <w:spacing w:before="10" w:after="0" w:line="240" w:lineRule="auto"/>
              <w:ind w:left="0" w:right="0" w:firstLine="0"/>
              <w:jc w:val="center"/>
            </w:pPr>
            <w:r/>
            <w:r>
              <w:rPr>
                <w:rFonts w:ascii="IBM Plex Sans" w:hAnsi="IBM Plex Sans" w:cs="IBM Plex Sans" w:eastAsia="IBM Plex Sans"/>
                <w:b/>
                <w:i w:val="0"/>
                <w:color w:val="FFFFFF"/>
                <w:sz w:val="20"/>
              </w:rPr>
              <w:t>13</w:t>
            </w:r>
          </w:p>
        </w:tc>
        <w:tc>
          <w:tcPr>
            <w:tcW w:w="8411" w:type="dxa"/>
            <w:tcMar>
              <w:left w:w="200" w:type="dxa"/>
              <w:bottom w:w="140" w:type="dxa"/>
            </w:tcMar>
          </w:tcPr>
          <w:p>
            <w:pPr>
              <w:keepLines/>
              <w:spacing w:before="10" w:after="130" w:line="240" w:lineRule="auto"/>
              <w:ind w:left="0" w:right="0" w:firstLine="0"/>
              <w:jc w:val="both"/>
            </w:pPr>
            <w:r/>
            <w:r>
              <w:rPr>
                <w:rFonts w:ascii="IBM Plex Sans" w:hAnsi="IBM Plex Sans" w:cs="IBM Plex Sans" w:eastAsia="IBM Plex Sans"/>
                <w:b w:val="0"/>
                <w:i w:val="0"/>
                <w:color w:val="1A1A1A"/>
                <w:sz w:val="20"/>
              </w:rPr>
              <w:t>A drip tray is placed beneath the coupling point.</w:t>
            </w:r>
          </w:p>
        </w:tc>
      </w:tr>
    </w:tbl>
    <w:p>
      <w:pPr>
        <w:pStyle w:val="Fliesstext"/>
        <w:keepLines/>
        <w:spacing w:before="0" w:after="60" w:line="240" w:lineRule="auto"/>
      </w:pPr>
      <w:r>
        <w:rPr>
          <w:rFonts w:ascii="IBM Plex Sans" w:hAnsi="IBM Plex Sans" w:cs="IBM Plex Sans" w:eastAsia="IBM Plex Sans"/>
          <w:b w:val="0"/>
          <w:i w:val="0"/>
          <w:color w:val="1A1A1A"/>
          <w:sz w:val="4"/>
        </w:rPr>
      </w:r>
    </w:p>
    <w:p>
      <w:pPr>
        <w:pStyle w:val="Unterberschrift"/>
        <w:keepNext/>
        <w:keepLines/>
        <w:spacing w:before="280" w:after="80"/>
      </w:pPr>
      <w:r>
        <w:rPr>
          <w:rFonts w:ascii="Alata" w:hAnsi="Alata" w:cs="Alata" w:eastAsia="Alata"/>
          <w:b w:val="0"/>
          <w:i w:val="0"/>
          <w:color w:val="E00036"/>
          <w:sz w:val="25"/>
        </w:rPr>
        <w:t>7.4  Transfer</w:t>
      </w:r>
    </w:p>
    <w:tbl>
      <w:tblPr>
        <w:tblW w:w="9071" w:type="dxa"/>
        <w:tblInd w:w="0" w:type="dxa"/>
        <w:tblBorders>
          <w:top w:val="none" w:sz="0" w:space="0" w:color="auto"/>
          <w:left w:val="none" w:sz="0" w:space="0" w:color="auto"/>
          <w:bottom w:val="none" w:sz="0" w:space="0" w:color="auto"/>
          <w:right w:val="none" w:sz="0" w:space="0" w:color="auto"/>
          <w:insideH w:val="single" w:sz="12" w:space="0" w:color="FFFFFF"/>
          <w:insideV w:val="none" w:sz="0" w:space="0" w:color="auto"/>
        </w:tblBorders>
        <w:tblLayout w:type="fixed"/>
        <w:tblCellMar>
          <w:top w:w="70" w:type="dxa"/>
          <w:left w:w="100" w:type="dxa"/>
          <w:bottom w:w="70" w:type="dxa"/>
          <w:right w:w="100" w:type="dxa"/>
        </w:tblCellMar>
        <w:tblLook w:val="04A0" w:firstRow="1" w:lastRow="0" w:firstColumn="1" w:lastColumn="0" w:noHBand="0" w:noVBand="1"/>
        <w:jc w:val="left"/>
      </w:tblPr>
      <w:tblGrid>
        <w:gridCol w:w="660"/>
        <w:gridCol w:w="8411"/>
      </w:tblGrid>
      <w:tr>
        <w:trPr>
          <w:cantSplit/>
        </w:trPr>
        <w:tc>
          <w:tcPr>
            <w:tcW w:w="660" w:type="dxa"/>
            <w:shd w:val="clear" w:color="auto" w:fill="E00036"/>
            <w:tcMar>
              <w:top w:w="90" w:type="dxa"/>
              <w:left w:w="30" w:type="dxa"/>
              <w:bottom w:w="120" w:type="dxa"/>
              <w:right w:w="30" w:type="dxa"/>
            </w:tcMar>
          </w:tcPr>
          <w:p>
            <w:pPr>
              <w:keepLines/>
              <w:spacing w:before="10" w:after="0" w:line="240" w:lineRule="auto"/>
              <w:ind w:left="0" w:right="0" w:firstLine="0"/>
              <w:jc w:val="center"/>
            </w:pPr>
            <w:r/>
            <w:r>
              <w:rPr>
                <w:rFonts w:ascii="IBM Plex Sans" w:hAnsi="IBM Plex Sans" w:cs="IBM Plex Sans" w:eastAsia="IBM Plex Sans"/>
                <w:b/>
                <w:i w:val="0"/>
                <w:color w:val="FFFFFF"/>
                <w:sz w:val="20"/>
              </w:rPr>
              <w:t>14</w:t>
            </w:r>
          </w:p>
        </w:tc>
        <w:tc>
          <w:tcPr>
            <w:tcW w:w="8411" w:type="dxa"/>
            <w:tcMar>
              <w:left w:w="200" w:type="dxa"/>
              <w:bottom w:w="140" w:type="dxa"/>
            </w:tcMar>
          </w:tcPr>
          <w:p>
            <w:pPr>
              <w:keepLines/>
              <w:spacing w:before="10" w:after="130" w:line="240" w:lineRule="auto"/>
              <w:ind w:left="0" w:right="0" w:firstLine="0"/>
              <w:jc w:val="both"/>
            </w:pPr>
            <w:r/>
            <w:r>
              <w:rPr>
                <w:rFonts w:ascii="IBM Plex Sans" w:hAnsi="IBM Plex Sans" w:cs="IBM Plex Sans" w:eastAsia="IBM Plex Sans"/>
                <w:b w:val="0"/>
                <w:i w:val="0"/>
                <w:color w:val="1A1A1A"/>
                <w:sz w:val="20"/>
              </w:rPr>
              <w:t>The hose is connected and the coupling is checked for secure engagement before the pump is started.</w:t>
            </w:r>
          </w:p>
        </w:tc>
      </w:tr>
      <w:tr>
        <w:trPr>
          <w:cantSplit/>
        </w:trPr>
        <w:tc>
          <w:tcPr>
            <w:tcW w:w="660" w:type="dxa"/>
            <w:shd w:val="clear" w:color="auto" w:fill="E00036"/>
            <w:tcMar>
              <w:top w:w="90" w:type="dxa"/>
              <w:left w:w="30" w:type="dxa"/>
              <w:bottom w:w="120" w:type="dxa"/>
              <w:right w:w="30" w:type="dxa"/>
            </w:tcMar>
          </w:tcPr>
          <w:p>
            <w:pPr>
              <w:keepLines/>
              <w:spacing w:before="10" w:after="0" w:line="240" w:lineRule="auto"/>
              <w:ind w:left="0" w:right="0" w:firstLine="0"/>
              <w:jc w:val="center"/>
            </w:pPr>
            <w:r/>
            <w:r>
              <w:rPr>
                <w:rFonts w:ascii="IBM Plex Sans" w:hAnsi="IBM Plex Sans" w:cs="IBM Plex Sans" w:eastAsia="IBM Plex Sans"/>
                <w:b/>
                <w:i w:val="0"/>
                <w:color w:val="FFFFFF"/>
                <w:sz w:val="20"/>
              </w:rPr>
              <w:t>15</w:t>
            </w:r>
          </w:p>
        </w:tc>
        <w:tc>
          <w:tcPr>
            <w:tcW w:w="8411" w:type="dxa"/>
            <w:tcMar>
              <w:left w:w="200" w:type="dxa"/>
              <w:bottom w:w="140" w:type="dxa"/>
            </w:tcMar>
          </w:tcPr>
          <w:p>
            <w:pPr>
              <w:keepLines/>
              <w:spacing w:before="10" w:after="130" w:line="240" w:lineRule="auto"/>
              <w:ind w:left="0" w:right="0" w:firstLine="0"/>
              <w:jc w:val="both"/>
            </w:pPr>
            <w:r/>
            <w:r>
              <w:rPr>
                <w:rFonts w:ascii="IBM Plex Sans" w:hAnsi="IBM Plex Sans" w:cs="IBM Plex Sans" w:eastAsia="IBM Plex Sans"/>
                <w:b w:val="0"/>
                <w:i w:val="0"/>
                <w:color w:val="1A1A1A"/>
                <w:sz w:val="20"/>
              </w:rPr>
              <w:t>Transfer begins at reduced flow. The connection is observed for leakage, and only once flow is confirmed stable and leak-free is the normal rate applied.</w:t>
            </w:r>
          </w:p>
        </w:tc>
      </w:tr>
      <w:tr>
        <w:trPr>
          <w:cantSplit/>
        </w:trPr>
        <w:tc>
          <w:tcPr>
            <w:tcW w:w="660" w:type="dxa"/>
            <w:shd w:val="clear" w:color="auto" w:fill="E00036"/>
            <w:tcMar>
              <w:top w:w="90" w:type="dxa"/>
              <w:left w:w="30" w:type="dxa"/>
              <w:bottom w:w="120" w:type="dxa"/>
              <w:right w:w="30" w:type="dxa"/>
            </w:tcMar>
          </w:tcPr>
          <w:p>
            <w:pPr>
              <w:keepLines/>
              <w:spacing w:before="10" w:after="0" w:line="240" w:lineRule="auto"/>
              <w:ind w:left="0" w:right="0" w:firstLine="0"/>
              <w:jc w:val="center"/>
            </w:pPr>
            <w:r/>
            <w:r>
              <w:rPr>
                <w:rFonts w:ascii="IBM Plex Sans" w:hAnsi="IBM Plex Sans" w:cs="IBM Plex Sans" w:eastAsia="IBM Plex Sans"/>
                <w:b/>
                <w:i w:val="0"/>
                <w:color w:val="FFFFFF"/>
                <w:sz w:val="20"/>
              </w:rPr>
              <w:t>16</w:t>
            </w:r>
          </w:p>
        </w:tc>
        <w:tc>
          <w:tcPr>
            <w:tcW w:w="8411" w:type="dxa"/>
            <w:tcMar>
              <w:left w:w="200" w:type="dxa"/>
              <w:bottom w:w="140" w:type="dxa"/>
            </w:tcMar>
          </w:tcPr>
          <w:p>
            <w:pPr>
              <w:keepLines/>
              <w:spacing w:before="10" w:after="130" w:line="240" w:lineRule="auto"/>
              <w:ind w:left="0" w:right="0" w:firstLine="0"/>
              <w:jc w:val="both"/>
            </w:pPr>
            <w:r/>
            <w:r>
              <w:rPr>
                <w:rFonts w:ascii="IBM Plex Sans" w:hAnsi="IBM Plex Sans" w:cs="IBM Plex Sans" w:eastAsia="IBM Plex Sans"/>
                <w:b w:val="0"/>
                <w:i w:val="0"/>
                <w:color w:val="1A1A1A"/>
                <w:sz w:val="20"/>
              </w:rPr>
              <w:t>Both operatives remain at the delivery point for the entire transfer. The tank level is monitored continuously and the emergency stop is kept within reach.</w:t>
            </w:r>
          </w:p>
        </w:tc>
      </w:tr>
      <w:tr>
        <w:trPr>
          <w:cantSplit/>
        </w:trPr>
        <w:tc>
          <w:tcPr>
            <w:tcW w:w="660" w:type="dxa"/>
            <w:shd w:val="clear" w:color="auto" w:fill="E00036"/>
            <w:tcMar>
              <w:top w:w="90" w:type="dxa"/>
              <w:left w:w="30" w:type="dxa"/>
              <w:bottom w:w="120" w:type="dxa"/>
              <w:right w:w="30" w:type="dxa"/>
            </w:tcMar>
          </w:tcPr>
          <w:p>
            <w:pPr>
              <w:keepLines/>
              <w:spacing w:before="10" w:after="0" w:line="240" w:lineRule="auto"/>
              <w:ind w:left="0" w:right="0" w:firstLine="0"/>
              <w:jc w:val="center"/>
            </w:pPr>
            <w:r/>
            <w:r>
              <w:rPr>
                <w:rFonts w:ascii="IBM Plex Sans" w:hAnsi="IBM Plex Sans" w:cs="IBM Plex Sans" w:eastAsia="IBM Plex Sans"/>
                <w:b/>
                <w:i w:val="0"/>
                <w:color w:val="FFFFFF"/>
                <w:sz w:val="20"/>
              </w:rPr>
              <w:t>17</w:t>
            </w:r>
          </w:p>
        </w:tc>
        <w:tc>
          <w:tcPr>
            <w:tcW w:w="8411" w:type="dxa"/>
            <w:tcMar>
              <w:left w:w="200" w:type="dxa"/>
              <w:bottom w:w="140" w:type="dxa"/>
            </w:tcMar>
          </w:tcPr>
          <w:p>
            <w:pPr>
              <w:keepLines/>
              <w:spacing w:before="10" w:after="130" w:line="240" w:lineRule="auto"/>
              <w:ind w:left="0" w:right="0" w:firstLine="0"/>
              <w:jc w:val="both"/>
            </w:pPr>
            <w:r/>
            <w:r>
              <w:rPr>
                <w:rFonts w:ascii="IBM Plex Sans" w:hAnsi="IBM Plex Sans" w:cs="IBM Plex Sans" w:eastAsia="IBM Plex Sans"/>
                <w:b w:val="0"/>
                <w:i w:val="0"/>
                <w:color w:val="1A1A1A"/>
                <w:sz w:val="20"/>
              </w:rPr>
              <w:t>The transfer is stopped at the predetermined volume and in every case before the 95 per cent level is reached.</w:t>
            </w:r>
          </w:p>
        </w:tc>
      </w:tr>
    </w:tbl>
    <w:p>
      <w:pPr>
        <w:pStyle w:val="Fliesstext"/>
        <w:keepLines/>
        <w:spacing w:before="0" w:after="60" w:line="240" w:lineRule="auto"/>
      </w:pPr>
      <w:r>
        <w:rPr>
          <w:rFonts w:ascii="IBM Plex Sans" w:hAnsi="IBM Plex Sans" w:cs="IBM Plex Sans" w:eastAsia="IBM Plex Sans"/>
          <w:b w:val="0"/>
          <w:i w:val="0"/>
          <w:color w:val="1A1A1A"/>
          <w:sz w:val="4"/>
        </w:rPr>
      </w:r>
    </w:p>
    <w:p>
      <w:pPr>
        <w:pStyle w:val="Unterberschrift"/>
        <w:keepNext/>
        <w:keepLines/>
        <w:spacing w:before="280" w:after="80"/>
      </w:pPr>
      <w:r>
        <w:rPr>
          <w:rFonts w:ascii="Alata" w:hAnsi="Alata" w:cs="Alata" w:eastAsia="Alata"/>
          <w:b w:val="0"/>
          <w:i w:val="0"/>
          <w:color w:val="E00036"/>
          <w:sz w:val="25"/>
        </w:rPr>
        <w:t>7.5  Completion</w:t>
      </w:r>
    </w:p>
    <w:tbl>
      <w:tblPr>
        <w:tblW w:w="9071" w:type="dxa"/>
        <w:tblInd w:w="0" w:type="dxa"/>
        <w:tblBorders>
          <w:top w:val="none" w:sz="0" w:space="0" w:color="auto"/>
          <w:left w:val="none" w:sz="0" w:space="0" w:color="auto"/>
          <w:bottom w:val="none" w:sz="0" w:space="0" w:color="auto"/>
          <w:right w:val="none" w:sz="0" w:space="0" w:color="auto"/>
          <w:insideH w:val="single" w:sz="12" w:space="0" w:color="FFFFFF"/>
          <w:insideV w:val="none" w:sz="0" w:space="0" w:color="auto"/>
        </w:tblBorders>
        <w:tblLayout w:type="fixed"/>
        <w:tblCellMar>
          <w:top w:w="70" w:type="dxa"/>
          <w:left w:w="100" w:type="dxa"/>
          <w:bottom w:w="70" w:type="dxa"/>
          <w:right w:w="100" w:type="dxa"/>
        </w:tblCellMar>
        <w:tblLook w:val="04A0" w:firstRow="1" w:lastRow="0" w:firstColumn="1" w:lastColumn="0" w:noHBand="0" w:noVBand="1"/>
        <w:jc w:val="left"/>
      </w:tblPr>
      <w:tblGrid>
        <w:gridCol w:w="660"/>
        <w:gridCol w:w="8411"/>
      </w:tblGrid>
      <w:tr>
        <w:trPr>
          <w:cantSplit/>
        </w:trPr>
        <w:tc>
          <w:tcPr>
            <w:tcW w:w="660" w:type="dxa"/>
            <w:shd w:val="clear" w:color="auto" w:fill="E00036"/>
            <w:tcMar>
              <w:top w:w="90" w:type="dxa"/>
              <w:left w:w="30" w:type="dxa"/>
              <w:bottom w:w="120" w:type="dxa"/>
              <w:right w:w="30" w:type="dxa"/>
            </w:tcMar>
          </w:tcPr>
          <w:p>
            <w:pPr>
              <w:keepLines/>
              <w:spacing w:before="10" w:after="0" w:line="240" w:lineRule="auto"/>
              <w:ind w:left="0" w:right="0" w:firstLine="0"/>
              <w:jc w:val="center"/>
            </w:pPr>
            <w:r/>
            <w:r>
              <w:rPr>
                <w:rFonts w:ascii="IBM Plex Sans" w:hAnsi="IBM Plex Sans" w:cs="IBM Plex Sans" w:eastAsia="IBM Plex Sans"/>
                <w:b/>
                <w:i w:val="0"/>
                <w:color w:val="FFFFFF"/>
                <w:sz w:val="20"/>
              </w:rPr>
              <w:t>18</w:t>
            </w:r>
          </w:p>
        </w:tc>
        <w:tc>
          <w:tcPr>
            <w:tcW w:w="8411" w:type="dxa"/>
            <w:tcMar>
              <w:left w:w="200" w:type="dxa"/>
              <w:bottom w:w="140" w:type="dxa"/>
            </w:tcMar>
          </w:tcPr>
          <w:p>
            <w:pPr>
              <w:keepLines/>
              <w:spacing w:before="10" w:after="130" w:line="240" w:lineRule="auto"/>
              <w:ind w:left="0" w:right="0" w:firstLine="0"/>
              <w:jc w:val="both"/>
            </w:pPr>
            <w:r/>
            <w:r>
              <w:rPr>
                <w:rFonts w:ascii="IBM Plex Sans" w:hAnsi="IBM Plex Sans" w:cs="IBM Plex Sans" w:eastAsia="IBM Plex Sans"/>
                <w:b w:val="0"/>
                <w:i w:val="0"/>
                <w:color w:val="1A1A1A"/>
                <w:sz w:val="20"/>
              </w:rPr>
              <w:t>The pump is stopped, the hose is drained back into the tanker and the coupling is disconnected over the drip tray.</w:t>
            </w:r>
          </w:p>
        </w:tc>
      </w:tr>
      <w:tr>
        <w:trPr>
          <w:cantSplit/>
        </w:trPr>
        <w:tc>
          <w:tcPr>
            <w:tcW w:w="660" w:type="dxa"/>
            <w:shd w:val="clear" w:color="auto" w:fill="E00036"/>
            <w:tcMar>
              <w:top w:w="90" w:type="dxa"/>
              <w:left w:w="30" w:type="dxa"/>
              <w:bottom w:w="120" w:type="dxa"/>
              <w:right w:w="30" w:type="dxa"/>
            </w:tcMar>
          </w:tcPr>
          <w:p>
            <w:pPr>
              <w:keepLines/>
              <w:spacing w:before="10" w:after="0" w:line="240" w:lineRule="auto"/>
              <w:ind w:left="0" w:right="0" w:firstLine="0"/>
              <w:jc w:val="center"/>
            </w:pPr>
            <w:r/>
            <w:r>
              <w:rPr>
                <w:rFonts w:ascii="IBM Plex Sans" w:hAnsi="IBM Plex Sans" w:cs="IBM Plex Sans" w:eastAsia="IBM Plex Sans"/>
                <w:b/>
                <w:i w:val="0"/>
                <w:color w:val="FFFFFF"/>
                <w:sz w:val="20"/>
              </w:rPr>
              <w:t>19</w:t>
            </w:r>
          </w:p>
        </w:tc>
        <w:tc>
          <w:tcPr>
            <w:tcW w:w="8411" w:type="dxa"/>
            <w:tcMar>
              <w:left w:w="200" w:type="dxa"/>
              <w:bottom w:w="140" w:type="dxa"/>
            </w:tcMar>
          </w:tcPr>
          <w:p>
            <w:pPr>
              <w:keepLines/>
              <w:spacing w:before="10" w:after="130" w:line="240" w:lineRule="auto"/>
              <w:ind w:left="0" w:right="0" w:firstLine="0"/>
              <w:jc w:val="both"/>
            </w:pPr>
            <w:r/>
            <w:r>
              <w:rPr>
                <w:rFonts w:ascii="IBM Plex Sans" w:hAnsi="IBM Plex Sans" w:cs="IBM Plex Sans" w:eastAsia="IBM Plex Sans"/>
                <w:b w:val="0"/>
                <w:i w:val="0"/>
                <w:color w:val="1A1A1A"/>
                <w:sz w:val="20"/>
              </w:rPr>
              <w:t>The earthing connection is removed only after the hose has been drained and disconnected. The tank cap is closed and secured.</w:t>
            </w:r>
          </w:p>
        </w:tc>
      </w:tr>
      <w:tr>
        <w:trPr>
          <w:cantSplit/>
        </w:trPr>
        <w:tc>
          <w:tcPr>
            <w:tcW w:w="660" w:type="dxa"/>
            <w:shd w:val="clear" w:color="auto" w:fill="E00036"/>
            <w:tcMar>
              <w:top w:w="90" w:type="dxa"/>
              <w:left w:w="30" w:type="dxa"/>
              <w:bottom w:w="120" w:type="dxa"/>
              <w:right w:w="30" w:type="dxa"/>
            </w:tcMar>
          </w:tcPr>
          <w:p>
            <w:pPr>
              <w:keepLines/>
              <w:spacing w:before="10" w:after="0" w:line="240" w:lineRule="auto"/>
              <w:ind w:left="0" w:right="0" w:firstLine="0"/>
              <w:jc w:val="center"/>
            </w:pPr>
            <w:r/>
            <w:r>
              <w:rPr>
                <w:rFonts w:ascii="IBM Plex Sans" w:hAnsi="IBM Plex Sans" w:cs="IBM Plex Sans" w:eastAsia="IBM Plex Sans"/>
                <w:b/>
                <w:i w:val="0"/>
                <w:color w:val="FFFFFF"/>
                <w:sz w:val="20"/>
              </w:rPr>
              <w:t>20</w:t>
            </w:r>
          </w:p>
        </w:tc>
        <w:tc>
          <w:tcPr>
            <w:tcW w:w="8411" w:type="dxa"/>
            <w:tcMar>
              <w:left w:w="200" w:type="dxa"/>
              <w:bottom w:w="140" w:type="dxa"/>
            </w:tcMar>
          </w:tcPr>
          <w:p>
            <w:pPr>
              <w:keepLines/>
              <w:spacing w:before="10" w:after="130" w:line="240" w:lineRule="auto"/>
              <w:ind w:left="0" w:right="0" w:firstLine="0"/>
              <w:jc w:val="both"/>
            </w:pPr>
            <w:r/>
            <w:r>
              <w:rPr>
                <w:rFonts w:ascii="IBM Plex Sans" w:hAnsi="IBM Plex Sans" w:cs="IBM Plex Sans" w:eastAsia="IBM Plex Sans"/>
                <w:b w:val="0"/>
                <w:i w:val="0"/>
                <w:color w:val="1A1A1A"/>
                <w:sz w:val="20"/>
              </w:rPr>
              <w:t>The delivery point is inspected for spillage. Any residue is absorbed with material from the spill kit and collected for disposal as hazardous waste.</w:t>
            </w:r>
          </w:p>
        </w:tc>
      </w:tr>
      <w:tr>
        <w:trPr>
          <w:cantSplit/>
        </w:trPr>
        <w:tc>
          <w:tcPr>
            <w:tcW w:w="660" w:type="dxa"/>
            <w:shd w:val="clear" w:color="auto" w:fill="E00036"/>
            <w:tcMar>
              <w:top w:w="90" w:type="dxa"/>
              <w:left w:w="30" w:type="dxa"/>
              <w:bottom w:w="120" w:type="dxa"/>
              <w:right w:w="30" w:type="dxa"/>
            </w:tcMar>
          </w:tcPr>
          <w:p>
            <w:pPr>
              <w:keepLines/>
              <w:spacing w:before="10" w:after="0" w:line="240" w:lineRule="auto"/>
              <w:ind w:left="0" w:right="0" w:firstLine="0"/>
              <w:jc w:val="center"/>
            </w:pPr>
            <w:r/>
            <w:r>
              <w:rPr>
                <w:rFonts w:ascii="IBM Plex Sans" w:hAnsi="IBM Plex Sans" w:cs="IBM Plex Sans" w:eastAsia="IBM Plex Sans"/>
                <w:b/>
                <w:i w:val="0"/>
                <w:color w:val="FFFFFF"/>
                <w:sz w:val="20"/>
              </w:rPr>
              <w:t>21</w:t>
            </w:r>
          </w:p>
        </w:tc>
        <w:tc>
          <w:tcPr>
            <w:tcW w:w="8411" w:type="dxa"/>
            <w:tcMar>
              <w:left w:w="200" w:type="dxa"/>
              <w:bottom w:w="140" w:type="dxa"/>
            </w:tcMar>
          </w:tcPr>
          <w:p>
            <w:pPr>
              <w:keepLines/>
              <w:spacing w:before="10" w:after="130" w:line="240" w:lineRule="auto"/>
              <w:ind w:left="0" w:right="0" w:firstLine="0"/>
              <w:jc w:val="both"/>
            </w:pPr>
            <w:r/>
            <w:r>
              <w:rPr>
                <w:rFonts w:ascii="IBM Plex Sans" w:hAnsi="IBM Plex Sans" w:cs="IBM Plex Sans" w:eastAsia="IBM Plex Sans"/>
                <w:b w:val="0"/>
                <w:i w:val="0"/>
                <w:color w:val="1A1A1A"/>
                <w:sz w:val="20"/>
              </w:rPr>
              <w:t>Barriers are removed, the delivery note is signed and the tanker is escorted off site.</w:t>
            </w:r>
          </w:p>
        </w:tc>
      </w:tr>
      <w:tr>
        <w:trPr>
          <w:cantSplit/>
        </w:trPr>
        <w:tc>
          <w:tcPr>
            <w:tcW w:w="660" w:type="dxa"/>
            <w:shd w:val="clear" w:color="auto" w:fill="E00036"/>
            <w:tcMar>
              <w:top w:w="90" w:type="dxa"/>
              <w:left w:w="30" w:type="dxa"/>
              <w:bottom w:w="120" w:type="dxa"/>
              <w:right w:w="30" w:type="dxa"/>
            </w:tcMar>
          </w:tcPr>
          <w:p>
            <w:pPr>
              <w:keepLines/>
              <w:spacing w:before="10" w:after="0" w:line="240" w:lineRule="auto"/>
              <w:ind w:left="0" w:right="0" w:firstLine="0"/>
              <w:jc w:val="center"/>
            </w:pPr>
            <w:r/>
            <w:r>
              <w:rPr>
                <w:rFonts w:ascii="IBM Plex Sans" w:hAnsi="IBM Plex Sans" w:cs="IBM Plex Sans" w:eastAsia="IBM Plex Sans"/>
                <w:b/>
                <w:i w:val="0"/>
                <w:color w:val="FFFFFF"/>
                <w:sz w:val="20"/>
              </w:rPr>
              <w:t>22</w:t>
            </w:r>
          </w:p>
        </w:tc>
        <w:tc>
          <w:tcPr>
            <w:tcW w:w="8411" w:type="dxa"/>
            <w:tcMar>
              <w:left w:w="200" w:type="dxa"/>
              <w:bottom w:w="140" w:type="dxa"/>
            </w:tcMar>
          </w:tcPr>
          <w:p>
            <w:pPr>
              <w:keepLines/>
              <w:spacing w:before="10" w:after="130" w:line="240" w:lineRule="auto"/>
              <w:ind w:left="0" w:right="0" w:firstLine="0"/>
              <w:jc w:val="both"/>
            </w:pPr>
            <w:r/>
            <w:r>
              <w:rPr>
                <w:rFonts w:ascii="IBM Plex Sans" w:hAnsi="IBM Plex Sans" w:cs="IBM Plex Sans" w:eastAsia="IBM Plex Sans"/>
                <w:b w:val="0"/>
                <w:i w:val="0"/>
                <w:color w:val="1A1A1A"/>
                <w:sz w:val="20"/>
              </w:rPr>
              <w:t>The generator is restarted and checked for correct operation. The delivery is recorded in the project fuel log and reported to DPR as part of routine site reporting.</w:t>
            </w:r>
          </w:p>
        </w:tc>
      </w:tr>
    </w:tbl>
    <w:p>
      <w:pPr>
        <w:pStyle w:val="Fliesstext"/>
        <w:keepLines/>
        <w:spacing w:before="0" w:after="60" w:line="240" w:lineRule="auto"/>
      </w:pPr>
      <w:r>
        <w:rPr>
          <w:rFonts w:ascii="IBM Plex Sans" w:hAnsi="IBM Plex Sans" w:cs="IBM Plex Sans" w:eastAsia="IBM Plex Sans"/>
          <w:b w:val="0"/>
          <w:i w:val="0"/>
          <w:color w:val="1A1A1A"/>
          <w:sz w:val="4"/>
        </w:rPr>
      </w:r>
    </w:p>
    <w:p>
      <w:pPr>
        <w:pStyle w:val="berschrift"/>
        <w:keepNext/>
        <w:keepLines/>
        <w:pBdr>
          <w:bottom w:val="single" w:sz="8" w:space="4" w:color="E00036"/>
        </w:pBdr>
        <w:spacing w:before="360" w:after="60"/>
      </w:pPr>
      <w:r>
        <w:rPr>
          <w:rFonts w:ascii="Alata" w:hAnsi="Alata" w:cs="Alata" w:eastAsia="Alata"/>
          <w:b w:val="0"/>
          <w:i w:val="0"/>
          <w:color w:val="E00036"/>
          <w:sz w:val="36"/>
        </w:rPr>
        <w:t xml:space="preserve">8   </w:t>
      </w:r>
      <w:r>
        <w:rPr>
          <w:rFonts w:ascii="Alata" w:hAnsi="Alata" w:cs="Alata" w:eastAsia="Alata"/>
          <w:b w:val="0"/>
          <w:i w:val="0"/>
          <w:color w:val="E00036"/>
          <w:sz w:val="36"/>
        </w:rPr>
        <w:t>Risk Assessment</w:t>
      </w:r>
    </w:p>
    <w:p>
      <w:pPr>
        <w:pStyle w:val="Unterberschrift"/>
        <w:keepNext/>
        <w:keepLines/>
        <w:spacing w:before="280" w:after="80"/>
      </w:pPr>
      <w:r>
        <w:rPr>
          <w:rFonts w:ascii="Alata" w:hAnsi="Alata" w:cs="Alata" w:eastAsia="Alata"/>
          <w:b w:val="0"/>
          <w:i w:val="0"/>
          <w:color w:val="E00036"/>
          <w:sz w:val="25"/>
        </w:rPr>
        <w:t>8.1  Rating method</w:t>
      </w:r>
    </w:p>
    <w:tbl>
      <w:tblPr>
        <w:tblW w:w="9071" w:type="dxa"/>
        <w:tblInd w:w="0" w:type="dxa"/>
        <w:tblBorders>
          <w:top w:val="single" w:sz="4" w:space="0" w:color="DCDCDC"/>
          <w:left w:val="none" w:sz="0" w:space="0" w:color="auto"/>
          <w:bottom w:val="single" w:sz="4" w:space="0" w:color="DCDCDC"/>
          <w:right w:val="none" w:sz="0" w:space="0" w:color="auto"/>
          <w:insideH w:val="single" w:sz="4" w:space="0" w:color="DCDCDC"/>
          <w:insideV w:val="none" w:sz="0" w:space="0" w:color="auto"/>
        </w:tblBorders>
        <w:tblLayout w:type="fixed"/>
        <w:tblCellMar>
          <w:top w:w="70" w:type="dxa"/>
          <w:left w:w="100" w:type="dxa"/>
          <w:bottom w:w="70" w:type="dxa"/>
          <w:right w:w="100" w:type="dxa"/>
        </w:tblCellMar>
        <w:tblLook w:val="04A0" w:firstRow="1" w:lastRow="0" w:firstColumn="1" w:lastColumn="0" w:noHBand="0" w:noVBand="1"/>
        <w:jc w:val="left"/>
      </w:tblPr>
      <w:tblGrid>
        <w:gridCol w:w="4535"/>
        <w:gridCol w:w="4536"/>
      </w:tblGrid>
      <w:tr>
        <w:trPr>
          <w:cantSplit/>
          <w:tblHeader/>
        </w:trPr>
        <w:tc>
          <w:tcPr>
            <w:tcW w:w="4535" w:type="dxa"/>
            <w:shd w:val="clear" w:color="auto" w:fill="E00036"/>
            <w:vAlign w:val="center"/>
          </w:tcPr>
          <w:p>
            <w:pPr>
              <w:keepLines/>
              <w:spacing w:before="10" w:after="0" w:line="240" w:lineRule="auto"/>
              <w:ind w:left="0" w:right="0" w:firstLine="0"/>
              <w:jc w:val="left"/>
            </w:pPr>
            <w:r/>
            <w:r>
              <w:rPr>
                <w:rFonts w:ascii="IBM Plex Sans" w:hAnsi="IBM Plex Sans" w:cs="IBM Plex Sans" w:eastAsia="IBM Plex Sans"/>
                <w:b/>
                <w:i w:val="0"/>
                <w:color w:val="FFFFFF"/>
                <w:sz w:val="18"/>
              </w:rPr>
              <w:t>Likelihood (L)</w:t>
            </w:r>
          </w:p>
        </w:tc>
        <w:tc>
          <w:tcPr>
            <w:tcW w:w="4536" w:type="dxa"/>
            <w:shd w:val="clear" w:color="auto" w:fill="E00036"/>
            <w:vAlign w:val="center"/>
          </w:tcPr>
          <w:p>
            <w:pPr>
              <w:keepLines/>
              <w:spacing w:before="10" w:after="0" w:line="240" w:lineRule="auto"/>
              <w:ind w:left="0" w:right="0" w:firstLine="0"/>
              <w:jc w:val="left"/>
            </w:pPr>
            <w:r/>
            <w:r>
              <w:rPr>
                <w:rFonts w:ascii="IBM Plex Sans" w:hAnsi="IBM Plex Sans" w:cs="IBM Plex Sans" w:eastAsia="IBM Plex Sans"/>
                <w:b/>
                <w:i w:val="0"/>
                <w:color w:val="FFFFFF"/>
                <w:sz w:val="18"/>
              </w:rPr>
              <w:t>Severity (S)</w:t>
            </w:r>
          </w:p>
        </w:tc>
      </w:tr>
      <w:tr>
        <w:trPr>
          <w:cantSplit/>
          <w:trHeight w:val="260" w:hRule="atLeast"/>
        </w:trPr>
        <w:tc>
          <w:tcPr>
            <w:tcW w:w="4535"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1  Very unlikely</w:t>
            </w:r>
          </w:p>
        </w:tc>
        <w:tc>
          <w:tcPr>
            <w:tcW w:w="4536"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1  Negligible, no injury</w:t>
            </w:r>
          </w:p>
        </w:tc>
      </w:tr>
      <w:tr>
        <w:trPr>
          <w:cantSplit/>
          <w:trHeight w:val="260" w:hRule="atLeast"/>
        </w:trPr>
        <w:tc>
          <w:tcPr>
            <w:tcW w:w="4535" w:type="dxa"/>
            <w:shd w:val="clear" w:color="auto" w:fill="FAFAF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2  Unlikely</w:t>
            </w:r>
          </w:p>
        </w:tc>
        <w:tc>
          <w:tcPr>
            <w:tcW w:w="4536" w:type="dxa"/>
            <w:shd w:val="clear" w:color="auto" w:fill="FAFAF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2  Minor, first aid</w:t>
            </w:r>
          </w:p>
        </w:tc>
      </w:tr>
      <w:tr>
        <w:trPr>
          <w:cantSplit/>
          <w:trHeight w:val="260" w:hRule="atLeast"/>
        </w:trPr>
        <w:tc>
          <w:tcPr>
            <w:tcW w:w="4535"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3  Possible</w:t>
            </w:r>
          </w:p>
        </w:tc>
        <w:tc>
          <w:tcPr>
            <w:tcW w:w="4536"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3  Moderate, lost time</w:t>
            </w:r>
          </w:p>
        </w:tc>
      </w:tr>
      <w:tr>
        <w:trPr>
          <w:cantSplit/>
          <w:trHeight w:val="260" w:hRule="atLeast"/>
        </w:trPr>
        <w:tc>
          <w:tcPr>
            <w:tcW w:w="4535" w:type="dxa"/>
            <w:shd w:val="clear" w:color="auto" w:fill="FAFAF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4  Likely</w:t>
            </w:r>
          </w:p>
        </w:tc>
        <w:tc>
          <w:tcPr>
            <w:tcW w:w="4536" w:type="dxa"/>
            <w:shd w:val="clear" w:color="auto" w:fill="FAFAF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4  Major, serious injury</w:t>
            </w:r>
          </w:p>
        </w:tc>
      </w:tr>
      <w:tr>
        <w:trPr>
          <w:cantSplit/>
          <w:trHeight w:val="260" w:hRule="atLeast"/>
        </w:trPr>
        <w:tc>
          <w:tcPr>
            <w:tcW w:w="4535"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5  Almost certain</w:t>
            </w:r>
          </w:p>
        </w:tc>
        <w:tc>
          <w:tcPr>
            <w:tcW w:w="4536" w:type="dxa"/>
          </w:tcPr>
          <w:p>
            <w:pPr>
              <w:keepLines/>
              <w:spacing w:before="10" w:after="0" w:line="240" w:lineRule="auto"/>
              <w:ind w:left="0" w:right="0" w:firstLine="0"/>
              <w:jc w:val="left"/>
            </w:pPr>
            <w:r/>
            <w:r>
              <w:rPr>
                <w:rFonts w:ascii="IBM Plex Sans" w:hAnsi="IBM Plex Sans" w:cs="IBM Plex Sans" w:eastAsia="IBM Plex Sans"/>
                <w:b w:val="0"/>
                <w:i w:val="0"/>
                <w:color w:val="1A1A1A"/>
                <w:sz w:val="19"/>
              </w:rPr>
              <w:t>5  Fatality or major environmental damage</w:t>
            </w:r>
          </w:p>
        </w:tc>
      </w:tr>
    </w:tbl>
    <w:p>
      <w:pPr>
        <w:pStyle w:val="Fliesstext"/>
        <w:keepLines/>
        <w:spacing w:before="0" w:after="140" w:line="240" w:lineRule="auto"/>
      </w:pPr>
      <w:r>
        <w:rPr>
          <w:rFonts w:ascii="IBM Plex Sans" w:hAnsi="IBM Plex Sans" w:cs="IBM Plex Sans" w:eastAsia="IBM Plex Sans"/>
          <w:b w:val="0"/>
          <w:i w:val="0"/>
          <w:color w:val="1A1A1A"/>
          <w:sz w:val="4"/>
        </w:rPr>
      </w:r>
    </w:p>
    <w:tbl>
      <w:tblPr>
        <w:tblW w:w="9071" w:type="dxa"/>
        <w:tblInd w:w="0" w:type="dxa"/>
        <w:tblBorders>
          <w:top w:val="single" w:sz="4" w:space="0" w:color="DCDCDC"/>
          <w:left w:val="none" w:sz="0" w:space="0" w:color="auto"/>
          <w:bottom w:val="single" w:sz="4" w:space="0" w:color="DCDCDC"/>
          <w:right w:val="none" w:sz="0" w:space="0" w:color="auto"/>
          <w:insideH w:val="single" w:sz="4" w:space="0" w:color="DCDCDC"/>
          <w:insideV w:val="none" w:sz="0" w:space="0" w:color="auto"/>
        </w:tblBorders>
        <w:tblLayout w:type="fixed"/>
        <w:tblCellMar>
          <w:top w:w="70" w:type="dxa"/>
          <w:left w:w="100" w:type="dxa"/>
          <w:bottom w:w="70" w:type="dxa"/>
          <w:right w:w="100" w:type="dxa"/>
        </w:tblCellMar>
        <w:tblLook w:val="04A0" w:firstRow="1" w:lastRow="0" w:firstColumn="1" w:lastColumn="0" w:noHBand="0" w:noVBand="1"/>
        <w:jc w:val="left"/>
      </w:tblPr>
      <w:tblGrid>
        <w:gridCol w:w="1500"/>
        <w:gridCol w:w="2200"/>
        <w:gridCol w:w="5371"/>
      </w:tblGrid>
      <w:tr>
        <w:trPr>
          <w:cantSplit/>
          <w:tblHeader/>
        </w:trPr>
        <w:tc>
          <w:tcPr>
            <w:tcW w:w="1500" w:type="dxa"/>
            <w:shd w:val="clear" w:color="auto" w:fill="E00036"/>
            <w:vAlign w:val="center"/>
          </w:tcPr>
          <w:p>
            <w:pPr>
              <w:keepLines/>
              <w:spacing w:before="10" w:after="0" w:line="240" w:lineRule="auto"/>
              <w:ind w:left="0" w:right="0" w:firstLine="0"/>
              <w:jc w:val="left"/>
            </w:pPr>
            <w:r/>
            <w:r>
              <w:rPr>
                <w:rFonts w:ascii="IBM Plex Sans" w:hAnsi="IBM Plex Sans" w:cs="IBM Plex Sans" w:eastAsia="IBM Plex Sans"/>
                <w:b/>
                <w:i w:val="0"/>
                <w:color w:val="FFFFFF"/>
                <w:sz w:val="18"/>
              </w:rPr>
              <w:t>Rating L × S</w:t>
            </w:r>
          </w:p>
        </w:tc>
        <w:tc>
          <w:tcPr>
            <w:tcW w:w="2200" w:type="dxa"/>
            <w:shd w:val="clear" w:color="auto" w:fill="E00036"/>
            <w:vAlign w:val="center"/>
          </w:tcPr>
          <w:p>
            <w:pPr>
              <w:keepLines/>
              <w:spacing w:before="10" w:after="0" w:line="240" w:lineRule="auto"/>
              <w:ind w:left="0" w:right="0" w:firstLine="0"/>
              <w:jc w:val="left"/>
            </w:pPr>
            <w:r/>
            <w:r>
              <w:rPr>
                <w:rFonts w:ascii="IBM Plex Sans" w:hAnsi="IBM Plex Sans" w:cs="IBM Plex Sans" w:eastAsia="IBM Plex Sans"/>
                <w:b/>
                <w:i w:val="0"/>
                <w:color w:val="FFFFFF"/>
                <w:sz w:val="18"/>
              </w:rPr>
              <w:t>Band</w:t>
            </w:r>
          </w:p>
        </w:tc>
        <w:tc>
          <w:tcPr>
            <w:tcW w:w="5371" w:type="dxa"/>
            <w:shd w:val="clear" w:color="auto" w:fill="E00036"/>
            <w:vAlign w:val="center"/>
          </w:tcPr>
          <w:p>
            <w:pPr>
              <w:keepLines/>
              <w:spacing w:before="10" w:after="0" w:line="240" w:lineRule="auto"/>
              <w:ind w:left="0" w:right="0" w:firstLine="0"/>
              <w:jc w:val="left"/>
            </w:pPr>
            <w:r/>
            <w:r>
              <w:rPr>
                <w:rFonts w:ascii="IBM Plex Sans" w:hAnsi="IBM Plex Sans" w:cs="IBM Plex Sans" w:eastAsia="IBM Plex Sans"/>
                <w:b/>
                <w:i w:val="0"/>
                <w:color w:val="FFFFFF"/>
                <w:sz w:val="18"/>
              </w:rPr>
              <w:t>Action</w:t>
            </w:r>
          </w:p>
        </w:tc>
      </w:tr>
      <w:tr>
        <w:trPr>
          <w:cantSplit/>
          <w:trHeight w:val="300" w:hRule="atLeast"/>
        </w:trPr>
        <w:tc>
          <w:tcPr>
            <w:tcW w:w="1500" w:type="dxa"/>
            <w:vAlign w:val="center"/>
          </w:tcPr>
          <w:p>
            <w:pPr>
              <w:keepLines/>
              <w:spacing w:before="10" w:after="0" w:line="240" w:lineRule="auto"/>
              <w:ind w:left="0" w:right="0" w:firstLine="0"/>
              <w:jc w:val="center"/>
            </w:pPr>
            <w:r/>
            <w:r>
              <w:rPr>
                <w:rFonts w:ascii="IBM Plex Sans" w:hAnsi="IBM Plex Sans" w:cs="IBM Plex Sans" w:eastAsia="IBM Plex Sans"/>
                <w:b/>
                <w:i w:val="0"/>
                <w:color w:val="1A1A1A"/>
                <w:sz w:val="19"/>
              </w:rPr>
              <w:t>1 to 4</w:t>
            </w:r>
          </w:p>
        </w:tc>
        <w:tc>
          <w:tcPr>
            <w:tcW w:w="2200" w:type="dxa"/>
            <w:shd w:val="clear" w:color="auto" w:fill="3B8F4A"/>
            <w:vAlign w:val="center"/>
          </w:tcPr>
          <w:p>
            <w:pPr>
              <w:keepLines/>
              <w:spacing w:before="10" w:after="0" w:line="240" w:lineRule="auto"/>
              <w:ind w:left="0" w:right="0" w:firstLine="0"/>
              <w:jc w:val="center"/>
            </w:pPr>
            <w:r/>
            <w:r>
              <w:rPr>
                <w:rFonts w:ascii="IBM Plex Sans" w:hAnsi="IBM Plex Sans" w:cs="IBM Plex Sans" w:eastAsia="IBM Plex Sans"/>
                <w:b/>
                <w:i w:val="0"/>
                <w:color w:val="FFFFFF"/>
                <w:sz w:val="19"/>
              </w:rPr>
              <w:t>Low</w:t>
            </w:r>
          </w:p>
        </w:tc>
        <w:tc>
          <w:tcPr>
            <w:tcW w:w="5371" w:type="dxa"/>
            <w:vAlign w:val="center"/>
          </w:tcPr>
          <w:p>
            <w:pPr>
              <w:keepLines/>
              <w:spacing w:before="10" w:after="0" w:line="240" w:lineRule="auto"/>
              <w:ind w:left="0" w:right="0" w:firstLine="0"/>
              <w:jc w:val="left"/>
            </w:pPr>
            <w:r/>
            <w:r>
              <w:rPr>
                <w:rFonts w:ascii="IBM Plex Sans" w:hAnsi="IBM Plex Sans" w:cs="IBM Plex Sans" w:eastAsia="IBM Plex Sans"/>
                <w:b w:val="0"/>
                <w:i w:val="0"/>
                <w:color w:val="1A1A1A"/>
                <w:sz w:val="19"/>
              </w:rPr>
              <w:t>Acceptable, maintain controls</w:t>
            </w:r>
          </w:p>
        </w:tc>
      </w:tr>
      <w:tr>
        <w:trPr>
          <w:cantSplit/>
          <w:trHeight w:val="300" w:hRule="atLeast"/>
        </w:trPr>
        <w:tc>
          <w:tcPr>
            <w:tcW w:w="1500" w:type="dxa"/>
            <w:vAlign w:val="center"/>
          </w:tcPr>
          <w:p>
            <w:pPr>
              <w:keepLines/>
              <w:spacing w:before="10" w:after="0" w:line="240" w:lineRule="auto"/>
              <w:ind w:left="0" w:right="0" w:firstLine="0"/>
              <w:jc w:val="center"/>
            </w:pPr>
            <w:r/>
            <w:r>
              <w:rPr>
                <w:rFonts w:ascii="IBM Plex Sans" w:hAnsi="IBM Plex Sans" w:cs="IBM Plex Sans" w:eastAsia="IBM Plex Sans"/>
                <w:b/>
                <w:i w:val="0"/>
                <w:color w:val="1A1A1A"/>
                <w:sz w:val="19"/>
              </w:rPr>
              <w:t>5 to 9</w:t>
            </w:r>
          </w:p>
        </w:tc>
        <w:tc>
          <w:tcPr>
            <w:tcW w:w="2200" w:type="dxa"/>
            <w:shd w:val="clear" w:color="auto" w:fill="E0A100"/>
            <w:vAlign w:val="center"/>
          </w:tcPr>
          <w:p>
            <w:pPr>
              <w:keepLines/>
              <w:spacing w:before="10" w:after="0" w:line="240" w:lineRule="auto"/>
              <w:ind w:left="0" w:right="0" w:firstLine="0"/>
              <w:jc w:val="center"/>
            </w:pPr>
            <w:r/>
            <w:r>
              <w:rPr>
                <w:rFonts w:ascii="IBM Plex Sans" w:hAnsi="IBM Plex Sans" w:cs="IBM Plex Sans" w:eastAsia="IBM Plex Sans"/>
                <w:b/>
                <w:i w:val="0"/>
                <w:color w:val="FFFFFF"/>
                <w:sz w:val="19"/>
              </w:rPr>
              <w:t>Medium</w:t>
            </w:r>
          </w:p>
        </w:tc>
        <w:tc>
          <w:tcPr>
            <w:tcW w:w="5371" w:type="dxa"/>
            <w:vAlign w:val="center"/>
          </w:tcPr>
          <w:p>
            <w:pPr>
              <w:keepLines/>
              <w:spacing w:before="10" w:after="0" w:line="240" w:lineRule="auto"/>
              <w:ind w:left="0" w:right="0" w:firstLine="0"/>
              <w:jc w:val="left"/>
            </w:pPr>
            <w:r/>
            <w:r>
              <w:rPr>
                <w:rFonts w:ascii="IBM Plex Sans" w:hAnsi="IBM Plex Sans" w:cs="IBM Plex Sans" w:eastAsia="IBM Plex Sans"/>
                <w:b w:val="0"/>
                <w:i w:val="0"/>
                <w:color w:val="1A1A1A"/>
                <w:sz w:val="19"/>
              </w:rPr>
              <w:t>Acceptable with all listed controls applied</w:t>
            </w:r>
          </w:p>
        </w:tc>
      </w:tr>
      <w:tr>
        <w:trPr>
          <w:cantSplit/>
          <w:trHeight w:val="300" w:hRule="atLeast"/>
        </w:trPr>
        <w:tc>
          <w:tcPr>
            <w:tcW w:w="1500" w:type="dxa"/>
            <w:vAlign w:val="center"/>
          </w:tcPr>
          <w:p>
            <w:pPr>
              <w:keepLines/>
              <w:spacing w:before="10" w:after="0" w:line="240" w:lineRule="auto"/>
              <w:ind w:left="0" w:right="0" w:firstLine="0"/>
              <w:jc w:val="center"/>
            </w:pPr>
            <w:r/>
            <w:r>
              <w:rPr>
                <w:rFonts w:ascii="IBM Plex Sans" w:hAnsi="IBM Plex Sans" w:cs="IBM Plex Sans" w:eastAsia="IBM Plex Sans"/>
                <w:b/>
                <w:i w:val="0"/>
                <w:color w:val="1A1A1A"/>
                <w:sz w:val="19"/>
              </w:rPr>
              <w:t>10 to 14</w:t>
            </w:r>
          </w:p>
        </w:tc>
        <w:tc>
          <w:tcPr>
            <w:tcW w:w="2200" w:type="dxa"/>
            <w:shd w:val="clear" w:color="auto" w:fill="E2601A"/>
            <w:vAlign w:val="center"/>
          </w:tcPr>
          <w:p>
            <w:pPr>
              <w:keepLines/>
              <w:spacing w:before="10" w:after="0" w:line="240" w:lineRule="auto"/>
              <w:ind w:left="0" w:right="0" w:firstLine="0"/>
              <w:jc w:val="center"/>
            </w:pPr>
            <w:r/>
            <w:r>
              <w:rPr>
                <w:rFonts w:ascii="IBM Plex Sans" w:hAnsi="IBM Plex Sans" w:cs="IBM Plex Sans" w:eastAsia="IBM Plex Sans"/>
                <w:b/>
                <w:i w:val="0"/>
                <w:color w:val="FFFFFF"/>
                <w:sz w:val="19"/>
              </w:rPr>
              <w:t>High</w:t>
            </w:r>
          </w:p>
        </w:tc>
        <w:tc>
          <w:tcPr>
            <w:tcW w:w="5371" w:type="dxa"/>
            <w:vAlign w:val="center"/>
          </w:tcPr>
          <w:p>
            <w:pPr>
              <w:keepLines/>
              <w:spacing w:before="10" w:after="0" w:line="240" w:lineRule="auto"/>
              <w:ind w:left="0" w:right="0" w:firstLine="0"/>
              <w:jc w:val="left"/>
            </w:pPr>
            <w:r/>
            <w:r>
              <w:rPr>
                <w:rFonts w:ascii="IBM Plex Sans" w:hAnsi="IBM Plex Sans" w:cs="IBM Plex Sans" w:eastAsia="IBM Plex Sans"/>
                <w:b w:val="0"/>
                <w:i w:val="0"/>
                <w:color w:val="1A1A1A"/>
                <w:sz w:val="19"/>
              </w:rPr>
              <w:t>Additional controls required before work proceeds</w:t>
            </w:r>
          </w:p>
        </w:tc>
      </w:tr>
      <w:tr>
        <w:trPr>
          <w:cantSplit/>
          <w:trHeight w:val="300" w:hRule="atLeast"/>
        </w:trPr>
        <w:tc>
          <w:tcPr>
            <w:tcW w:w="1500" w:type="dxa"/>
            <w:vAlign w:val="center"/>
          </w:tcPr>
          <w:p>
            <w:pPr>
              <w:keepLines/>
              <w:spacing w:before="10" w:after="0" w:line="240" w:lineRule="auto"/>
              <w:ind w:left="0" w:right="0" w:firstLine="0"/>
              <w:jc w:val="center"/>
            </w:pPr>
            <w:r/>
            <w:r>
              <w:rPr>
                <w:rFonts w:ascii="IBM Plex Sans" w:hAnsi="IBM Plex Sans" w:cs="IBM Plex Sans" w:eastAsia="IBM Plex Sans"/>
                <w:b/>
                <w:i w:val="0"/>
                <w:color w:val="1A1A1A"/>
                <w:sz w:val="19"/>
              </w:rPr>
              <w:t>15 to 25</w:t>
            </w:r>
          </w:p>
        </w:tc>
        <w:tc>
          <w:tcPr>
            <w:tcW w:w="2200" w:type="dxa"/>
            <w:shd w:val="clear" w:color="auto" w:fill="C00028"/>
            <w:vAlign w:val="center"/>
          </w:tcPr>
          <w:p>
            <w:pPr>
              <w:keepLines/>
              <w:spacing w:before="10" w:after="0" w:line="240" w:lineRule="auto"/>
              <w:ind w:left="0" w:right="0" w:firstLine="0"/>
              <w:jc w:val="center"/>
            </w:pPr>
            <w:r/>
            <w:r>
              <w:rPr>
                <w:rFonts w:ascii="IBM Plex Sans" w:hAnsi="IBM Plex Sans" w:cs="IBM Plex Sans" w:eastAsia="IBM Plex Sans"/>
                <w:b/>
                <w:i w:val="0"/>
                <w:color w:val="FFFFFF"/>
                <w:sz w:val="19"/>
              </w:rPr>
              <w:t>Unacceptable</w:t>
            </w:r>
          </w:p>
        </w:tc>
        <w:tc>
          <w:tcPr>
            <w:tcW w:w="5371" w:type="dxa"/>
            <w:vAlign w:val="center"/>
          </w:tcPr>
          <w:p>
            <w:pPr>
              <w:keepLines/>
              <w:spacing w:before="10" w:after="0" w:line="240" w:lineRule="auto"/>
              <w:ind w:left="0" w:right="0" w:firstLine="0"/>
              <w:jc w:val="left"/>
            </w:pPr>
            <w:r/>
            <w:r>
              <w:rPr>
                <w:rFonts w:ascii="IBM Plex Sans" w:hAnsi="IBM Plex Sans" w:cs="IBM Plex Sans" w:eastAsia="IBM Plex Sans"/>
                <w:b w:val="0"/>
                <w:i w:val="0"/>
                <w:color w:val="1A1A1A"/>
                <w:sz w:val="19"/>
              </w:rPr>
              <w:t>Work must not proceed in this form</w:t>
            </w:r>
          </w:p>
        </w:tc>
      </w:tr>
    </w:tbl>
    <w:p>
      <w:pPr>
        <w:pStyle w:val="Fliesstext"/>
        <w:keepLines/>
        <w:spacing w:before="0" w:after="140" w:line="240" w:lineRule="auto"/>
      </w:pPr>
      <w:r>
        <w:rPr>
          <w:rFonts w:ascii="IBM Plex Sans" w:hAnsi="IBM Plex Sans" w:cs="IBM Plex Sans" w:eastAsia="IBM Plex Sans"/>
          <w:b w:val="0"/>
          <w:i w:val="0"/>
          <w:color w:val="1A1A1A"/>
          <w:sz w:val="4"/>
        </w:rPr>
      </w:r>
    </w:p>
    <w:p>
      <w:pPr>
        <w:pStyle w:val="Fliesstext"/>
        <w:pBdr>
          <w:left w:val="single" w:sz="18" w:space="8" w:color="E00036"/>
        </w:pBdr>
        <w:shd w:val="clear" w:color="auto" w:fill="F4F4F5"/>
        <w:spacing w:before="120" w:after="160" w:line="250" w:lineRule="auto"/>
        <w:ind w:left="170" w:right="113"/>
        <w:jc w:val="left"/>
      </w:pPr>
      <w:r>
        <w:rPr>
          <w:rFonts w:ascii="IBM Plex Sans" w:hAnsi="IBM Plex Sans" w:cs="IBM Plex Sans" w:eastAsia="IBM Plex Sans"/>
          <w:b w:val="0"/>
          <w:i w:val="0"/>
          <w:color w:val="1A1A1A"/>
          <w:sz w:val="19"/>
        </w:rPr>
        <w:t>No element of this activity is carried out where the residual rating exceeds 9. Initial ratings are stated without controls in place; residual ratings assume every listed control is applied.</w:t>
      </w:r>
    </w:p>
    <w:p>
      <w:pPr>
        <w:pStyle w:val="Unterberschrift"/>
        <w:keepNext/>
        <w:keepLines/>
        <w:spacing w:before="280" w:after="80"/>
      </w:pPr>
      <w:r>
        <w:rPr>
          <w:rFonts w:ascii="Alata" w:hAnsi="Alata" w:cs="Alata" w:eastAsia="Alata"/>
          <w:b w:val="0"/>
          <w:i w:val="0"/>
          <w:color w:val="E00036"/>
          <w:sz w:val="25"/>
        </w:rPr>
        <w:t>8.2  Hazard assessment</w:t>
      </w:r>
    </w:p>
    <w:tbl>
      <w:tblPr>
        <w:tblW w:w="9071" w:type="dxa"/>
        <w:tblInd w:w="0" w:type="dxa"/>
        <w:tblBorders>
          <w:top w:val="single" w:sz="4" w:space="0" w:color="DCDCDC"/>
          <w:left w:val="none" w:sz="0" w:space="0" w:color="auto"/>
          <w:bottom w:val="single" w:sz="4" w:space="0" w:color="DCDCDC"/>
          <w:right w:val="none" w:sz="0" w:space="0" w:color="auto"/>
          <w:insideH w:val="single" w:sz="4" w:space="0" w:color="DCDCDC"/>
          <w:insideV w:val="none" w:sz="0" w:space="0" w:color="auto"/>
        </w:tblBorders>
        <w:tblLayout w:type="fixed"/>
        <w:tblCellMar>
          <w:top w:w="70" w:type="dxa"/>
          <w:left w:w="100" w:type="dxa"/>
          <w:bottom w:w="70" w:type="dxa"/>
          <w:right w:w="100" w:type="dxa"/>
        </w:tblCellMar>
        <w:tblLook w:val="04A0" w:firstRow="1" w:lastRow="0" w:firstColumn="1" w:lastColumn="0" w:noHBand="0" w:noVBand="1"/>
        <w:jc w:val="left"/>
      </w:tblPr>
      <w:tblGrid>
        <w:gridCol w:w="2000"/>
        <w:gridCol w:w="1400"/>
        <w:gridCol w:w="700"/>
        <w:gridCol w:w="4271"/>
        <w:gridCol w:w="700"/>
      </w:tblGrid>
      <w:tr>
        <w:trPr>
          <w:cantSplit/>
          <w:tblHeader/>
        </w:trPr>
        <w:tc>
          <w:tcPr>
            <w:tcW w:w="2000" w:type="dxa"/>
            <w:shd w:val="clear" w:color="auto" w:fill="E00036"/>
            <w:vAlign w:val="center"/>
          </w:tcPr>
          <w:p>
            <w:pPr>
              <w:keepLines/>
              <w:spacing w:before="10" w:after="0" w:line="240" w:lineRule="auto"/>
              <w:ind w:left="0" w:right="0" w:firstLine="0"/>
              <w:jc w:val="left"/>
            </w:pPr>
            <w:r/>
            <w:r>
              <w:rPr>
                <w:rFonts w:ascii="IBM Plex Sans" w:hAnsi="IBM Plex Sans" w:cs="IBM Plex Sans" w:eastAsia="IBM Plex Sans"/>
                <w:b/>
                <w:i w:val="0"/>
                <w:color w:val="FFFFFF"/>
                <w:sz w:val="17"/>
              </w:rPr>
              <w:t>Hazard</w:t>
            </w:r>
          </w:p>
        </w:tc>
        <w:tc>
          <w:tcPr>
            <w:tcW w:w="1400" w:type="dxa"/>
            <w:shd w:val="clear" w:color="auto" w:fill="E00036"/>
            <w:vAlign w:val="center"/>
          </w:tcPr>
          <w:p>
            <w:pPr>
              <w:keepLines/>
              <w:spacing w:before="10" w:after="0" w:line="240" w:lineRule="auto"/>
              <w:ind w:left="0" w:right="0" w:firstLine="0"/>
              <w:jc w:val="left"/>
            </w:pPr>
            <w:r/>
            <w:r>
              <w:rPr>
                <w:rFonts w:ascii="IBM Plex Sans" w:hAnsi="IBM Plex Sans" w:cs="IBM Plex Sans" w:eastAsia="IBM Plex Sans"/>
                <w:b/>
                <w:i w:val="0"/>
                <w:color w:val="FFFFFF"/>
                <w:sz w:val="17"/>
              </w:rPr>
              <w:t>Persons at risk</w:t>
            </w:r>
          </w:p>
        </w:tc>
        <w:tc>
          <w:tcPr>
            <w:tcW w:w="700" w:type="dxa"/>
            <w:shd w:val="clear" w:color="auto" w:fill="E00036"/>
            <w:vAlign w:val="center"/>
          </w:tcPr>
          <w:p>
            <w:pPr>
              <w:keepLines/>
              <w:spacing w:before="10" w:after="0" w:line="240" w:lineRule="auto"/>
              <w:ind w:left="0" w:right="0" w:firstLine="0"/>
              <w:jc w:val="center"/>
            </w:pPr>
            <w:r/>
            <w:r>
              <w:rPr>
                <w:rFonts w:ascii="IBM Plex Sans" w:hAnsi="IBM Plex Sans" w:cs="IBM Plex Sans" w:eastAsia="IBM Plex Sans"/>
                <w:b/>
                <w:i w:val="0"/>
                <w:color w:val="FFFFFF"/>
                <w:sz w:val="17"/>
              </w:rPr>
              <w:t>Init.</w:t>
            </w:r>
          </w:p>
        </w:tc>
        <w:tc>
          <w:tcPr>
            <w:tcW w:w="4271" w:type="dxa"/>
            <w:shd w:val="clear" w:color="auto" w:fill="E00036"/>
            <w:vAlign w:val="center"/>
          </w:tcPr>
          <w:p>
            <w:pPr>
              <w:keepLines/>
              <w:spacing w:before="10" w:after="0" w:line="240" w:lineRule="auto"/>
              <w:ind w:left="0" w:right="0" w:firstLine="0"/>
              <w:jc w:val="left"/>
            </w:pPr>
            <w:r/>
            <w:r>
              <w:rPr>
                <w:rFonts w:ascii="IBM Plex Sans" w:hAnsi="IBM Plex Sans" w:cs="IBM Plex Sans" w:eastAsia="IBM Plex Sans"/>
                <w:b/>
                <w:i w:val="0"/>
                <w:color w:val="FFFFFF"/>
                <w:sz w:val="17"/>
              </w:rPr>
              <w:t>Control measures</w:t>
            </w:r>
          </w:p>
        </w:tc>
        <w:tc>
          <w:tcPr>
            <w:tcW w:w="700" w:type="dxa"/>
            <w:shd w:val="clear" w:color="auto" w:fill="E00036"/>
            <w:vAlign w:val="center"/>
          </w:tcPr>
          <w:p>
            <w:pPr>
              <w:keepLines/>
              <w:spacing w:before="10" w:after="0" w:line="240" w:lineRule="auto"/>
              <w:ind w:left="0" w:right="0" w:firstLine="0"/>
              <w:jc w:val="center"/>
            </w:pPr>
            <w:r/>
            <w:r>
              <w:rPr>
                <w:rFonts w:ascii="IBM Plex Sans" w:hAnsi="IBM Plex Sans" w:cs="IBM Plex Sans" w:eastAsia="IBM Plex Sans"/>
                <w:b/>
                <w:i w:val="0"/>
                <w:color w:val="FFFFFF"/>
                <w:sz w:val="17"/>
              </w:rPr>
              <w:t>Resid.</w:t>
            </w:r>
          </w:p>
        </w:tc>
      </w:tr>
      <w:tr>
        <w:trPr>
          <w:cantSplit/>
        </w:trPr>
        <w:tc>
          <w:tcPr>
            <w:tcW w:w="2000" w:type="dxa"/>
          </w:tcPr>
          <w:p>
            <w:pPr>
              <w:keepLines/>
              <w:spacing w:before="10" w:after="0" w:line="240" w:lineRule="auto"/>
              <w:ind w:left="0" w:right="0" w:firstLine="0"/>
              <w:jc w:val="left"/>
            </w:pPr>
            <w:r/>
            <w:r>
              <w:rPr>
                <w:rFonts w:ascii="IBM Plex Sans" w:hAnsi="IBM Plex Sans" w:cs="IBM Plex Sans" w:eastAsia="IBM Plex Sans"/>
                <w:b/>
                <w:i w:val="0"/>
                <w:color w:val="1A1A1A"/>
                <w:sz w:val="17"/>
              </w:rPr>
              <w:t>Release of fuel to ground, drainage or surface water</w:t>
            </w:r>
          </w:p>
        </w:tc>
        <w:tc>
          <w:tcPr>
            <w:tcW w:w="1400" w:type="dxa"/>
          </w:tcPr>
          <w:p>
            <w:pPr>
              <w:keepLines/>
              <w:spacing w:before="10" w:after="0" w:line="240" w:lineRule="auto"/>
              <w:ind w:left="0" w:right="0" w:firstLine="0"/>
              <w:jc w:val="left"/>
            </w:pPr>
            <w:r/>
            <w:r>
              <w:rPr>
                <w:rFonts w:ascii="IBM Plex Sans" w:hAnsi="IBM Plex Sans" w:cs="IBM Plex Sans" w:eastAsia="IBM Plex Sans"/>
                <w:b w:val="0"/>
                <w:i w:val="0"/>
                <w:color w:val="5F5F5F"/>
                <w:sz w:val="17"/>
              </w:rPr>
              <w:t>Operatives, environment</w:t>
            </w:r>
          </w:p>
        </w:tc>
        <w:tc>
          <w:tcPr>
            <w:tcW w:w="700" w:type="dxa"/>
            <w:shd w:val="clear" w:color="auto" w:fill="E2601A"/>
            <w:tcMar>
              <w:top w:w="60" w:type="dxa"/>
              <w:left w:w="20" w:type="dxa"/>
              <w:bottom w:w="40" w:type="dxa"/>
              <w:right w:w="20" w:type="dxa"/>
            </w:tcMar>
            <w:vAlign w:val="center"/>
          </w:tcPr>
          <w:p>
            <w:pPr>
              <w:keepLines/>
              <w:spacing w:before="30" w:after="0" w:line="220" w:lineRule="auto"/>
              <w:ind w:left="0" w:right="0" w:firstLine="0"/>
              <w:jc w:val="center"/>
            </w:pPr>
            <w:r/>
            <w:r>
              <w:rPr>
                <w:rFonts w:ascii="IBM Plex Sans" w:hAnsi="IBM Plex Sans" w:cs="IBM Plex Sans" w:eastAsia="IBM Plex Sans"/>
                <w:b/>
                <w:i w:val="0"/>
                <w:color w:val="FFFFFF"/>
                <w:sz w:val="22"/>
              </w:rPr>
              <w:t>12</w:t>
            </w:r>
          </w:p>
          <w:p>
            <w:pPr>
              <w:keepLines/>
              <w:spacing w:before="0" w:after="40" w:line="180" w:lineRule="auto"/>
              <w:ind w:left="0" w:right="0" w:firstLine="0"/>
              <w:jc w:val="center"/>
            </w:pPr>
            <w:r>
              <w:rPr>
                <w:rFonts w:ascii="IBM Plex Sans" w:hAnsi="IBM Plex Sans" w:cs="IBM Plex Sans" w:eastAsia="IBM Plex Sans"/>
                <w:b w:val="0"/>
                <w:i w:val="0"/>
                <w:color w:val="FFFFFF"/>
                <w:sz w:val="13"/>
              </w:rPr>
              <w:t>3 × 4</w:t>
            </w:r>
          </w:p>
        </w:tc>
        <w:tc>
          <w:tcPr>
            <w:tcW w:w="4271" w:type="dxa"/>
          </w:tcPr>
          <w:p>
            <w:pPr>
              <w:keepLines/>
              <w:spacing w:before="10" w:after="0" w:line="240" w:lineRule="auto"/>
              <w:ind w:left="0" w:right="0" w:firstLine="0"/>
              <w:jc w:val="left"/>
            </w:pPr>
            <w:r/>
            <w:r>
              <w:rPr>
                <w:rFonts w:ascii="IBM Plex Sans" w:hAnsi="IBM Plex Sans" w:cs="IBM Plex Sans" w:eastAsia="IBM Plex Sans"/>
                <w:b w:val="0"/>
                <w:i w:val="0"/>
                <w:color w:val="1A1A1A"/>
                <w:sz w:val="17"/>
              </w:rPr>
              <w:t>Double-walled tank with integrated containment; drip tray at the coupling; containment inspected and emptied before filling; spill kit at the delivery point; operatives trained in its use; immediate notification of DPR in the event of any release</w:t>
            </w:r>
          </w:p>
        </w:tc>
        <w:tc>
          <w:tcPr>
            <w:tcW w:w="700" w:type="dxa"/>
            <w:shd w:val="clear" w:color="auto" w:fill="3B8F4A"/>
            <w:tcMar>
              <w:top w:w="60" w:type="dxa"/>
              <w:left w:w="20" w:type="dxa"/>
              <w:bottom w:w="40" w:type="dxa"/>
              <w:right w:w="20" w:type="dxa"/>
            </w:tcMar>
            <w:vAlign w:val="center"/>
          </w:tcPr>
          <w:p>
            <w:pPr>
              <w:keepLines/>
              <w:spacing w:before="30" w:after="0" w:line="220" w:lineRule="auto"/>
              <w:ind w:left="0" w:right="0" w:firstLine="0"/>
              <w:jc w:val="center"/>
            </w:pPr>
            <w:r/>
            <w:r>
              <w:rPr>
                <w:rFonts w:ascii="IBM Plex Sans" w:hAnsi="IBM Plex Sans" w:cs="IBM Plex Sans" w:eastAsia="IBM Plex Sans"/>
                <w:b/>
                <w:i w:val="0"/>
                <w:color w:val="FFFFFF"/>
                <w:sz w:val="22"/>
              </w:rPr>
              <w:t>3</w:t>
            </w:r>
          </w:p>
          <w:p>
            <w:pPr>
              <w:keepLines/>
              <w:spacing w:before="0" w:after="40" w:line="180" w:lineRule="auto"/>
              <w:ind w:left="0" w:right="0" w:firstLine="0"/>
              <w:jc w:val="center"/>
            </w:pPr>
            <w:r>
              <w:rPr>
                <w:rFonts w:ascii="IBM Plex Sans" w:hAnsi="IBM Plex Sans" w:cs="IBM Plex Sans" w:eastAsia="IBM Plex Sans"/>
                <w:b w:val="0"/>
                <w:i w:val="0"/>
                <w:color w:val="FFFFFF"/>
                <w:sz w:val="13"/>
              </w:rPr>
              <w:t>1 × 3</w:t>
            </w:r>
          </w:p>
        </w:tc>
      </w:tr>
      <w:tr>
        <w:trPr>
          <w:cantSplit/>
        </w:trPr>
        <w:tc>
          <w:tcPr>
            <w:tcW w:w="2000" w:type="dxa"/>
            <w:shd w:val="clear" w:color="auto" w:fill="FAFAFA"/>
          </w:tcPr>
          <w:p>
            <w:pPr>
              <w:keepLines/>
              <w:spacing w:before="10" w:after="0" w:line="240" w:lineRule="auto"/>
              <w:ind w:left="0" w:right="0" w:firstLine="0"/>
              <w:jc w:val="left"/>
            </w:pPr>
            <w:r/>
            <w:r>
              <w:rPr>
                <w:rFonts w:ascii="IBM Plex Sans" w:hAnsi="IBM Plex Sans" w:cs="IBM Plex Sans" w:eastAsia="IBM Plex Sans"/>
                <w:b/>
                <w:i w:val="0"/>
                <w:color w:val="1A1A1A"/>
                <w:sz w:val="17"/>
              </w:rPr>
              <w:t>Overfilling of the tank</w:t>
            </w:r>
          </w:p>
        </w:tc>
        <w:tc>
          <w:tcPr>
            <w:tcW w:w="1400" w:type="dxa"/>
            <w:shd w:val="clear" w:color="auto" w:fill="FAFAFA"/>
          </w:tcPr>
          <w:p>
            <w:pPr>
              <w:keepLines/>
              <w:spacing w:before="10" w:after="0" w:line="240" w:lineRule="auto"/>
              <w:ind w:left="0" w:right="0" w:firstLine="0"/>
              <w:jc w:val="left"/>
            </w:pPr>
            <w:r/>
            <w:r>
              <w:rPr>
                <w:rFonts w:ascii="IBM Plex Sans" w:hAnsi="IBM Plex Sans" w:cs="IBM Plex Sans" w:eastAsia="IBM Plex Sans"/>
                <w:b w:val="0"/>
                <w:i w:val="0"/>
                <w:color w:val="5F5F5F"/>
                <w:sz w:val="17"/>
              </w:rPr>
              <w:t>Operatives, environment</w:t>
            </w:r>
          </w:p>
        </w:tc>
        <w:tc>
          <w:tcPr>
            <w:tcW w:w="700" w:type="dxa"/>
            <w:shd w:val="clear" w:color="auto" w:fill="E0A100"/>
            <w:tcMar>
              <w:top w:w="60" w:type="dxa"/>
              <w:left w:w="20" w:type="dxa"/>
              <w:bottom w:w="40" w:type="dxa"/>
              <w:right w:w="20" w:type="dxa"/>
            </w:tcMar>
            <w:vAlign w:val="center"/>
          </w:tcPr>
          <w:p>
            <w:pPr>
              <w:keepLines/>
              <w:spacing w:before="30" w:after="0" w:line="220" w:lineRule="auto"/>
              <w:ind w:left="0" w:right="0" w:firstLine="0"/>
              <w:jc w:val="center"/>
            </w:pPr>
            <w:r/>
            <w:r>
              <w:rPr>
                <w:rFonts w:ascii="IBM Plex Sans" w:hAnsi="IBM Plex Sans" w:cs="IBM Plex Sans" w:eastAsia="IBM Plex Sans"/>
                <w:b/>
                <w:i w:val="0"/>
                <w:color w:val="FFFFFF"/>
                <w:sz w:val="22"/>
              </w:rPr>
              <w:t>8</w:t>
            </w:r>
          </w:p>
          <w:p>
            <w:pPr>
              <w:keepLines/>
              <w:spacing w:before="0" w:after="40" w:line="180" w:lineRule="auto"/>
              <w:ind w:left="0" w:right="0" w:firstLine="0"/>
              <w:jc w:val="center"/>
            </w:pPr>
            <w:r>
              <w:rPr>
                <w:rFonts w:ascii="IBM Plex Sans" w:hAnsi="IBM Plex Sans" w:cs="IBM Plex Sans" w:eastAsia="IBM Plex Sans"/>
                <w:b w:val="0"/>
                <w:i w:val="0"/>
                <w:color w:val="FFFFFF"/>
                <w:sz w:val="13"/>
              </w:rPr>
              <w:t>2 × 4</w:t>
            </w:r>
          </w:p>
        </w:tc>
        <w:tc>
          <w:tcPr>
            <w:tcW w:w="4271" w:type="dxa"/>
            <w:shd w:val="clear" w:color="auto" w:fill="FAFAFA"/>
          </w:tcPr>
          <w:p>
            <w:pPr>
              <w:keepLines/>
              <w:spacing w:before="10" w:after="0" w:line="240" w:lineRule="auto"/>
              <w:ind w:left="0" w:right="0" w:firstLine="0"/>
              <w:jc w:val="left"/>
            </w:pPr>
            <w:r/>
            <w:r>
              <w:rPr>
                <w:rFonts w:ascii="IBM Plex Sans" w:hAnsi="IBM Plex Sans" w:cs="IBM Plex Sans" w:eastAsia="IBM Plex Sans"/>
                <w:b w:val="0"/>
                <w:i w:val="0"/>
                <w:color w:val="1A1A1A"/>
                <w:sz w:val="17"/>
              </w:rPr>
              <w:t>Delivery volume calculated in advance from the measured level; maximum fill 95 per cent; overfill protection fitted; level monitored continuously; transfer attended throughout</w:t>
            </w:r>
          </w:p>
        </w:tc>
        <w:tc>
          <w:tcPr>
            <w:tcW w:w="700" w:type="dxa"/>
            <w:shd w:val="clear" w:color="auto" w:fill="3B8F4A"/>
            <w:tcMar>
              <w:top w:w="60" w:type="dxa"/>
              <w:left w:w="20" w:type="dxa"/>
              <w:bottom w:w="40" w:type="dxa"/>
              <w:right w:w="20" w:type="dxa"/>
            </w:tcMar>
            <w:vAlign w:val="center"/>
          </w:tcPr>
          <w:p>
            <w:pPr>
              <w:keepLines/>
              <w:spacing w:before="30" w:after="0" w:line="220" w:lineRule="auto"/>
              <w:ind w:left="0" w:right="0" w:firstLine="0"/>
              <w:jc w:val="center"/>
            </w:pPr>
            <w:r/>
            <w:r>
              <w:rPr>
                <w:rFonts w:ascii="IBM Plex Sans" w:hAnsi="IBM Plex Sans" w:cs="IBM Plex Sans" w:eastAsia="IBM Plex Sans"/>
                <w:b/>
                <w:i w:val="0"/>
                <w:color w:val="FFFFFF"/>
                <w:sz w:val="22"/>
              </w:rPr>
              <w:t>2</w:t>
            </w:r>
          </w:p>
          <w:p>
            <w:pPr>
              <w:keepLines/>
              <w:spacing w:before="0" w:after="40" w:line="180" w:lineRule="auto"/>
              <w:ind w:left="0" w:right="0" w:firstLine="0"/>
              <w:jc w:val="center"/>
            </w:pPr>
            <w:r>
              <w:rPr>
                <w:rFonts w:ascii="IBM Plex Sans" w:hAnsi="IBM Plex Sans" w:cs="IBM Plex Sans" w:eastAsia="IBM Plex Sans"/>
                <w:b w:val="0"/>
                <w:i w:val="0"/>
                <w:color w:val="FFFFFF"/>
                <w:sz w:val="13"/>
              </w:rPr>
              <w:t>1 × 2</w:t>
            </w:r>
          </w:p>
        </w:tc>
      </w:tr>
      <w:tr>
        <w:trPr>
          <w:cantSplit/>
        </w:trPr>
        <w:tc>
          <w:tcPr>
            <w:tcW w:w="2000" w:type="dxa"/>
          </w:tcPr>
          <w:p>
            <w:pPr>
              <w:keepLines/>
              <w:spacing w:before="10" w:after="0" w:line="240" w:lineRule="auto"/>
              <w:ind w:left="0" w:right="0" w:firstLine="0"/>
              <w:jc w:val="left"/>
            </w:pPr>
            <w:r/>
            <w:r>
              <w:rPr>
                <w:rFonts w:ascii="IBM Plex Sans" w:hAnsi="IBM Plex Sans" w:cs="IBM Plex Sans" w:eastAsia="IBM Plex Sans"/>
                <w:b/>
                <w:i w:val="0"/>
                <w:color w:val="1A1A1A"/>
                <w:sz w:val="17"/>
              </w:rPr>
              <w:t>Ignition of fuel or vapour, fire</w:t>
            </w:r>
          </w:p>
        </w:tc>
        <w:tc>
          <w:tcPr>
            <w:tcW w:w="1400" w:type="dxa"/>
          </w:tcPr>
          <w:p>
            <w:pPr>
              <w:keepLines/>
              <w:spacing w:before="10" w:after="0" w:line="240" w:lineRule="auto"/>
              <w:ind w:left="0" w:right="0" w:firstLine="0"/>
              <w:jc w:val="left"/>
            </w:pPr>
            <w:r/>
            <w:r>
              <w:rPr>
                <w:rFonts w:ascii="IBM Plex Sans" w:hAnsi="IBM Plex Sans" w:cs="IBM Plex Sans" w:eastAsia="IBM Plex Sans"/>
                <w:b w:val="0"/>
                <w:i w:val="0"/>
                <w:color w:val="5F5F5F"/>
                <w:sz w:val="17"/>
              </w:rPr>
              <w:t>All site personnel</w:t>
            </w:r>
          </w:p>
        </w:tc>
        <w:tc>
          <w:tcPr>
            <w:tcW w:w="700" w:type="dxa"/>
            <w:shd w:val="clear" w:color="auto" w:fill="E2601A"/>
            <w:tcMar>
              <w:top w:w="60" w:type="dxa"/>
              <w:left w:w="20" w:type="dxa"/>
              <w:bottom w:w="40" w:type="dxa"/>
              <w:right w:w="20" w:type="dxa"/>
            </w:tcMar>
            <w:vAlign w:val="center"/>
          </w:tcPr>
          <w:p>
            <w:pPr>
              <w:keepLines/>
              <w:spacing w:before="30" w:after="0" w:line="220" w:lineRule="auto"/>
              <w:ind w:left="0" w:right="0" w:firstLine="0"/>
              <w:jc w:val="center"/>
            </w:pPr>
            <w:r/>
            <w:r>
              <w:rPr>
                <w:rFonts w:ascii="IBM Plex Sans" w:hAnsi="IBM Plex Sans" w:cs="IBM Plex Sans" w:eastAsia="IBM Plex Sans"/>
                <w:b/>
                <w:i w:val="0"/>
                <w:color w:val="FFFFFF"/>
                <w:sz w:val="22"/>
              </w:rPr>
              <w:t>10</w:t>
            </w:r>
          </w:p>
          <w:p>
            <w:pPr>
              <w:keepLines/>
              <w:spacing w:before="0" w:after="40" w:line="180" w:lineRule="auto"/>
              <w:ind w:left="0" w:right="0" w:firstLine="0"/>
              <w:jc w:val="center"/>
            </w:pPr>
            <w:r>
              <w:rPr>
                <w:rFonts w:ascii="IBM Plex Sans" w:hAnsi="IBM Plex Sans" w:cs="IBM Plex Sans" w:eastAsia="IBM Plex Sans"/>
                <w:b w:val="0"/>
                <w:i w:val="0"/>
                <w:color w:val="FFFFFF"/>
                <w:sz w:val="13"/>
              </w:rPr>
              <w:t>2 × 5</w:t>
            </w:r>
          </w:p>
        </w:tc>
        <w:tc>
          <w:tcPr>
            <w:tcW w:w="4271" w:type="dxa"/>
          </w:tcPr>
          <w:p>
            <w:pPr>
              <w:keepLines/>
              <w:spacing w:before="10" w:after="0" w:line="240" w:lineRule="auto"/>
              <w:ind w:left="0" w:right="0" w:firstLine="0"/>
              <w:jc w:val="left"/>
            </w:pPr>
            <w:r/>
            <w:r>
              <w:rPr>
                <w:rFonts w:ascii="IBM Plex Sans" w:hAnsi="IBM Plex Sans" w:cs="IBM Plex Sans" w:eastAsia="IBM Plex Sans"/>
                <w:b w:val="0"/>
                <w:i w:val="0"/>
                <w:color w:val="1A1A1A"/>
                <w:sz w:val="17"/>
              </w:rPr>
              <w:t>HVO flash point above 55 °C; generator shut down and cooled before transfer; no hot works in or adjacent to the area; smoking, naked flames and mobile telephone use excluded from the demarcated area; ABC extinguisher at the delivery point; tanker extinguishers accessible</w:t>
            </w:r>
          </w:p>
        </w:tc>
        <w:tc>
          <w:tcPr>
            <w:tcW w:w="700" w:type="dxa"/>
            <w:shd w:val="clear" w:color="auto" w:fill="3B8F4A"/>
            <w:tcMar>
              <w:top w:w="60" w:type="dxa"/>
              <w:left w:w="20" w:type="dxa"/>
              <w:bottom w:w="40" w:type="dxa"/>
              <w:right w:w="20" w:type="dxa"/>
            </w:tcMar>
            <w:vAlign w:val="center"/>
          </w:tcPr>
          <w:p>
            <w:pPr>
              <w:keepLines/>
              <w:spacing w:before="30" w:after="0" w:line="220" w:lineRule="auto"/>
              <w:ind w:left="0" w:right="0" w:firstLine="0"/>
              <w:jc w:val="center"/>
            </w:pPr>
            <w:r/>
            <w:r>
              <w:rPr>
                <w:rFonts w:ascii="IBM Plex Sans" w:hAnsi="IBM Plex Sans" w:cs="IBM Plex Sans" w:eastAsia="IBM Plex Sans"/>
                <w:b/>
                <w:i w:val="0"/>
                <w:color w:val="FFFFFF"/>
                <w:sz w:val="22"/>
              </w:rPr>
              <w:t>3</w:t>
            </w:r>
          </w:p>
          <w:p>
            <w:pPr>
              <w:keepLines/>
              <w:spacing w:before="0" w:after="40" w:line="180" w:lineRule="auto"/>
              <w:ind w:left="0" w:right="0" w:firstLine="0"/>
              <w:jc w:val="center"/>
            </w:pPr>
            <w:r>
              <w:rPr>
                <w:rFonts w:ascii="IBM Plex Sans" w:hAnsi="IBM Plex Sans" w:cs="IBM Plex Sans" w:eastAsia="IBM Plex Sans"/>
                <w:b w:val="0"/>
                <w:i w:val="0"/>
                <w:color w:val="FFFFFF"/>
                <w:sz w:val="13"/>
              </w:rPr>
              <w:t>1 × 3</w:t>
            </w:r>
          </w:p>
        </w:tc>
      </w:tr>
      <w:tr>
        <w:trPr>
          <w:cantSplit/>
        </w:trPr>
        <w:tc>
          <w:tcPr>
            <w:tcW w:w="2000" w:type="dxa"/>
            <w:shd w:val="clear" w:color="auto" w:fill="FAFAFA"/>
          </w:tcPr>
          <w:p>
            <w:pPr>
              <w:keepLines/>
              <w:spacing w:before="10" w:after="0" w:line="240" w:lineRule="auto"/>
              <w:ind w:left="0" w:right="0" w:firstLine="0"/>
              <w:jc w:val="left"/>
            </w:pPr>
            <w:r/>
            <w:r>
              <w:rPr>
                <w:rFonts w:ascii="IBM Plex Sans" w:hAnsi="IBM Plex Sans" w:cs="IBM Plex Sans" w:eastAsia="IBM Plex Sans"/>
                <w:b/>
                <w:i w:val="0"/>
                <w:color w:val="1A1A1A"/>
                <w:sz w:val="17"/>
              </w:rPr>
              <w:t>Static discharge during transfer</w:t>
            </w:r>
          </w:p>
        </w:tc>
        <w:tc>
          <w:tcPr>
            <w:tcW w:w="1400" w:type="dxa"/>
            <w:shd w:val="clear" w:color="auto" w:fill="FAFAFA"/>
          </w:tcPr>
          <w:p>
            <w:pPr>
              <w:keepLines/>
              <w:spacing w:before="10" w:after="0" w:line="240" w:lineRule="auto"/>
              <w:ind w:left="0" w:right="0" w:firstLine="0"/>
              <w:jc w:val="left"/>
            </w:pPr>
            <w:r/>
            <w:r>
              <w:rPr>
                <w:rFonts w:ascii="IBM Plex Sans" w:hAnsi="IBM Plex Sans" w:cs="IBM Plex Sans" w:eastAsia="IBM Plex Sans"/>
                <w:b w:val="0"/>
                <w:i w:val="0"/>
                <w:color w:val="5F5F5F"/>
                <w:sz w:val="17"/>
              </w:rPr>
              <w:t>Operatives</w:t>
            </w:r>
          </w:p>
        </w:tc>
        <w:tc>
          <w:tcPr>
            <w:tcW w:w="700" w:type="dxa"/>
            <w:shd w:val="clear" w:color="auto" w:fill="E0A100"/>
            <w:tcMar>
              <w:top w:w="60" w:type="dxa"/>
              <w:left w:w="20" w:type="dxa"/>
              <w:bottom w:w="40" w:type="dxa"/>
              <w:right w:w="20" w:type="dxa"/>
            </w:tcMar>
            <w:vAlign w:val="center"/>
          </w:tcPr>
          <w:p>
            <w:pPr>
              <w:keepLines/>
              <w:spacing w:before="30" w:after="0" w:line="220" w:lineRule="auto"/>
              <w:ind w:left="0" w:right="0" w:firstLine="0"/>
              <w:jc w:val="center"/>
            </w:pPr>
            <w:r/>
            <w:r>
              <w:rPr>
                <w:rFonts w:ascii="IBM Plex Sans" w:hAnsi="IBM Plex Sans" w:cs="IBM Plex Sans" w:eastAsia="IBM Plex Sans"/>
                <w:b/>
                <w:i w:val="0"/>
                <w:color w:val="FFFFFF"/>
                <w:sz w:val="22"/>
              </w:rPr>
              <w:t>8</w:t>
            </w:r>
          </w:p>
          <w:p>
            <w:pPr>
              <w:keepLines/>
              <w:spacing w:before="0" w:after="40" w:line="180" w:lineRule="auto"/>
              <w:ind w:left="0" w:right="0" w:firstLine="0"/>
              <w:jc w:val="center"/>
            </w:pPr>
            <w:r>
              <w:rPr>
                <w:rFonts w:ascii="IBM Plex Sans" w:hAnsi="IBM Plex Sans" w:cs="IBM Plex Sans" w:eastAsia="IBM Plex Sans"/>
                <w:b w:val="0"/>
                <w:i w:val="0"/>
                <w:color w:val="FFFFFF"/>
                <w:sz w:val="13"/>
              </w:rPr>
              <w:t>2 × 4</w:t>
            </w:r>
          </w:p>
        </w:tc>
        <w:tc>
          <w:tcPr>
            <w:tcW w:w="4271" w:type="dxa"/>
            <w:shd w:val="clear" w:color="auto" w:fill="FAFAFA"/>
          </w:tcPr>
          <w:p>
            <w:pPr>
              <w:keepLines/>
              <w:spacing w:before="10" w:after="0" w:line="240" w:lineRule="auto"/>
              <w:ind w:left="0" w:right="0" w:firstLine="0"/>
              <w:jc w:val="left"/>
            </w:pPr>
            <w:r/>
            <w:r>
              <w:rPr>
                <w:rFonts w:ascii="IBM Plex Sans" w:hAnsi="IBM Plex Sans" w:cs="IBM Plex Sans" w:eastAsia="IBM Plex Sans"/>
                <w:b w:val="0"/>
                <w:i w:val="0"/>
                <w:color w:val="1A1A1A"/>
                <w:sz w:val="17"/>
              </w:rPr>
              <w:t>Earthing and bonding established between tanker and tank before connection; connection removed only after the hose is drained and disconnected; flow started at reduced rate</w:t>
            </w:r>
          </w:p>
        </w:tc>
        <w:tc>
          <w:tcPr>
            <w:tcW w:w="700" w:type="dxa"/>
            <w:shd w:val="clear" w:color="auto" w:fill="3B8F4A"/>
            <w:tcMar>
              <w:top w:w="60" w:type="dxa"/>
              <w:left w:w="20" w:type="dxa"/>
              <w:bottom w:w="40" w:type="dxa"/>
              <w:right w:w="20" w:type="dxa"/>
            </w:tcMar>
            <w:vAlign w:val="center"/>
          </w:tcPr>
          <w:p>
            <w:pPr>
              <w:keepLines/>
              <w:spacing w:before="30" w:after="0" w:line="220" w:lineRule="auto"/>
              <w:ind w:left="0" w:right="0" w:firstLine="0"/>
              <w:jc w:val="center"/>
            </w:pPr>
            <w:r/>
            <w:r>
              <w:rPr>
                <w:rFonts w:ascii="IBM Plex Sans" w:hAnsi="IBM Plex Sans" w:cs="IBM Plex Sans" w:eastAsia="IBM Plex Sans"/>
                <w:b/>
                <w:i w:val="0"/>
                <w:color w:val="FFFFFF"/>
                <w:sz w:val="22"/>
              </w:rPr>
              <w:t>2</w:t>
            </w:r>
          </w:p>
          <w:p>
            <w:pPr>
              <w:keepLines/>
              <w:spacing w:before="0" w:after="40" w:line="180" w:lineRule="auto"/>
              <w:ind w:left="0" w:right="0" w:firstLine="0"/>
              <w:jc w:val="center"/>
            </w:pPr>
            <w:r>
              <w:rPr>
                <w:rFonts w:ascii="IBM Plex Sans" w:hAnsi="IBM Plex Sans" w:cs="IBM Plex Sans" w:eastAsia="IBM Plex Sans"/>
                <w:b w:val="0"/>
                <w:i w:val="0"/>
                <w:color w:val="FFFFFF"/>
                <w:sz w:val="13"/>
              </w:rPr>
              <w:t>1 × 2</w:t>
            </w:r>
          </w:p>
        </w:tc>
      </w:tr>
      <w:tr>
        <w:trPr>
          <w:cantSplit/>
        </w:trPr>
        <w:tc>
          <w:tcPr>
            <w:tcW w:w="2000" w:type="dxa"/>
          </w:tcPr>
          <w:p>
            <w:pPr>
              <w:keepLines/>
              <w:spacing w:before="10" w:after="0" w:line="240" w:lineRule="auto"/>
              <w:ind w:left="0" w:right="0" w:firstLine="0"/>
              <w:jc w:val="left"/>
            </w:pPr>
            <w:r/>
            <w:r>
              <w:rPr>
                <w:rFonts w:ascii="IBM Plex Sans" w:hAnsi="IBM Plex Sans" w:cs="IBM Plex Sans" w:eastAsia="IBM Plex Sans"/>
                <w:b/>
                <w:i w:val="0"/>
                <w:color w:val="1A1A1A"/>
                <w:sz w:val="17"/>
              </w:rPr>
              <w:t>Vehicle movement striking persons, plant or structures</w:t>
            </w:r>
          </w:p>
        </w:tc>
        <w:tc>
          <w:tcPr>
            <w:tcW w:w="1400" w:type="dxa"/>
          </w:tcPr>
          <w:p>
            <w:pPr>
              <w:keepLines/>
              <w:spacing w:before="10" w:after="0" w:line="240" w:lineRule="auto"/>
              <w:ind w:left="0" w:right="0" w:firstLine="0"/>
              <w:jc w:val="left"/>
            </w:pPr>
            <w:r/>
            <w:r>
              <w:rPr>
                <w:rFonts w:ascii="IBM Plex Sans" w:hAnsi="IBM Plex Sans" w:cs="IBM Plex Sans" w:eastAsia="IBM Plex Sans"/>
                <w:b w:val="0"/>
                <w:i w:val="0"/>
                <w:color w:val="5F5F5F"/>
                <w:sz w:val="17"/>
              </w:rPr>
              <w:t>Operatives, site personnel</w:t>
            </w:r>
          </w:p>
        </w:tc>
        <w:tc>
          <w:tcPr>
            <w:tcW w:w="700" w:type="dxa"/>
            <w:shd w:val="clear" w:color="auto" w:fill="C00028"/>
            <w:tcMar>
              <w:top w:w="60" w:type="dxa"/>
              <w:left w:w="20" w:type="dxa"/>
              <w:bottom w:w="40" w:type="dxa"/>
              <w:right w:w="20" w:type="dxa"/>
            </w:tcMar>
            <w:vAlign w:val="center"/>
          </w:tcPr>
          <w:p>
            <w:pPr>
              <w:keepLines/>
              <w:spacing w:before="30" w:after="0" w:line="220" w:lineRule="auto"/>
              <w:ind w:left="0" w:right="0" w:firstLine="0"/>
              <w:jc w:val="center"/>
            </w:pPr>
            <w:r/>
            <w:r>
              <w:rPr>
                <w:rFonts w:ascii="IBM Plex Sans" w:hAnsi="IBM Plex Sans" w:cs="IBM Plex Sans" w:eastAsia="IBM Plex Sans"/>
                <w:b/>
                <w:i w:val="0"/>
                <w:color w:val="FFFFFF"/>
                <w:sz w:val="22"/>
              </w:rPr>
              <w:t>15</w:t>
            </w:r>
          </w:p>
          <w:p>
            <w:pPr>
              <w:keepLines/>
              <w:spacing w:before="0" w:after="40" w:line="180" w:lineRule="auto"/>
              <w:ind w:left="0" w:right="0" w:firstLine="0"/>
              <w:jc w:val="center"/>
            </w:pPr>
            <w:r>
              <w:rPr>
                <w:rFonts w:ascii="IBM Plex Sans" w:hAnsi="IBM Plex Sans" w:cs="IBM Plex Sans" w:eastAsia="IBM Plex Sans"/>
                <w:b w:val="0"/>
                <w:i w:val="0"/>
                <w:color w:val="FFFFFF"/>
                <w:sz w:val="13"/>
              </w:rPr>
              <w:t>3 × 5</w:t>
            </w:r>
          </w:p>
        </w:tc>
        <w:tc>
          <w:tcPr>
            <w:tcW w:w="4271" w:type="dxa"/>
          </w:tcPr>
          <w:p>
            <w:pPr>
              <w:keepLines/>
              <w:spacing w:before="10" w:after="0" w:line="240" w:lineRule="auto"/>
              <w:ind w:left="0" w:right="0" w:firstLine="0"/>
              <w:jc w:val="left"/>
            </w:pPr>
            <w:r/>
            <w:r>
              <w:rPr>
                <w:rFonts w:ascii="IBM Plex Sans" w:hAnsi="IBM Plex Sans" w:cs="IBM Plex Sans" w:eastAsia="IBM Plex Sans"/>
                <w:b w:val="0"/>
                <w:i w:val="0"/>
                <w:color w:val="1A1A1A"/>
                <w:sz w:val="17"/>
              </w:rPr>
              <w:t>Escorted entry at walking pace; banksman for all reversing and manoeuvring; rigid barriers around the working area; pedestrian routes kept clear; parking brake applied and wheels chocked; no vehicle movement while the hose is connected</w:t>
            </w:r>
          </w:p>
        </w:tc>
        <w:tc>
          <w:tcPr>
            <w:tcW w:w="700" w:type="dxa"/>
            <w:shd w:val="clear" w:color="auto" w:fill="3B8F4A"/>
            <w:tcMar>
              <w:top w:w="60" w:type="dxa"/>
              <w:left w:w="20" w:type="dxa"/>
              <w:bottom w:w="40" w:type="dxa"/>
              <w:right w:w="20" w:type="dxa"/>
            </w:tcMar>
            <w:vAlign w:val="center"/>
          </w:tcPr>
          <w:p>
            <w:pPr>
              <w:keepLines/>
              <w:spacing w:before="30" w:after="0" w:line="220" w:lineRule="auto"/>
              <w:ind w:left="0" w:right="0" w:firstLine="0"/>
              <w:jc w:val="center"/>
            </w:pPr>
            <w:r/>
            <w:r>
              <w:rPr>
                <w:rFonts w:ascii="IBM Plex Sans" w:hAnsi="IBM Plex Sans" w:cs="IBM Plex Sans" w:eastAsia="IBM Plex Sans"/>
                <w:b/>
                <w:i w:val="0"/>
                <w:color w:val="FFFFFF"/>
                <w:sz w:val="22"/>
              </w:rPr>
              <w:t>4</w:t>
            </w:r>
          </w:p>
          <w:p>
            <w:pPr>
              <w:keepLines/>
              <w:spacing w:before="0" w:after="40" w:line="180" w:lineRule="auto"/>
              <w:ind w:left="0" w:right="0" w:firstLine="0"/>
              <w:jc w:val="center"/>
            </w:pPr>
            <w:r>
              <w:rPr>
                <w:rFonts w:ascii="IBM Plex Sans" w:hAnsi="IBM Plex Sans" w:cs="IBM Plex Sans" w:eastAsia="IBM Plex Sans"/>
                <w:b w:val="0"/>
                <w:i w:val="0"/>
                <w:color w:val="FFFFFF"/>
                <w:sz w:val="13"/>
              </w:rPr>
              <w:t>1 × 4</w:t>
            </w:r>
          </w:p>
        </w:tc>
      </w:tr>
      <w:tr>
        <w:trPr>
          <w:cantSplit/>
        </w:trPr>
        <w:tc>
          <w:tcPr>
            <w:tcW w:w="2000" w:type="dxa"/>
            <w:shd w:val="clear" w:color="auto" w:fill="FAFAFA"/>
          </w:tcPr>
          <w:p>
            <w:pPr>
              <w:keepLines/>
              <w:spacing w:before="10" w:after="0" w:line="240" w:lineRule="auto"/>
              <w:ind w:left="0" w:right="0" w:firstLine="0"/>
              <w:jc w:val="left"/>
            </w:pPr>
            <w:r/>
            <w:r>
              <w:rPr>
                <w:rFonts w:ascii="IBM Plex Sans" w:hAnsi="IBM Plex Sans" w:cs="IBM Plex Sans" w:eastAsia="IBM Plex Sans"/>
                <w:b/>
                <w:i w:val="0"/>
                <w:color w:val="1A1A1A"/>
                <w:sz w:val="17"/>
              </w:rPr>
              <w:t>Hose or coupling failure under pressure</w:t>
            </w:r>
          </w:p>
        </w:tc>
        <w:tc>
          <w:tcPr>
            <w:tcW w:w="1400" w:type="dxa"/>
            <w:shd w:val="clear" w:color="auto" w:fill="FAFAFA"/>
          </w:tcPr>
          <w:p>
            <w:pPr>
              <w:keepLines/>
              <w:spacing w:before="10" w:after="0" w:line="240" w:lineRule="auto"/>
              <w:ind w:left="0" w:right="0" w:firstLine="0"/>
              <w:jc w:val="left"/>
            </w:pPr>
            <w:r/>
            <w:r>
              <w:rPr>
                <w:rFonts w:ascii="IBM Plex Sans" w:hAnsi="IBM Plex Sans" w:cs="IBM Plex Sans" w:eastAsia="IBM Plex Sans"/>
                <w:b w:val="0"/>
                <w:i w:val="0"/>
                <w:color w:val="5F5F5F"/>
                <w:sz w:val="17"/>
              </w:rPr>
              <w:t>Operatives</w:t>
            </w:r>
          </w:p>
        </w:tc>
        <w:tc>
          <w:tcPr>
            <w:tcW w:w="700" w:type="dxa"/>
            <w:shd w:val="clear" w:color="auto" w:fill="E0A100"/>
            <w:tcMar>
              <w:top w:w="60" w:type="dxa"/>
              <w:left w:w="20" w:type="dxa"/>
              <w:bottom w:w="40" w:type="dxa"/>
              <w:right w:w="20" w:type="dxa"/>
            </w:tcMar>
            <w:vAlign w:val="center"/>
          </w:tcPr>
          <w:p>
            <w:pPr>
              <w:keepLines/>
              <w:spacing w:before="30" w:after="0" w:line="220" w:lineRule="auto"/>
              <w:ind w:left="0" w:right="0" w:firstLine="0"/>
              <w:jc w:val="center"/>
            </w:pPr>
            <w:r/>
            <w:r>
              <w:rPr>
                <w:rFonts w:ascii="IBM Plex Sans" w:hAnsi="IBM Plex Sans" w:cs="IBM Plex Sans" w:eastAsia="IBM Plex Sans"/>
                <w:b/>
                <w:i w:val="0"/>
                <w:color w:val="FFFFFF"/>
                <w:sz w:val="22"/>
              </w:rPr>
              <w:t>6</w:t>
            </w:r>
          </w:p>
          <w:p>
            <w:pPr>
              <w:keepLines/>
              <w:spacing w:before="0" w:after="40" w:line="180" w:lineRule="auto"/>
              <w:ind w:left="0" w:right="0" w:firstLine="0"/>
              <w:jc w:val="center"/>
            </w:pPr>
            <w:r>
              <w:rPr>
                <w:rFonts w:ascii="IBM Plex Sans" w:hAnsi="IBM Plex Sans" w:cs="IBM Plex Sans" w:eastAsia="IBM Plex Sans"/>
                <w:b w:val="0"/>
                <w:i w:val="0"/>
                <w:color w:val="FFFFFF"/>
                <w:sz w:val="13"/>
              </w:rPr>
              <w:t>2 × 3</w:t>
            </w:r>
          </w:p>
        </w:tc>
        <w:tc>
          <w:tcPr>
            <w:tcW w:w="4271" w:type="dxa"/>
            <w:shd w:val="clear" w:color="auto" w:fill="FAFAFA"/>
          </w:tcPr>
          <w:p>
            <w:pPr>
              <w:keepLines/>
              <w:spacing w:before="10" w:after="0" w:line="240" w:lineRule="auto"/>
              <w:ind w:left="0" w:right="0" w:firstLine="0"/>
              <w:jc w:val="left"/>
            </w:pPr>
            <w:r/>
            <w:r>
              <w:rPr>
                <w:rFonts w:ascii="IBM Plex Sans" w:hAnsi="IBM Plex Sans" w:cs="IBM Plex Sans" w:eastAsia="IBM Plex Sans"/>
                <w:b w:val="0"/>
                <w:i w:val="0"/>
                <w:color w:val="1A1A1A"/>
                <w:sz w:val="17"/>
              </w:rPr>
              <w:t>Coupling checked for secure engagement before start; transfer started at reduced flow and observed; operatives positioned clear of the coupling; emergency stop within reach throughout</w:t>
            </w:r>
          </w:p>
        </w:tc>
        <w:tc>
          <w:tcPr>
            <w:tcW w:w="700" w:type="dxa"/>
            <w:shd w:val="clear" w:color="auto" w:fill="3B8F4A"/>
            <w:tcMar>
              <w:top w:w="60" w:type="dxa"/>
              <w:left w:w="20" w:type="dxa"/>
              <w:bottom w:w="40" w:type="dxa"/>
              <w:right w:w="20" w:type="dxa"/>
            </w:tcMar>
            <w:vAlign w:val="center"/>
          </w:tcPr>
          <w:p>
            <w:pPr>
              <w:keepLines/>
              <w:spacing w:before="30" w:after="0" w:line="220" w:lineRule="auto"/>
              <w:ind w:left="0" w:right="0" w:firstLine="0"/>
              <w:jc w:val="center"/>
            </w:pPr>
            <w:r/>
            <w:r>
              <w:rPr>
                <w:rFonts w:ascii="IBM Plex Sans" w:hAnsi="IBM Plex Sans" w:cs="IBM Plex Sans" w:eastAsia="IBM Plex Sans"/>
                <w:b/>
                <w:i w:val="0"/>
                <w:color w:val="FFFFFF"/>
                <w:sz w:val="22"/>
              </w:rPr>
              <w:t>2</w:t>
            </w:r>
          </w:p>
          <w:p>
            <w:pPr>
              <w:keepLines/>
              <w:spacing w:before="0" w:after="40" w:line="180" w:lineRule="auto"/>
              <w:ind w:left="0" w:right="0" w:firstLine="0"/>
              <w:jc w:val="center"/>
            </w:pPr>
            <w:r>
              <w:rPr>
                <w:rFonts w:ascii="IBM Plex Sans" w:hAnsi="IBM Plex Sans" w:cs="IBM Plex Sans" w:eastAsia="IBM Plex Sans"/>
                <w:b w:val="0"/>
                <w:i w:val="0"/>
                <w:color w:val="FFFFFF"/>
                <w:sz w:val="13"/>
              </w:rPr>
              <w:t>1 × 2</w:t>
            </w:r>
          </w:p>
        </w:tc>
      </w:tr>
      <w:tr>
        <w:trPr>
          <w:cantSplit/>
        </w:trPr>
        <w:tc>
          <w:tcPr>
            <w:tcW w:w="2000" w:type="dxa"/>
          </w:tcPr>
          <w:p>
            <w:pPr>
              <w:keepLines/>
              <w:spacing w:before="10" w:after="0" w:line="240" w:lineRule="auto"/>
              <w:ind w:left="0" w:right="0" w:firstLine="0"/>
              <w:jc w:val="left"/>
            </w:pPr>
            <w:r/>
            <w:r>
              <w:rPr>
                <w:rFonts w:ascii="IBM Plex Sans" w:hAnsi="IBM Plex Sans" w:cs="IBM Plex Sans" w:eastAsia="IBM Plex Sans"/>
                <w:b/>
                <w:i w:val="0"/>
                <w:color w:val="1A1A1A"/>
                <w:sz w:val="17"/>
              </w:rPr>
              <w:t>Skin or eye contact with fuel</w:t>
            </w:r>
          </w:p>
        </w:tc>
        <w:tc>
          <w:tcPr>
            <w:tcW w:w="1400" w:type="dxa"/>
          </w:tcPr>
          <w:p>
            <w:pPr>
              <w:keepLines/>
              <w:spacing w:before="10" w:after="0" w:line="240" w:lineRule="auto"/>
              <w:ind w:left="0" w:right="0" w:firstLine="0"/>
              <w:jc w:val="left"/>
            </w:pPr>
            <w:r/>
            <w:r>
              <w:rPr>
                <w:rFonts w:ascii="IBM Plex Sans" w:hAnsi="IBM Plex Sans" w:cs="IBM Plex Sans" w:eastAsia="IBM Plex Sans"/>
                <w:b w:val="0"/>
                <w:i w:val="0"/>
                <w:color w:val="5F5F5F"/>
                <w:sz w:val="17"/>
              </w:rPr>
              <w:t>Operatives</w:t>
            </w:r>
          </w:p>
        </w:tc>
        <w:tc>
          <w:tcPr>
            <w:tcW w:w="700" w:type="dxa"/>
            <w:shd w:val="clear" w:color="auto" w:fill="E0A100"/>
            <w:tcMar>
              <w:top w:w="60" w:type="dxa"/>
              <w:left w:w="20" w:type="dxa"/>
              <w:bottom w:w="40" w:type="dxa"/>
              <w:right w:w="20" w:type="dxa"/>
            </w:tcMar>
            <w:vAlign w:val="center"/>
          </w:tcPr>
          <w:p>
            <w:pPr>
              <w:keepLines/>
              <w:spacing w:before="30" w:after="0" w:line="220" w:lineRule="auto"/>
              <w:ind w:left="0" w:right="0" w:firstLine="0"/>
              <w:jc w:val="center"/>
            </w:pPr>
            <w:r/>
            <w:r>
              <w:rPr>
                <w:rFonts w:ascii="IBM Plex Sans" w:hAnsi="IBM Plex Sans" w:cs="IBM Plex Sans" w:eastAsia="IBM Plex Sans"/>
                <w:b/>
                <w:i w:val="0"/>
                <w:color w:val="FFFFFF"/>
                <w:sz w:val="22"/>
              </w:rPr>
              <w:t>6</w:t>
            </w:r>
          </w:p>
          <w:p>
            <w:pPr>
              <w:keepLines/>
              <w:spacing w:before="0" w:after="40" w:line="180" w:lineRule="auto"/>
              <w:ind w:left="0" w:right="0" w:firstLine="0"/>
              <w:jc w:val="center"/>
            </w:pPr>
            <w:r>
              <w:rPr>
                <w:rFonts w:ascii="IBM Plex Sans" w:hAnsi="IBM Plex Sans" w:cs="IBM Plex Sans" w:eastAsia="IBM Plex Sans"/>
                <w:b w:val="0"/>
                <w:i w:val="0"/>
                <w:color w:val="FFFFFF"/>
                <w:sz w:val="13"/>
              </w:rPr>
              <w:t>3 × 2</w:t>
            </w:r>
          </w:p>
        </w:tc>
        <w:tc>
          <w:tcPr>
            <w:tcW w:w="4271" w:type="dxa"/>
          </w:tcPr>
          <w:p>
            <w:pPr>
              <w:keepLines/>
              <w:spacing w:before="10" w:after="0" w:line="240" w:lineRule="auto"/>
              <w:ind w:left="0" w:right="0" w:firstLine="0"/>
              <w:jc w:val="left"/>
            </w:pPr>
            <w:r/>
            <w:r>
              <w:rPr>
                <w:rFonts w:ascii="IBM Plex Sans" w:hAnsi="IBM Plex Sans" w:cs="IBM Plex Sans" w:eastAsia="IBM Plex Sans"/>
                <w:b w:val="0"/>
                <w:i w:val="0"/>
                <w:color w:val="1A1A1A"/>
                <w:sz w:val="17"/>
              </w:rPr>
              <w:t>Fuel-resistant gloves and safety glasses worn for connection and disconnection; eyewash available at the delivery point; safety data sheet at the point of use; washing facilities used after the operation</w:t>
            </w:r>
          </w:p>
        </w:tc>
        <w:tc>
          <w:tcPr>
            <w:tcW w:w="700" w:type="dxa"/>
            <w:shd w:val="clear" w:color="auto" w:fill="3B8F4A"/>
            <w:tcMar>
              <w:top w:w="60" w:type="dxa"/>
              <w:left w:w="20" w:type="dxa"/>
              <w:bottom w:w="40" w:type="dxa"/>
              <w:right w:w="20" w:type="dxa"/>
            </w:tcMar>
            <w:vAlign w:val="center"/>
          </w:tcPr>
          <w:p>
            <w:pPr>
              <w:keepLines/>
              <w:spacing w:before="30" w:after="0" w:line="220" w:lineRule="auto"/>
              <w:ind w:left="0" w:right="0" w:firstLine="0"/>
              <w:jc w:val="center"/>
            </w:pPr>
            <w:r/>
            <w:r>
              <w:rPr>
                <w:rFonts w:ascii="IBM Plex Sans" w:hAnsi="IBM Plex Sans" w:cs="IBM Plex Sans" w:eastAsia="IBM Plex Sans"/>
                <w:b/>
                <w:i w:val="0"/>
                <w:color w:val="FFFFFF"/>
                <w:sz w:val="22"/>
              </w:rPr>
              <w:t>2</w:t>
            </w:r>
          </w:p>
          <w:p>
            <w:pPr>
              <w:keepLines/>
              <w:spacing w:before="0" w:after="40" w:line="180" w:lineRule="auto"/>
              <w:ind w:left="0" w:right="0" w:firstLine="0"/>
              <w:jc w:val="center"/>
            </w:pPr>
            <w:r>
              <w:rPr>
                <w:rFonts w:ascii="IBM Plex Sans" w:hAnsi="IBM Plex Sans" w:cs="IBM Plex Sans" w:eastAsia="IBM Plex Sans"/>
                <w:b w:val="0"/>
                <w:i w:val="0"/>
                <w:color w:val="FFFFFF"/>
                <w:sz w:val="13"/>
              </w:rPr>
              <w:t>1 × 2</w:t>
            </w:r>
          </w:p>
        </w:tc>
      </w:tr>
      <w:tr>
        <w:trPr>
          <w:cantSplit/>
        </w:trPr>
        <w:tc>
          <w:tcPr>
            <w:tcW w:w="2000" w:type="dxa"/>
            <w:shd w:val="clear" w:color="auto" w:fill="FAFAFA"/>
          </w:tcPr>
          <w:p>
            <w:pPr>
              <w:keepLines/>
              <w:spacing w:before="10" w:after="0" w:line="240" w:lineRule="auto"/>
              <w:ind w:left="0" w:right="0" w:firstLine="0"/>
              <w:jc w:val="left"/>
            </w:pPr>
            <w:r/>
            <w:r>
              <w:rPr>
                <w:rFonts w:ascii="IBM Plex Sans" w:hAnsi="IBM Plex Sans" w:cs="IBM Plex Sans" w:eastAsia="IBM Plex Sans"/>
                <w:b/>
                <w:i w:val="0"/>
                <w:color w:val="1A1A1A"/>
                <w:sz w:val="17"/>
              </w:rPr>
              <w:t>Slip on spilled fuel</w:t>
            </w:r>
          </w:p>
        </w:tc>
        <w:tc>
          <w:tcPr>
            <w:tcW w:w="1400" w:type="dxa"/>
            <w:shd w:val="clear" w:color="auto" w:fill="FAFAFA"/>
          </w:tcPr>
          <w:p>
            <w:pPr>
              <w:keepLines/>
              <w:spacing w:before="10" w:after="0" w:line="240" w:lineRule="auto"/>
              <w:ind w:left="0" w:right="0" w:firstLine="0"/>
              <w:jc w:val="left"/>
            </w:pPr>
            <w:r/>
            <w:r>
              <w:rPr>
                <w:rFonts w:ascii="IBM Plex Sans" w:hAnsi="IBM Plex Sans" w:cs="IBM Plex Sans" w:eastAsia="IBM Plex Sans"/>
                <w:b w:val="0"/>
                <w:i w:val="0"/>
                <w:color w:val="5F5F5F"/>
                <w:sz w:val="17"/>
              </w:rPr>
              <w:t>Operatives</w:t>
            </w:r>
          </w:p>
        </w:tc>
        <w:tc>
          <w:tcPr>
            <w:tcW w:w="700" w:type="dxa"/>
            <w:shd w:val="clear" w:color="auto" w:fill="E0A100"/>
            <w:tcMar>
              <w:top w:w="60" w:type="dxa"/>
              <w:left w:w="20" w:type="dxa"/>
              <w:bottom w:w="40" w:type="dxa"/>
              <w:right w:w="20" w:type="dxa"/>
            </w:tcMar>
            <w:vAlign w:val="center"/>
          </w:tcPr>
          <w:p>
            <w:pPr>
              <w:keepLines/>
              <w:spacing w:before="30" w:after="0" w:line="220" w:lineRule="auto"/>
              <w:ind w:left="0" w:right="0" w:firstLine="0"/>
              <w:jc w:val="center"/>
            </w:pPr>
            <w:r/>
            <w:r>
              <w:rPr>
                <w:rFonts w:ascii="IBM Plex Sans" w:hAnsi="IBM Plex Sans" w:cs="IBM Plex Sans" w:eastAsia="IBM Plex Sans"/>
                <w:b/>
                <w:i w:val="0"/>
                <w:color w:val="FFFFFF"/>
                <w:sz w:val="22"/>
              </w:rPr>
              <w:t>6</w:t>
            </w:r>
          </w:p>
          <w:p>
            <w:pPr>
              <w:keepLines/>
              <w:spacing w:before="0" w:after="40" w:line="180" w:lineRule="auto"/>
              <w:ind w:left="0" w:right="0" w:firstLine="0"/>
              <w:jc w:val="center"/>
            </w:pPr>
            <w:r>
              <w:rPr>
                <w:rFonts w:ascii="IBM Plex Sans" w:hAnsi="IBM Plex Sans" w:cs="IBM Plex Sans" w:eastAsia="IBM Plex Sans"/>
                <w:b w:val="0"/>
                <w:i w:val="0"/>
                <w:color w:val="FFFFFF"/>
                <w:sz w:val="13"/>
              </w:rPr>
              <w:t>2 × 3</w:t>
            </w:r>
          </w:p>
        </w:tc>
        <w:tc>
          <w:tcPr>
            <w:tcW w:w="4271" w:type="dxa"/>
            <w:shd w:val="clear" w:color="auto" w:fill="FAFAFA"/>
          </w:tcPr>
          <w:p>
            <w:pPr>
              <w:keepLines/>
              <w:spacing w:before="10" w:after="0" w:line="240" w:lineRule="auto"/>
              <w:ind w:left="0" w:right="0" w:firstLine="0"/>
              <w:jc w:val="left"/>
            </w:pPr>
            <w:r/>
            <w:r>
              <w:rPr>
                <w:rFonts w:ascii="IBM Plex Sans" w:hAnsi="IBM Plex Sans" w:cs="IBM Plex Sans" w:eastAsia="IBM Plex Sans"/>
                <w:b w:val="0"/>
                <w:i w:val="0"/>
                <w:color w:val="1A1A1A"/>
                <w:sz w:val="17"/>
              </w:rPr>
              <w:t>Drip tray in place throughout; immediate absorption of any residue; area inspected and confirmed clear before barriers are removed</w:t>
            </w:r>
          </w:p>
        </w:tc>
        <w:tc>
          <w:tcPr>
            <w:tcW w:w="700" w:type="dxa"/>
            <w:shd w:val="clear" w:color="auto" w:fill="3B8F4A"/>
            <w:tcMar>
              <w:top w:w="60" w:type="dxa"/>
              <w:left w:w="20" w:type="dxa"/>
              <w:bottom w:w="40" w:type="dxa"/>
              <w:right w:w="20" w:type="dxa"/>
            </w:tcMar>
            <w:vAlign w:val="center"/>
          </w:tcPr>
          <w:p>
            <w:pPr>
              <w:keepLines/>
              <w:spacing w:before="30" w:after="0" w:line="220" w:lineRule="auto"/>
              <w:ind w:left="0" w:right="0" w:firstLine="0"/>
              <w:jc w:val="center"/>
            </w:pPr>
            <w:r/>
            <w:r>
              <w:rPr>
                <w:rFonts w:ascii="IBM Plex Sans" w:hAnsi="IBM Plex Sans" w:cs="IBM Plex Sans" w:eastAsia="IBM Plex Sans"/>
                <w:b/>
                <w:i w:val="0"/>
                <w:color w:val="FFFFFF"/>
                <w:sz w:val="22"/>
              </w:rPr>
              <w:t>2</w:t>
            </w:r>
          </w:p>
          <w:p>
            <w:pPr>
              <w:keepLines/>
              <w:spacing w:before="0" w:after="40" w:line="180" w:lineRule="auto"/>
              <w:ind w:left="0" w:right="0" w:firstLine="0"/>
              <w:jc w:val="center"/>
            </w:pPr>
            <w:r>
              <w:rPr>
                <w:rFonts w:ascii="IBM Plex Sans" w:hAnsi="IBM Plex Sans" w:cs="IBM Plex Sans" w:eastAsia="IBM Plex Sans"/>
                <w:b w:val="0"/>
                <w:i w:val="0"/>
                <w:color w:val="FFFFFF"/>
                <w:sz w:val="13"/>
              </w:rPr>
              <w:t>1 × 2</w:t>
            </w:r>
          </w:p>
        </w:tc>
      </w:tr>
      <w:tr>
        <w:trPr>
          <w:cantSplit/>
        </w:trPr>
        <w:tc>
          <w:tcPr>
            <w:tcW w:w="2000" w:type="dxa"/>
          </w:tcPr>
          <w:p>
            <w:pPr>
              <w:keepLines/>
              <w:spacing w:before="10" w:after="0" w:line="240" w:lineRule="auto"/>
              <w:ind w:left="0" w:right="0" w:firstLine="0"/>
              <w:jc w:val="left"/>
            </w:pPr>
            <w:r/>
            <w:r>
              <w:rPr>
                <w:rFonts w:ascii="IBM Plex Sans" w:hAnsi="IBM Plex Sans" w:cs="IBM Plex Sans" w:eastAsia="IBM Plex Sans"/>
                <w:b/>
                <w:i w:val="0"/>
                <w:color w:val="1A1A1A"/>
                <w:sz w:val="17"/>
              </w:rPr>
              <w:t>Work in proximity to energised equipment</w:t>
            </w:r>
          </w:p>
        </w:tc>
        <w:tc>
          <w:tcPr>
            <w:tcW w:w="1400" w:type="dxa"/>
          </w:tcPr>
          <w:p>
            <w:pPr>
              <w:keepLines/>
              <w:spacing w:before="10" w:after="0" w:line="240" w:lineRule="auto"/>
              <w:ind w:left="0" w:right="0" w:firstLine="0"/>
              <w:jc w:val="left"/>
            </w:pPr>
            <w:r/>
            <w:r>
              <w:rPr>
                <w:rFonts w:ascii="IBM Plex Sans" w:hAnsi="IBM Plex Sans" w:cs="IBM Plex Sans" w:eastAsia="IBM Plex Sans"/>
                <w:b w:val="0"/>
                <w:i w:val="0"/>
                <w:color w:val="5F5F5F"/>
                <w:sz w:val="17"/>
              </w:rPr>
              <w:t>Operatives</w:t>
            </w:r>
          </w:p>
        </w:tc>
        <w:tc>
          <w:tcPr>
            <w:tcW w:w="700" w:type="dxa"/>
            <w:shd w:val="clear" w:color="auto" w:fill="E2601A"/>
            <w:tcMar>
              <w:top w:w="60" w:type="dxa"/>
              <w:left w:w="20" w:type="dxa"/>
              <w:bottom w:w="40" w:type="dxa"/>
              <w:right w:w="20" w:type="dxa"/>
            </w:tcMar>
            <w:vAlign w:val="center"/>
          </w:tcPr>
          <w:p>
            <w:pPr>
              <w:keepLines/>
              <w:spacing w:before="30" w:after="0" w:line="220" w:lineRule="auto"/>
              <w:ind w:left="0" w:right="0" w:firstLine="0"/>
              <w:jc w:val="center"/>
            </w:pPr>
            <w:r/>
            <w:r>
              <w:rPr>
                <w:rFonts w:ascii="IBM Plex Sans" w:hAnsi="IBM Plex Sans" w:cs="IBM Plex Sans" w:eastAsia="IBM Plex Sans"/>
                <w:b/>
                <w:i w:val="0"/>
                <w:color w:val="FFFFFF"/>
                <w:sz w:val="22"/>
              </w:rPr>
              <w:t>10</w:t>
            </w:r>
          </w:p>
          <w:p>
            <w:pPr>
              <w:keepLines/>
              <w:spacing w:before="0" w:after="40" w:line="180" w:lineRule="auto"/>
              <w:ind w:left="0" w:right="0" w:firstLine="0"/>
              <w:jc w:val="center"/>
            </w:pPr>
            <w:r>
              <w:rPr>
                <w:rFonts w:ascii="IBM Plex Sans" w:hAnsi="IBM Plex Sans" w:cs="IBM Plex Sans" w:eastAsia="IBM Plex Sans"/>
                <w:b w:val="0"/>
                <w:i w:val="0"/>
                <w:color w:val="FFFFFF"/>
                <w:sz w:val="13"/>
              </w:rPr>
              <w:t>2 × 5</w:t>
            </w:r>
          </w:p>
        </w:tc>
        <w:tc>
          <w:tcPr>
            <w:tcW w:w="4271" w:type="dxa"/>
          </w:tcPr>
          <w:p>
            <w:pPr>
              <w:keepLines/>
              <w:spacing w:before="10" w:after="0" w:line="240" w:lineRule="auto"/>
              <w:ind w:left="0" w:right="0" w:firstLine="0"/>
              <w:jc w:val="left"/>
            </w:pPr>
            <w:r/>
            <w:r>
              <w:rPr>
                <w:rFonts w:ascii="IBM Plex Sans" w:hAnsi="IBM Plex Sans" w:cs="IBM Plex Sans" w:eastAsia="IBM Plex Sans"/>
                <w:b w:val="0"/>
                <w:i w:val="0"/>
                <w:color w:val="1A1A1A"/>
                <w:sz w:val="17"/>
              </w:rPr>
              <w:t>Generator shut down before transfer; electrical enclosures remain closed and are not accessed during fuelling; electrical work strictly separated in time from the fuelling activity</w:t>
            </w:r>
          </w:p>
        </w:tc>
        <w:tc>
          <w:tcPr>
            <w:tcW w:w="700" w:type="dxa"/>
            <w:shd w:val="clear" w:color="auto" w:fill="3B8F4A"/>
            <w:tcMar>
              <w:top w:w="60" w:type="dxa"/>
              <w:left w:w="20" w:type="dxa"/>
              <w:bottom w:w="40" w:type="dxa"/>
              <w:right w:w="20" w:type="dxa"/>
            </w:tcMar>
            <w:vAlign w:val="center"/>
          </w:tcPr>
          <w:p>
            <w:pPr>
              <w:keepLines/>
              <w:spacing w:before="30" w:after="0" w:line="220" w:lineRule="auto"/>
              <w:ind w:left="0" w:right="0" w:firstLine="0"/>
              <w:jc w:val="center"/>
            </w:pPr>
            <w:r/>
            <w:r>
              <w:rPr>
                <w:rFonts w:ascii="IBM Plex Sans" w:hAnsi="IBM Plex Sans" w:cs="IBM Plex Sans" w:eastAsia="IBM Plex Sans"/>
                <w:b/>
                <w:i w:val="0"/>
                <w:color w:val="FFFFFF"/>
                <w:sz w:val="22"/>
              </w:rPr>
              <w:t>2</w:t>
            </w:r>
          </w:p>
          <w:p>
            <w:pPr>
              <w:keepLines/>
              <w:spacing w:before="0" w:after="40" w:line="180" w:lineRule="auto"/>
              <w:ind w:left="0" w:right="0" w:firstLine="0"/>
              <w:jc w:val="center"/>
            </w:pPr>
            <w:r>
              <w:rPr>
                <w:rFonts w:ascii="IBM Plex Sans" w:hAnsi="IBM Plex Sans" w:cs="IBM Plex Sans" w:eastAsia="IBM Plex Sans"/>
                <w:b w:val="0"/>
                <w:i w:val="0"/>
                <w:color w:val="FFFFFF"/>
                <w:sz w:val="13"/>
              </w:rPr>
              <w:t>1 × 2</w:t>
            </w:r>
          </w:p>
        </w:tc>
      </w:tr>
      <w:tr>
        <w:trPr>
          <w:cantSplit/>
        </w:trPr>
        <w:tc>
          <w:tcPr>
            <w:tcW w:w="2000" w:type="dxa"/>
            <w:shd w:val="clear" w:color="auto" w:fill="FAFAFA"/>
          </w:tcPr>
          <w:p>
            <w:pPr>
              <w:keepLines/>
              <w:spacing w:before="10" w:after="0" w:line="240" w:lineRule="auto"/>
              <w:ind w:left="0" w:right="0" w:firstLine="0"/>
              <w:jc w:val="left"/>
            </w:pPr>
            <w:r/>
            <w:r>
              <w:rPr>
                <w:rFonts w:ascii="IBM Plex Sans" w:hAnsi="IBM Plex Sans" w:cs="IBM Plex Sans" w:eastAsia="IBM Plex Sans"/>
                <w:b/>
                <w:i w:val="0"/>
                <w:color w:val="1A1A1A"/>
                <w:sz w:val="17"/>
              </w:rPr>
              <w:t>Inhalation of vapour</w:t>
            </w:r>
          </w:p>
        </w:tc>
        <w:tc>
          <w:tcPr>
            <w:tcW w:w="1400" w:type="dxa"/>
            <w:shd w:val="clear" w:color="auto" w:fill="FAFAFA"/>
          </w:tcPr>
          <w:p>
            <w:pPr>
              <w:keepLines/>
              <w:spacing w:before="10" w:after="0" w:line="240" w:lineRule="auto"/>
              <w:ind w:left="0" w:right="0" w:firstLine="0"/>
              <w:jc w:val="left"/>
            </w:pPr>
            <w:r/>
            <w:r>
              <w:rPr>
                <w:rFonts w:ascii="IBM Plex Sans" w:hAnsi="IBM Plex Sans" w:cs="IBM Plex Sans" w:eastAsia="IBM Plex Sans"/>
                <w:b w:val="0"/>
                <w:i w:val="0"/>
                <w:color w:val="5F5F5F"/>
                <w:sz w:val="17"/>
              </w:rPr>
              <w:t>Operatives</w:t>
            </w:r>
          </w:p>
        </w:tc>
        <w:tc>
          <w:tcPr>
            <w:tcW w:w="700" w:type="dxa"/>
            <w:shd w:val="clear" w:color="auto" w:fill="3B8F4A"/>
            <w:tcMar>
              <w:top w:w="60" w:type="dxa"/>
              <w:left w:w="20" w:type="dxa"/>
              <w:bottom w:w="40" w:type="dxa"/>
              <w:right w:w="20" w:type="dxa"/>
            </w:tcMar>
            <w:vAlign w:val="center"/>
          </w:tcPr>
          <w:p>
            <w:pPr>
              <w:keepLines/>
              <w:spacing w:before="30" w:after="0" w:line="220" w:lineRule="auto"/>
              <w:ind w:left="0" w:right="0" w:firstLine="0"/>
              <w:jc w:val="center"/>
            </w:pPr>
            <w:r/>
            <w:r>
              <w:rPr>
                <w:rFonts w:ascii="IBM Plex Sans" w:hAnsi="IBM Plex Sans" w:cs="IBM Plex Sans" w:eastAsia="IBM Plex Sans"/>
                <w:b/>
                <w:i w:val="0"/>
                <w:color w:val="FFFFFF"/>
                <w:sz w:val="22"/>
              </w:rPr>
              <w:t>4</w:t>
            </w:r>
          </w:p>
          <w:p>
            <w:pPr>
              <w:keepLines/>
              <w:spacing w:before="0" w:after="40" w:line="180" w:lineRule="auto"/>
              <w:ind w:left="0" w:right="0" w:firstLine="0"/>
              <w:jc w:val="center"/>
            </w:pPr>
            <w:r>
              <w:rPr>
                <w:rFonts w:ascii="IBM Plex Sans" w:hAnsi="IBM Plex Sans" w:cs="IBM Plex Sans" w:eastAsia="IBM Plex Sans"/>
                <w:b w:val="0"/>
                <w:i w:val="0"/>
                <w:color w:val="FFFFFF"/>
                <w:sz w:val="13"/>
              </w:rPr>
              <w:t>2 × 2</w:t>
            </w:r>
          </w:p>
        </w:tc>
        <w:tc>
          <w:tcPr>
            <w:tcW w:w="4271" w:type="dxa"/>
            <w:shd w:val="clear" w:color="auto" w:fill="FAFAFA"/>
          </w:tcPr>
          <w:p>
            <w:pPr>
              <w:keepLines/>
              <w:spacing w:before="10" w:after="0" w:line="240" w:lineRule="auto"/>
              <w:ind w:left="0" w:right="0" w:firstLine="0"/>
              <w:jc w:val="left"/>
            </w:pPr>
            <w:r/>
            <w:r>
              <w:rPr>
                <w:rFonts w:ascii="IBM Plex Sans" w:hAnsi="IBM Plex Sans" w:cs="IBM Plex Sans" w:eastAsia="IBM Plex Sans"/>
                <w:b w:val="0"/>
                <w:i w:val="0"/>
                <w:color w:val="1A1A1A"/>
                <w:sz w:val="17"/>
              </w:rPr>
              <w:t>Operation carried out in the open air; operatives positioned upwind where practicable; low volatility of the product</w:t>
            </w:r>
          </w:p>
        </w:tc>
        <w:tc>
          <w:tcPr>
            <w:tcW w:w="700" w:type="dxa"/>
            <w:shd w:val="clear" w:color="auto" w:fill="3B8F4A"/>
            <w:tcMar>
              <w:top w:w="60" w:type="dxa"/>
              <w:left w:w="20" w:type="dxa"/>
              <w:bottom w:w="40" w:type="dxa"/>
              <w:right w:w="20" w:type="dxa"/>
            </w:tcMar>
            <w:vAlign w:val="center"/>
          </w:tcPr>
          <w:p>
            <w:pPr>
              <w:keepLines/>
              <w:spacing w:before="30" w:after="0" w:line="220" w:lineRule="auto"/>
              <w:ind w:left="0" w:right="0" w:firstLine="0"/>
              <w:jc w:val="center"/>
            </w:pPr>
            <w:r/>
            <w:r>
              <w:rPr>
                <w:rFonts w:ascii="IBM Plex Sans" w:hAnsi="IBM Plex Sans" w:cs="IBM Plex Sans" w:eastAsia="IBM Plex Sans"/>
                <w:b/>
                <w:i w:val="0"/>
                <w:color w:val="FFFFFF"/>
                <w:sz w:val="22"/>
              </w:rPr>
              <w:t>2</w:t>
            </w:r>
          </w:p>
          <w:p>
            <w:pPr>
              <w:keepLines/>
              <w:spacing w:before="0" w:after="40" w:line="180" w:lineRule="auto"/>
              <w:ind w:left="0" w:right="0" w:firstLine="0"/>
              <w:jc w:val="center"/>
            </w:pPr>
            <w:r>
              <w:rPr>
                <w:rFonts w:ascii="IBM Plex Sans" w:hAnsi="IBM Plex Sans" w:cs="IBM Plex Sans" w:eastAsia="IBM Plex Sans"/>
                <w:b w:val="0"/>
                <w:i w:val="0"/>
                <w:color w:val="FFFFFF"/>
                <w:sz w:val="13"/>
              </w:rPr>
              <w:t>1 × 2</w:t>
            </w:r>
          </w:p>
        </w:tc>
      </w:tr>
      <w:tr>
        <w:trPr>
          <w:cantSplit/>
        </w:trPr>
        <w:tc>
          <w:tcPr>
            <w:tcW w:w="2000" w:type="dxa"/>
          </w:tcPr>
          <w:p>
            <w:pPr>
              <w:keepLines/>
              <w:spacing w:before="10" w:after="0" w:line="240" w:lineRule="auto"/>
              <w:ind w:left="0" w:right="0" w:firstLine="0"/>
              <w:jc w:val="left"/>
            </w:pPr>
            <w:r/>
            <w:r>
              <w:rPr>
                <w:rFonts w:ascii="IBM Plex Sans" w:hAnsi="IBM Plex Sans" w:cs="IBM Plex Sans" w:eastAsia="IBM Plex Sans"/>
                <w:b/>
                <w:i w:val="0"/>
                <w:color w:val="1A1A1A"/>
                <w:sz w:val="17"/>
              </w:rPr>
              <w:t>Adverse weather or unsuitable ground</w:t>
            </w:r>
          </w:p>
        </w:tc>
        <w:tc>
          <w:tcPr>
            <w:tcW w:w="1400" w:type="dxa"/>
          </w:tcPr>
          <w:p>
            <w:pPr>
              <w:keepLines/>
              <w:spacing w:before="10" w:after="0" w:line="240" w:lineRule="auto"/>
              <w:ind w:left="0" w:right="0" w:firstLine="0"/>
              <w:jc w:val="left"/>
            </w:pPr>
            <w:r/>
            <w:r>
              <w:rPr>
                <w:rFonts w:ascii="IBM Plex Sans" w:hAnsi="IBM Plex Sans" w:cs="IBM Plex Sans" w:eastAsia="IBM Plex Sans"/>
                <w:b w:val="0"/>
                <w:i w:val="0"/>
                <w:color w:val="5F5F5F"/>
                <w:sz w:val="17"/>
              </w:rPr>
              <w:t>Operatives, environment</w:t>
            </w:r>
          </w:p>
        </w:tc>
        <w:tc>
          <w:tcPr>
            <w:tcW w:w="700" w:type="dxa"/>
            <w:shd w:val="clear" w:color="auto" w:fill="E0A100"/>
            <w:tcMar>
              <w:top w:w="60" w:type="dxa"/>
              <w:left w:w="20" w:type="dxa"/>
              <w:bottom w:w="40" w:type="dxa"/>
              <w:right w:w="20" w:type="dxa"/>
            </w:tcMar>
            <w:vAlign w:val="center"/>
          </w:tcPr>
          <w:p>
            <w:pPr>
              <w:keepLines/>
              <w:spacing w:before="30" w:after="0" w:line="220" w:lineRule="auto"/>
              <w:ind w:left="0" w:right="0" w:firstLine="0"/>
              <w:jc w:val="center"/>
            </w:pPr>
            <w:r/>
            <w:r>
              <w:rPr>
                <w:rFonts w:ascii="IBM Plex Sans" w:hAnsi="IBM Plex Sans" w:cs="IBM Plex Sans" w:eastAsia="IBM Plex Sans"/>
                <w:b/>
                <w:i w:val="0"/>
                <w:color w:val="FFFFFF"/>
                <w:sz w:val="22"/>
              </w:rPr>
              <w:t>6</w:t>
            </w:r>
          </w:p>
          <w:p>
            <w:pPr>
              <w:keepLines/>
              <w:spacing w:before="0" w:after="40" w:line="180" w:lineRule="auto"/>
              <w:ind w:left="0" w:right="0" w:firstLine="0"/>
              <w:jc w:val="center"/>
            </w:pPr>
            <w:r>
              <w:rPr>
                <w:rFonts w:ascii="IBM Plex Sans" w:hAnsi="IBM Plex Sans" w:cs="IBM Plex Sans" w:eastAsia="IBM Plex Sans"/>
                <w:b w:val="0"/>
                <w:i w:val="0"/>
                <w:color w:val="FFFFFF"/>
                <w:sz w:val="13"/>
              </w:rPr>
              <w:t>2 × 3</w:t>
            </w:r>
          </w:p>
        </w:tc>
        <w:tc>
          <w:tcPr>
            <w:tcW w:w="4271" w:type="dxa"/>
          </w:tcPr>
          <w:p>
            <w:pPr>
              <w:keepLines/>
              <w:spacing w:before="10" w:after="0" w:line="240" w:lineRule="auto"/>
              <w:ind w:left="0" w:right="0" w:firstLine="0"/>
              <w:jc w:val="left"/>
            </w:pPr>
            <w:r/>
            <w:r>
              <w:rPr>
                <w:rFonts w:ascii="IBM Plex Sans" w:hAnsi="IBM Plex Sans" w:cs="IBM Plex Sans" w:eastAsia="IBM Plex Sans"/>
                <w:b w:val="0"/>
                <w:i w:val="0"/>
                <w:color w:val="1A1A1A"/>
                <w:sz w:val="17"/>
              </w:rPr>
              <w:t>Operation postponed during electrical storms; ground assessed for bearing capacity and level before positioning; no operation on unconsolidated ground</w:t>
            </w:r>
          </w:p>
        </w:tc>
        <w:tc>
          <w:tcPr>
            <w:tcW w:w="700" w:type="dxa"/>
            <w:shd w:val="clear" w:color="auto" w:fill="3B8F4A"/>
            <w:tcMar>
              <w:top w:w="60" w:type="dxa"/>
              <w:left w:w="20" w:type="dxa"/>
              <w:bottom w:w="40" w:type="dxa"/>
              <w:right w:w="20" w:type="dxa"/>
            </w:tcMar>
            <w:vAlign w:val="center"/>
          </w:tcPr>
          <w:p>
            <w:pPr>
              <w:keepLines/>
              <w:spacing w:before="30" w:after="0" w:line="220" w:lineRule="auto"/>
              <w:ind w:left="0" w:right="0" w:firstLine="0"/>
              <w:jc w:val="center"/>
            </w:pPr>
            <w:r/>
            <w:r>
              <w:rPr>
                <w:rFonts w:ascii="IBM Plex Sans" w:hAnsi="IBM Plex Sans" w:cs="IBM Plex Sans" w:eastAsia="IBM Plex Sans"/>
                <w:b/>
                <w:i w:val="0"/>
                <w:color w:val="FFFFFF"/>
                <w:sz w:val="22"/>
              </w:rPr>
              <w:t>2</w:t>
            </w:r>
          </w:p>
          <w:p>
            <w:pPr>
              <w:keepLines/>
              <w:spacing w:before="0" w:after="40" w:line="180" w:lineRule="auto"/>
              <w:ind w:left="0" w:right="0" w:firstLine="0"/>
              <w:jc w:val="center"/>
            </w:pPr>
            <w:r>
              <w:rPr>
                <w:rFonts w:ascii="IBM Plex Sans" w:hAnsi="IBM Plex Sans" w:cs="IBM Plex Sans" w:eastAsia="IBM Plex Sans"/>
                <w:b w:val="0"/>
                <w:i w:val="0"/>
                <w:color w:val="FFFFFF"/>
                <w:sz w:val="13"/>
              </w:rPr>
              <w:t>1 × 2</w:t>
            </w:r>
          </w:p>
        </w:tc>
      </w:tr>
      <w:tr>
        <w:trPr>
          <w:cantSplit/>
        </w:trPr>
        <w:tc>
          <w:tcPr>
            <w:tcW w:w="2000" w:type="dxa"/>
            <w:shd w:val="clear" w:color="auto" w:fill="FAFAFA"/>
          </w:tcPr>
          <w:p>
            <w:pPr>
              <w:keepLines/>
              <w:spacing w:before="10" w:after="0" w:line="240" w:lineRule="auto"/>
              <w:ind w:left="0" w:right="0" w:firstLine="0"/>
              <w:jc w:val="left"/>
            </w:pPr>
            <w:r/>
            <w:r>
              <w:rPr>
                <w:rFonts w:ascii="IBM Plex Sans" w:hAnsi="IBM Plex Sans" w:cs="IBM Plex Sans" w:eastAsia="IBM Plex Sans"/>
                <w:b/>
                <w:i w:val="0"/>
                <w:color w:val="1A1A1A"/>
                <w:sz w:val="17"/>
              </w:rPr>
              <w:t>Unauthorised persons entering the working area</w:t>
            </w:r>
          </w:p>
        </w:tc>
        <w:tc>
          <w:tcPr>
            <w:tcW w:w="1400" w:type="dxa"/>
            <w:shd w:val="clear" w:color="auto" w:fill="FAFAFA"/>
          </w:tcPr>
          <w:p>
            <w:pPr>
              <w:keepLines/>
              <w:spacing w:before="10" w:after="0" w:line="240" w:lineRule="auto"/>
              <w:ind w:left="0" w:right="0" w:firstLine="0"/>
              <w:jc w:val="left"/>
            </w:pPr>
            <w:r/>
            <w:r>
              <w:rPr>
                <w:rFonts w:ascii="IBM Plex Sans" w:hAnsi="IBM Plex Sans" w:cs="IBM Plex Sans" w:eastAsia="IBM Plex Sans"/>
                <w:b w:val="0"/>
                <w:i w:val="0"/>
                <w:color w:val="5F5F5F"/>
                <w:sz w:val="17"/>
              </w:rPr>
              <w:t>Third parties</w:t>
            </w:r>
          </w:p>
        </w:tc>
        <w:tc>
          <w:tcPr>
            <w:tcW w:w="700" w:type="dxa"/>
            <w:shd w:val="clear" w:color="auto" w:fill="E0A100"/>
            <w:tcMar>
              <w:top w:w="60" w:type="dxa"/>
              <w:left w:w="20" w:type="dxa"/>
              <w:bottom w:w="40" w:type="dxa"/>
              <w:right w:w="20" w:type="dxa"/>
            </w:tcMar>
            <w:vAlign w:val="center"/>
          </w:tcPr>
          <w:p>
            <w:pPr>
              <w:keepLines/>
              <w:spacing w:before="30" w:after="0" w:line="220" w:lineRule="auto"/>
              <w:ind w:left="0" w:right="0" w:firstLine="0"/>
              <w:jc w:val="center"/>
            </w:pPr>
            <w:r/>
            <w:r>
              <w:rPr>
                <w:rFonts w:ascii="IBM Plex Sans" w:hAnsi="IBM Plex Sans" w:cs="IBM Plex Sans" w:eastAsia="IBM Plex Sans"/>
                <w:b/>
                <w:i w:val="0"/>
                <w:color w:val="FFFFFF"/>
                <w:sz w:val="22"/>
              </w:rPr>
              <w:t>9</w:t>
            </w:r>
          </w:p>
          <w:p>
            <w:pPr>
              <w:keepLines/>
              <w:spacing w:before="0" w:after="40" w:line="180" w:lineRule="auto"/>
              <w:ind w:left="0" w:right="0" w:firstLine="0"/>
              <w:jc w:val="center"/>
            </w:pPr>
            <w:r>
              <w:rPr>
                <w:rFonts w:ascii="IBM Plex Sans" w:hAnsi="IBM Plex Sans" w:cs="IBM Plex Sans" w:eastAsia="IBM Plex Sans"/>
                <w:b w:val="0"/>
                <w:i w:val="0"/>
                <w:color w:val="FFFFFF"/>
                <w:sz w:val="13"/>
              </w:rPr>
              <w:t>3 × 3</w:t>
            </w:r>
          </w:p>
        </w:tc>
        <w:tc>
          <w:tcPr>
            <w:tcW w:w="4271" w:type="dxa"/>
            <w:shd w:val="clear" w:color="auto" w:fill="FAFAFA"/>
          </w:tcPr>
          <w:p>
            <w:pPr>
              <w:keepLines/>
              <w:spacing w:before="10" w:after="0" w:line="240" w:lineRule="auto"/>
              <w:ind w:left="0" w:right="0" w:firstLine="0"/>
              <w:jc w:val="left"/>
            </w:pPr>
            <w:r/>
            <w:r>
              <w:rPr>
                <w:rFonts w:ascii="IBM Plex Sans" w:hAnsi="IBM Plex Sans" w:cs="IBM Plex Sans" w:eastAsia="IBM Plex Sans"/>
                <w:b w:val="0"/>
                <w:i w:val="0"/>
                <w:color w:val="1A1A1A"/>
                <w:sz w:val="17"/>
              </w:rPr>
              <w:t>Rigid barriers and signage; two attendants present; the area is not left unattended at any time during the transfer</w:t>
            </w:r>
          </w:p>
        </w:tc>
        <w:tc>
          <w:tcPr>
            <w:tcW w:w="700" w:type="dxa"/>
            <w:shd w:val="clear" w:color="auto" w:fill="3B8F4A"/>
            <w:tcMar>
              <w:top w:w="60" w:type="dxa"/>
              <w:left w:w="20" w:type="dxa"/>
              <w:bottom w:w="40" w:type="dxa"/>
              <w:right w:w="20" w:type="dxa"/>
            </w:tcMar>
            <w:vAlign w:val="center"/>
          </w:tcPr>
          <w:p>
            <w:pPr>
              <w:keepLines/>
              <w:spacing w:before="30" w:after="0" w:line="220" w:lineRule="auto"/>
              <w:ind w:left="0" w:right="0" w:firstLine="0"/>
              <w:jc w:val="center"/>
            </w:pPr>
            <w:r/>
            <w:r>
              <w:rPr>
                <w:rFonts w:ascii="IBM Plex Sans" w:hAnsi="IBM Plex Sans" w:cs="IBM Plex Sans" w:eastAsia="IBM Plex Sans"/>
                <w:b/>
                <w:i w:val="0"/>
                <w:color w:val="FFFFFF"/>
                <w:sz w:val="22"/>
              </w:rPr>
              <w:t>3</w:t>
            </w:r>
          </w:p>
          <w:p>
            <w:pPr>
              <w:keepLines/>
              <w:spacing w:before="0" w:after="40" w:line="180" w:lineRule="auto"/>
              <w:ind w:left="0" w:right="0" w:firstLine="0"/>
              <w:jc w:val="center"/>
            </w:pPr>
            <w:r>
              <w:rPr>
                <w:rFonts w:ascii="IBM Plex Sans" w:hAnsi="IBM Plex Sans" w:cs="IBM Plex Sans" w:eastAsia="IBM Plex Sans"/>
                <w:b w:val="0"/>
                <w:i w:val="0"/>
                <w:color w:val="FFFFFF"/>
                <w:sz w:val="13"/>
              </w:rPr>
              <w:t>1 × 3</w:t>
            </w:r>
          </w:p>
        </w:tc>
      </w:tr>
      <w:tr>
        <w:trPr>
          <w:cantSplit/>
        </w:trPr>
        <w:tc>
          <w:tcPr>
            <w:tcW w:w="2000" w:type="dxa"/>
          </w:tcPr>
          <w:p>
            <w:pPr>
              <w:keepLines/>
              <w:spacing w:before="10" w:after="0" w:line="240" w:lineRule="auto"/>
              <w:ind w:left="0" w:right="0" w:firstLine="0"/>
              <w:jc w:val="left"/>
            </w:pPr>
            <w:r/>
            <w:r>
              <w:rPr>
                <w:rFonts w:ascii="IBM Plex Sans" w:hAnsi="IBM Plex Sans" w:cs="IBM Plex Sans" w:eastAsia="IBM Plex Sans"/>
                <w:b/>
                <w:i w:val="0"/>
                <w:color w:val="1A1A1A"/>
                <w:sz w:val="17"/>
              </w:rPr>
              <w:t>Interference with access routes or other trades</w:t>
            </w:r>
          </w:p>
        </w:tc>
        <w:tc>
          <w:tcPr>
            <w:tcW w:w="1400" w:type="dxa"/>
          </w:tcPr>
          <w:p>
            <w:pPr>
              <w:keepLines/>
              <w:spacing w:before="10" w:after="0" w:line="240" w:lineRule="auto"/>
              <w:ind w:left="0" w:right="0" w:firstLine="0"/>
              <w:jc w:val="left"/>
            </w:pPr>
            <w:r/>
            <w:r>
              <w:rPr>
                <w:rFonts w:ascii="IBM Plex Sans" w:hAnsi="IBM Plex Sans" w:cs="IBM Plex Sans" w:eastAsia="IBM Plex Sans"/>
                <w:b w:val="0"/>
                <w:i w:val="0"/>
                <w:color w:val="5F5F5F"/>
                <w:sz w:val="17"/>
              </w:rPr>
              <w:t>Site personnel</w:t>
            </w:r>
          </w:p>
        </w:tc>
        <w:tc>
          <w:tcPr>
            <w:tcW w:w="700" w:type="dxa"/>
            <w:shd w:val="clear" w:color="auto" w:fill="E0A100"/>
            <w:tcMar>
              <w:top w:w="60" w:type="dxa"/>
              <w:left w:w="20" w:type="dxa"/>
              <w:bottom w:w="40" w:type="dxa"/>
              <w:right w:w="20" w:type="dxa"/>
            </w:tcMar>
            <w:vAlign w:val="center"/>
          </w:tcPr>
          <w:p>
            <w:pPr>
              <w:keepLines/>
              <w:spacing w:before="30" w:after="0" w:line="220" w:lineRule="auto"/>
              <w:ind w:left="0" w:right="0" w:firstLine="0"/>
              <w:jc w:val="center"/>
            </w:pPr>
            <w:r/>
            <w:r>
              <w:rPr>
                <w:rFonts w:ascii="IBM Plex Sans" w:hAnsi="IBM Plex Sans" w:cs="IBM Plex Sans" w:eastAsia="IBM Plex Sans"/>
                <w:b/>
                <w:i w:val="0"/>
                <w:color w:val="FFFFFF"/>
                <w:sz w:val="22"/>
              </w:rPr>
              <w:t>6</w:t>
            </w:r>
          </w:p>
          <w:p>
            <w:pPr>
              <w:keepLines/>
              <w:spacing w:before="0" w:after="40" w:line="180" w:lineRule="auto"/>
              <w:ind w:left="0" w:right="0" w:firstLine="0"/>
              <w:jc w:val="center"/>
            </w:pPr>
            <w:r>
              <w:rPr>
                <w:rFonts w:ascii="IBM Plex Sans" w:hAnsi="IBM Plex Sans" w:cs="IBM Plex Sans" w:eastAsia="IBM Plex Sans"/>
                <w:b w:val="0"/>
                <w:i w:val="0"/>
                <w:color w:val="FFFFFF"/>
                <w:sz w:val="13"/>
              </w:rPr>
              <w:t>2 × 3</w:t>
            </w:r>
          </w:p>
        </w:tc>
        <w:tc>
          <w:tcPr>
            <w:tcW w:w="4271" w:type="dxa"/>
          </w:tcPr>
          <w:p>
            <w:pPr>
              <w:keepLines/>
              <w:spacing w:before="10" w:after="0" w:line="240" w:lineRule="auto"/>
              <w:ind w:left="0" w:right="0" w:firstLine="0"/>
              <w:jc w:val="left"/>
            </w:pPr>
            <w:r/>
            <w:r>
              <w:rPr>
                <w:rFonts w:ascii="IBM Plex Sans" w:hAnsi="IBM Plex Sans" w:cs="IBM Plex Sans" w:eastAsia="IBM Plex Sans"/>
                <w:b w:val="0"/>
                <w:i w:val="0"/>
                <w:color w:val="1A1A1A"/>
                <w:sz w:val="17"/>
              </w:rPr>
              <w:t>Route and standing position agreed with DPR in advance; activity announced at the daily briefing; transfer paused if access through the area is required; emergency routes kept clear at all times</w:t>
            </w:r>
          </w:p>
        </w:tc>
        <w:tc>
          <w:tcPr>
            <w:tcW w:w="700" w:type="dxa"/>
            <w:shd w:val="clear" w:color="auto" w:fill="3B8F4A"/>
            <w:tcMar>
              <w:top w:w="60" w:type="dxa"/>
              <w:left w:w="20" w:type="dxa"/>
              <w:bottom w:w="40" w:type="dxa"/>
              <w:right w:w="20" w:type="dxa"/>
            </w:tcMar>
            <w:vAlign w:val="center"/>
          </w:tcPr>
          <w:p>
            <w:pPr>
              <w:keepLines/>
              <w:spacing w:before="30" w:after="0" w:line="220" w:lineRule="auto"/>
              <w:ind w:left="0" w:right="0" w:firstLine="0"/>
              <w:jc w:val="center"/>
            </w:pPr>
            <w:r/>
            <w:r>
              <w:rPr>
                <w:rFonts w:ascii="IBM Plex Sans" w:hAnsi="IBM Plex Sans" w:cs="IBM Plex Sans" w:eastAsia="IBM Plex Sans"/>
                <w:b/>
                <w:i w:val="0"/>
                <w:color w:val="FFFFFF"/>
                <w:sz w:val="22"/>
              </w:rPr>
              <w:t>2</w:t>
            </w:r>
          </w:p>
          <w:p>
            <w:pPr>
              <w:keepLines/>
              <w:spacing w:before="0" w:after="40" w:line="180" w:lineRule="auto"/>
              <w:ind w:left="0" w:right="0" w:firstLine="0"/>
              <w:jc w:val="center"/>
            </w:pPr>
            <w:r>
              <w:rPr>
                <w:rFonts w:ascii="IBM Plex Sans" w:hAnsi="IBM Plex Sans" w:cs="IBM Plex Sans" w:eastAsia="IBM Plex Sans"/>
                <w:b w:val="0"/>
                <w:i w:val="0"/>
                <w:color w:val="FFFFFF"/>
                <w:sz w:val="13"/>
              </w:rPr>
              <w:t>1 × 2</w:t>
            </w:r>
          </w:p>
        </w:tc>
      </w:tr>
    </w:tbl>
    <w:p>
      <w:pPr>
        <w:pStyle w:val="Fliesstext"/>
        <w:keepLines/>
        <w:spacing w:before="0" w:after="140" w:line="240" w:lineRule="auto"/>
      </w:pPr>
      <w:r>
        <w:rPr>
          <w:rFonts w:ascii="IBM Plex Sans" w:hAnsi="IBM Plex Sans" w:cs="IBM Plex Sans" w:eastAsia="IBM Plex Sans"/>
          <w:b w:val="0"/>
          <w:i w:val="0"/>
          <w:color w:val="1A1A1A"/>
          <w:sz w:val="4"/>
        </w:rPr>
      </w:r>
    </w:p>
    <w:p>
      <w:pPr>
        <w:pStyle w:val="berschrift"/>
        <w:keepNext/>
        <w:keepLines/>
        <w:pBdr>
          <w:bottom w:val="single" w:sz="8" w:space="4" w:color="E00036"/>
        </w:pBdr>
        <w:spacing w:before="360" w:after="60"/>
      </w:pPr>
      <w:r>
        <w:rPr>
          <w:rFonts w:ascii="Alata" w:hAnsi="Alata" w:cs="Alata" w:eastAsia="Alata"/>
          <w:b w:val="0"/>
          <w:i w:val="0"/>
          <w:color w:val="E00036"/>
          <w:sz w:val="36"/>
        </w:rPr>
        <w:t xml:space="preserve">9   </w:t>
      </w:r>
      <w:r>
        <w:rPr>
          <w:rFonts w:ascii="Alata" w:hAnsi="Alata" w:cs="Alata" w:eastAsia="Alata"/>
          <w:b w:val="0"/>
          <w:i w:val="0"/>
          <w:color w:val="E00036"/>
          <w:sz w:val="36"/>
        </w:rPr>
        <w:t>Personal Protective Equipment</w:t>
      </w:r>
    </w:p>
    <w:p>
      <w:pPr>
        <w:pStyle w:val="Fliesstext"/>
        <w:pBdr>
          <w:left w:val="single" w:sz="18" w:space="8" w:color="E00036"/>
        </w:pBdr>
        <w:shd w:val="clear" w:color="auto" w:fill="F4F4F5"/>
        <w:spacing w:before="120" w:after="160" w:line="250" w:lineRule="auto"/>
        <w:ind w:left="170" w:right="113"/>
        <w:jc w:val="left"/>
      </w:pPr>
      <w:r>
        <w:rPr>
          <w:rFonts w:ascii="IBM Plex Sans" w:hAnsi="IBM Plex Sans" w:cs="IBM Plex Sans" w:eastAsia="IBM Plex Sans"/>
          <w:b w:val="0"/>
          <w:i w:val="0"/>
          <w:color w:val="1A1A1A"/>
          <w:sz w:val="19"/>
        </w:rPr>
        <w:t>PPE is the final layer of control and does not replace the engineering and administrative measures set out above.</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Safety footwear, safety helmet, high-visibility clothing and long trousers at all times on site</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Fuel-resistant gloves (nitrile) for connection, disconnection and any handling of fuel or contaminated material</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Safety glasses for connection and disconnection</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Any additional PPE required by the site-specific rules of DPR Construction</w:t>
      </w:r>
    </w:p>
    <w:p>
      <w:pPr>
        <w:pStyle w:val="berschrift"/>
        <w:keepNext/>
        <w:keepLines/>
        <w:pBdr>
          <w:bottom w:val="single" w:sz="8" w:space="4" w:color="E00036"/>
        </w:pBdr>
        <w:spacing w:before="360" w:after="60"/>
      </w:pPr>
      <w:r>
        <w:rPr>
          <w:rFonts w:ascii="Alata" w:hAnsi="Alata" w:cs="Alata" w:eastAsia="Alata"/>
          <w:b w:val="0"/>
          <w:i w:val="0"/>
          <w:color w:val="E00036"/>
          <w:sz w:val="36"/>
        </w:rPr>
        <w:t xml:space="preserve">10   </w:t>
      </w:r>
      <w:r>
        <w:rPr>
          <w:rFonts w:ascii="Alata" w:hAnsi="Alata" w:cs="Alata" w:eastAsia="Alata"/>
          <w:b w:val="0"/>
          <w:i w:val="0"/>
          <w:color w:val="E00036"/>
          <w:sz w:val="36"/>
        </w:rPr>
        <w:t>Environmental Controls and Waste</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Double-walled tank with integrated secondary containment maintained throughout the rental period</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Drip tray beneath every coupling point during transfer</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Spill kit held at the delivery point, comprising absorbent pads and granulate, a drain cover, sealable waste bags, gloves and a scoop; contents checked before each delivery and replenished after any use</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Safety data sheet for HVO held at the point of use and provided to DPR on request</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No discharge of any liquid from the containment or drip trays to ground, drainage or surface water under any circumstances</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Contaminated absorbent material collected in sealed containers and disposed of as hazardous waste through an approved route in accordance with VeVA; disposal documentation retained and available to DPR</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Deliveries recorded in the project fuel log and reported to DPR as part of routine site reporting</w:t>
      </w:r>
    </w:p>
    <w:p>
      <w:pPr>
        <w:pStyle w:val="berschrift"/>
        <w:keepNext/>
        <w:keepLines/>
        <w:pBdr>
          <w:bottom w:val="single" w:sz="8" w:space="4" w:color="E00036"/>
        </w:pBdr>
        <w:spacing w:before="360" w:after="60"/>
      </w:pPr>
      <w:r>
        <w:rPr>
          <w:rFonts w:ascii="Alata" w:hAnsi="Alata" w:cs="Alata" w:eastAsia="Alata"/>
          <w:b w:val="0"/>
          <w:i w:val="0"/>
          <w:color w:val="E00036"/>
          <w:sz w:val="36"/>
        </w:rPr>
        <w:t xml:space="preserve">11   </w:t>
      </w:r>
      <w:r>
        <w:rPr>
          <w:rFonts w:ascii="Alata" w:hAnsi="Alata" w:cs="Alata" w:eastAsia="Alata"/>
          <w:b w:val="0"/>
          <w:i w:val="0"/>
          <w:color w:val="E00036"/>
          <w:sz w:val="36"/>
        </w:rPr>
        <w:t>Emergency Arrangements</w:t>
      </w:r>
    </w:p>
    <w:p>
      <w:pPr>
        <w:pStyle w:val="Unterberschrift"/>
        <w:keepNext/>
        <w:keepLines/>
        <w:spacing w:before="280" w:after="80"/>
      </w:pPr>
      <w:r>
        <w:rPr>
          <w:rFonts w:ascii="Alata" w:hAnsi="Alata" w:cs="Alata" w:eastAsia="Alata"/>
          <w:b w:val="0"/>
          <w:i w:val="0"/>
          <w:color w:val="E00036"/>
          <w:sz w:val="25"/>
        </w:rPr>
        <w:t>11.1  Spillage</w:t>
      </w:r>
    </w:p>
    <w:tbl>
      <w:tblPr>
        <w:tblW w:w="9071" w:type="dxa"/>
        <w:tblInd w:w="0" w:type="dxa"/>
        <w:tblBorders>
          <w:top w:val="none" w:sz="0" w:space="0" w:color="auto"/>
          <w:left w:val="none" w:sz="0" w:space="0" w:color="auto"/>
          <w:bottom w:val="none" w:sz="0" w:space="0" w:color="auto"/>
          <w:right w:val="none" w:sz="0" w:space="0" w:color="auto"/>
          <w:insideH w:val="single" w:sz="12" w:space="0" w:color="FFFFFF"/>
          <w:insideV w:val="none" w:sz="0" w:space="0" w:color="auto"/>
        </w:tblBorders>
        <w:tblLayout w:type="fixed"/>
        <w:tblCellMar>
          <w:top w:w="70" w:type="dxa"/>
          <w:left w:w="100" w:type="dxa"/>
          <w:bottom w:w="70" w:type="dxa"/>
          <w:right w:w="100" w:type="dxa"/>
        </w:tblCellMar>
        <w:tblLook w:val="04A0" w:firstRow="1" w:lastRow="0" w:firstColumn="1" w:lastColumn="0" w:noHBand="0" w:noVBand="1"/>
        <w:jc w:val="left"/>
      </w:tblPr>
      <w:tblGrid>
        <w:gridCol w:w="660"/>
        <w:gridCol w:w="8411"/>
      </w:tblGrid>
      <w:tr>
        <w:trPr>
          <w:cantSplit/>
        </w:trPr>
        <w:tc>
          <w:tcPr>
            <w:tcW w:w="660" w:type="dxa"/>
            <w:shd w:val="clear" w:color="auto" w:fill="E00036"/>
            <w:tcMar>
              <w:top w:w="90" w:type="dxa"/>
              <w:left w:w="30" w:type="dxa"/>
              <w:bottom w:w="120" w:type="dxa"/>
              <w:right w:w="30" w:type="dxa"/>
            </w:tcMar>
          </w:tcPr>
          <w:p>
            <w:pPr>
              <w:keepLines/>
              <w:spacing w:before="10" w:after="0" w:line="240" w:lineRule="auto"/>
              <w:ind w:left="0" w:right="0" w:firstLine="0"/>
              <w:jc w:val="center"/>
            </w:pPr>
            <w:r/>
            <w:r>
              <w:rPr>
                <w:rFonts w:ascii="IBM Plex Sans" w:hAnsi="IBM Plex Sans" w:cs="IBM Plex Sans" w:eastAsia="IBM Plex Sans"/>
                <w:b/>
                <w:i w:val="0"/>
                <w:color w:val="FFFFFF"/>
                <w:sz w:val="20"/>
              </w:rPr>
              <w:t>1</w:t>
            </w:r>
          </w:p>
        </w:tc>
        <w:tc>
          <w:tcPr>
            <w:tcW w:w="8411" w:type="dxa"/>
            <w:tcMar>
              <w:left w:w="200" w:type="dxa"/>
              <w:bottom w:w="140" w:type="dxa"/>
            </w:tcMar>
          </w:tcPr>
          <w:p>
            <w:pPr>
              <w:keepLines/>
              <w:spacing w:before="10" w:after="130" w:line="240" w:lineRule="auto"/>
              <w:ind w:left="0" w:right="0" w:firstLine="0"/>
              <w:jc w:val="both"/>
            </w:pPr>
            <w:r/>
            <w:r>
              <w:rPr>
                <w:rFonts w:ascii="IBM Plex Sans" w:hAnsi="IBM Plex Sans" w:cs="IBM Plex Sans" w:eastAsia="IBM Plex Sans"/>
                <w:b w:val="0"/>
                <w:i w:val="0"/>
                <w:color w:val="1A1A1A"/>
                <w:sz w:val="20"/>
              </w:rPr>
              <w:t>Stop the transfer immediately at the pump emergency stop.</w:t>
            </w:r>
          </w:p>
        </w:tc>
      </w:tr>
      <w:tr>
        <w:trPr>
          <w:cantSplit/>
        </w:trPr>
        <w:tc>
          <w:tcPr>
            <w:tcW w:w="660" w:type="dxa"/>
            <w:shd w:val="clear" w:color="auto" w:fill="E00036"/>
            <w:tcMar>
              <w:top w:w="90" w:type="dxa"/>
              <w:left w:w="30" w:type="dxa"/>
              <w:bottom w:w="120" w:type="dxa"/>
              <w:right w:w="30" w:type="dxa"/>
            </w:tcMar>
          </w:tcPr>
          <w:p>
            <w:pPr>
              <w:keepLines/>
              <w:spacing w:before="10" w:after="0" w:line="240" w:lineRule="auto"/>
              <w:ind w:left="0" w:right="0" w:firstLine="0"/>
              <w:jc w:val="center"/>
            </w:pPr>
            <w:r/>
            <w:r>
              <w:rPr>
                <w:rFonts w:ascii="IBM Plex Sans" w:hAnsi="IBM Plex Sans" w:cs="IBM Plex Sans" w:eastAsia="IBM Plex Sans"/>
                <w:b/>
                <w:i w:val="0"/>
                <w:color w:val="FFFFFF"/>
                <w:sz w:val="20"/>
              </w:rPr>
              <w:t>2</w:t>
            </w:r>
          </w:p>
        </w:tc>
        <w:tc>
          <w:tcPr>
            <w:tcW w:w="8411" w:type="dxa"/>
            <w:tcMar>
              <w:left w:w="200" w:type="dxa"/>
              <w:bottom w:w="140" w:type="dxa"/>
            </w:tcMar>
          </w:tcPr>
          <w:p>
            <w:pPr>
              <w:keepLines/>
              <w:spacing w:before="10" w:after="130" w:line="240" w:lineRule="auto"/>
              <w:ind w:left="0" w:right="0" w:firstLine="0"/>
              <w:jc w:val="both"/>
            </w:pPr>
            <w:r/>
            <w:r>
              <w:rPr>
                <w:rFonts w:ascii="IBM Plex Sans" w:hAnsi="IBM Plex Sans" w:cs="IBM Plex Sans" w:eastAsia="IBM Plex Sans"/>
                <w:b w:val="0"/>
                <w:i w:val="0"/>
                <w:color w:val="1A1A1A"/>
                <w:sz w:val="20"/>
              </w:rPr>
              <w:t>Contain the spill with absorbent material and place the drain cover to prevent migration towards drainage or unsealed ground.</w:t>
            </w:r>
          </w:p>
        </w:tc>
      </w:tr>
      <w:tr>
        <w:trPr>
          <w:cantSplit/>
        </w:trPr>
        <w:tc>
          <w:tcPr>
            <w:tcW w:w="660" w:type="dxa"/>
            <w:shd w:val="clear" w:color="auto" w:fill="E00036"/>
            <w:tcMar>
              <w:top w:w="90" w:type="dxa"/>
              <w:left w:w="30" w:type="dxa"/>
              <w:bottom w:w="120" w:type="dxa"/>
              <w:right w:w="30" w:type="dxa"/>
            </w:tcMar>
          </w:tcPr>
          <w:p>
            <w:pPr>
              <w:keepLines/>
              <w:spacing w:before="10" w:after="0" w:line="240" w:lineRule="auto"/>
              <w:ind w:left="0" w:right="0" w:firstLine="0"/>
              <w:jc w:val="center"/>
            </w:pPr>
            <w:r/>
            <w:r>
              <w:rPr>
                <w:rFonts w:ascii="IBM Plex Sans" w:hAnsi="IBM Plex Sans" w:cs="IBM Plex Sans" w:eastAsia="IBM Plex Sans"/>
                <w:b/>
                <w:i w:val="0"/>
                <w:color w:val="FFFFFF"/>
                <w:sz w:val="20"/>
              </w:rPr>
              <w:t>3</w:t>
            </w:r>
          </w:p>
        </w:tc>
        <w:tc>
          <w:tcPr>
            <w:tcW w:w="8411" w:type="dxa"/>
            <w:tcMar>
              <w:left w:w="200" w:type="dxa"/>
              <w:bottom w:w="140" w:type="dxa"/>
            </w:tcMar>
          </w:tcPr>
          <w:p>
            <w:pPr>
              <w:keepLines/>
              <w:spacing w:before="10" w:after="130" w:line="240" w:lineRule="auto"/>
              <w:ind w:left="0" w:right="0" w:firstLine="0"/>
              <w:jc w:val="both"/>
            </w:pPr>
            <w:r/>
            <w:r>
              <w:rPr>
                <w:rFonts w:ascii="IBM Plex Sans" w:hAnsi="IBM Plex Sans" w:cs="IBM Plex Sans" w:eastAsia="IBM Plex Sans"/>
                <w:b w:val="0"/>
                <w:i w:val="0"/>
                <w:color w:val="1A1A1A"/>
                <w:sz w:val="20"/>
              </w:rPr>
              <w:t>Notify DPR site management without delay.</w:t>
            </w:r>
          </w:p>
        </w:tc>
      </w:tr>
      <w:tr>
        <w:trPr>
          <w:cantSplit/>
        </w:trPr>
        <w:tc>
          <w:tcPr>
            <w:tcW w:w="660" w:type="dxa"/>
            <w:shd w:val="clear" w:color="auto" w:fill="E00036"/>
            <w:tcMar>
              <w:top w:w="90" w:type="dxa"/>
              <w:left w:w="30" w:type="dxa"/>
              <w:bottom w:w="120" w:type="dxa"/>
              <w:right w:w="30" w:type="dxa"/>
            </w:tcMar>
          </w:tcPr>
          <w:p>
            <w:pPr>
              <w:keepLines/>
              <w:spacing w:before="10" w:after="0" w:line="240" w:lineRule="auto"/>
              <w:ind w:left="0" w:right="0" w:firstLine="0"/>
              <w:jc w:val="center"/>
            </w:pPr>
            <w:r/>
            <w:r>
              <w:rPr>
                <w:rFonts w:ascii="IBM Plex Sans" w:hAnsi="IBM Plex Sans" w:cs="IBM Plex Sans" w:eastAsia="IBM Plex Sans"/>
                <w:b/>
                <w:i w:val="0"/>
                <w:color w:val="FFFFFF"/>
                <w:sz w:val="20"/>
              </w:rPr>
              <w:t>4</w:t>
            </w:r>
          </w:p>
        </w:tc>
        <w:tc>
          <w:tcPr>
            <w:tcW w:w="8411" w:type="dxa"/>
            <w:tcMar>
              <w:left w:w="200" w:type="dxa"/>
              <w:bottom w:w="140" w:type="dxa"/>
            </w:tcMar>
          </w:tcPr>
          <w:p>
            <w:pPr>
              <w:keepLines/>
              <w:spacing w:before="10" w:after="130" w:line="240" w:lineRule="auto"/>
              <w:ind w:left="0" w:right="0" w:firstLine="0"/>
              <w:jc w:val="both"/>
            </w:pPr>
            <w:r/>
            <w:r>
              <w:rPr>
                <w:rFonts w:ascii="IBM Plex Sans" w:hAnsi="IBM Plex Sans" w:cs="IBM Plex Sans" w:eastAsia="IBM Plex Sans"/>
                <w:b w:val="0"/>
                <w:i w:val="0"/>
                <w:color w:val="1A1A1A"/>
                <w:sz w:val="20"/>
              </w:rPr>
              <w:t>Recover all contaminated material into sealed containers for disposal as hazardous waste.</w:t>
            </w:r>
          </w:p>
        </w:tc>
      </w:tr>
      <w:tr>
        <w:trPr>
          <w:cantSplit/>
        </w:trPr>
        <w:tc>
          <w:tcPr>
            <w:tcW w:w="660" w:type="dxa"/>
            <w:shd w:val="clear" w:color="auto" w:fill="E00036"/>
            <w:tcMar>
              <w:top w:w="90" w:type="dxa"/>
              <w:left w:w="30" w:type="dxa"/>
              <w:bottom w:w="120" w:type="dxa"/>
              <w:right w:w="30" w:type="dxa"/>
            </w:tcMar>
          </w:tcPr>
          <w:p>
            <w:pPr>
              <w:keepLines/>
              <w:spacing w:before="10" w:after="0" w:line="240" w:lineRule="auto"/>
              <w:ind w:left="0" w:right="0" w:firstLine="0"/>
              <w:jc w:val="center"/>
            </w:pPr>
            <w:r/>
            <w:r>
              <w:rPr>
                <w:rFonts w:ascii="IBM Plex Sans" w:hAnsi="IBM Plex Sans" w:cs="IBM Plex Sans" w:eastAsia="IBM Plex Sans"/>
                <w:b/>
                <w:i w:val="0"/>
                <w:color w:val="FFFFFF"/>
                <w:sz w:val="20"/>
              </w:rPr>
              <w:t>5</w:t>
            </w:r>
          </w:p>
        </w:tc>
        <w:tc>
          <w:tcPr>
            <w:tcW w:w="8411" w:type="dxa"/>
            <w:tcMar>
              <w:left w:w="200" w:type="dxa"/>
              <w:bottom w:w="140" w:type="dxa"/>
            </w:tcMar>
          </w:tcPr>
          <w:p>
            <w:pPr>
              <w:keepLines/>
              <w:spacing w:before="10" w:after="130" w:line="240" w:lineRule="auto"/>
              <w:ind w:left="0" w:right="0" w:firstLine="0"/>
              <w:jc w:val="both"/>
            </w:pPr>
            <w:r/>
            <w:r>
              <w:rPr>
                <w:rFonts w:ascii="IBM Plex Sans" w:hAnsi="IBM Plex Sans" w:cs="IBM Plex Sans" w:eastAsia="IBM Plex Sans"/>
                <w:b w:val="0"/>
                <w:i w:val="0"/>
                <w:color w:val="1A1A1A"/>
                <w:sz w:val="20"/>
              </w:rPr>
              <w:t>Record the incident and review this RAMS before the next delivery takes place.</w:t>
            </w:r>
          </w:p>
        </w:tc>
      </w:tr>
    </w:tbl>
    <w:p>
      <w:pPr>
        <w:pStyle w:val="Fliesstext"/>
        <w:keepLines/>
        <w:spacing w:before="0" w:after="60" w:line="240" w:lineRule="auto"/>
      </w:pPr>
      <w:r>
        <w:rPr>
          <w:rFonts w:ascii="IBM Plex Sans" w:hAnsi="IBM Plex Sans" w:cs="IBM Plex Sans" w:eastAsia="IBM Plex Sans"/>
          <w:b w:val="0"/>
          <w:i w:val="0"/>
          <w:color w:val="1A1A1A"/>
          <w:sz w:val="4"/>
        </w:rPr>
      </w:r>
    </w:p>
    <w:p>
      <w:pPr>
        <w:pStyle w:val="Unterberschrift"/>
        <w:keepNext/>
        <w:keepLines/>
        <w:spacing w:before="280" w:after="80"/>
      </w:pPr>
      <w:r>
        <w:rPr>
          <w:rFonts w:ascii="Alata" w:hAnsi="Alata" w:cs="Alata" w:eastAsia="Alata"/>
          <w:b w:val="0"/>
          <w:i w:val="0"/>
          <w:color w:val="E00036"/>
          <w:sz w:val="25"/>
        </w:rPr>
        <w:t>11.2  Fire</w:t>
      </w:r>
    </w:p>
    <w:tbl>
      <w:tblPr>
        <w:tblW w:w="9071" w:type="dxa"/>
        <w:tblInd w:w="0" w:type="dxa"/>
        <w:tblBorders>
          <w:top w:val="none" w:sz="0" w:space="0" w:color="auto"/>
          <w:left w:val="none" w:sz="0" w:space="0" w:color="auto"/>
          <w:bottom w:val="none" w:sz="0" w:space="0" w:color="auto"/>
          <w:right w:val="none" w:sz="0" w:space="0" w:color="auto"/>
          <w:insideH w:val="single" w:sz="12" w:space="0" w:color="FFFFFF"/>
          <w:insideV w:val="none" w:sz="0" w:space="0" w:color="auto"/>
        </w:tblBorders>
        <w:tblLayout w:type="fixed"/>
        <w:tblCellMar>
          <w:top w:w="70" w:type="dxa"/>
          <w:left w:w="100" w:type="dxa"/>
          <w:bottom w:w="70" w:type="dxa"/>
          <w:right w:w="100" w:type="dxa"/>
        </w:tblCellMar>
        <w:tblLook w:val="04A0" w:firstRow="1" w:lastRow="0" w:firstColumn="1" w:lastColumn="0" w:noHBand="0" w:noVBand="1"/>
        <w:jc w:val="left"/>
      </w:tblPr>
      <w:tblGrid>
        <w:gridCol w:w="660"/>
        <w:gridCol w:w="8411"/>
      </w:tblGrid>
      <w:tr>
        <w:trPr>
          <w:cantSplit/>
        </w:trPr>
        <w:tc>
          <w:tcPr>
            <w:tcW w:w="660" w:type="dxa"/>
            <w:shd w:val="clear" w:color="auto" w:fill="E00036"/>
            <w:tcMar>
              <w:top w:w="90" w:type="dxa"/>
              <w:left w:w="30" w:type="dxa"/>
              <w:bottom w:w="120" w:type="dxa"/>
              <w:right w:w="30" w:type="dxa"/>
            </w:tcMar>
          </w:tcPr>
          <w:p>
            <w:pPr>
              <w:keepLines/>
              <w:spacing w:before="10" w:after="0" w:line="240" w:lineRule="auto"/>
              <w:ind w:left="0" w:right="0" w:firstLine="0"/>
              <w:jc w:val="center"/>
            </w:pPr>
            <w:r/>
            <w:r>
              <w:rPr>
                <w:rFonts w:ascii="IBM Plex Sans" w:hAnsi="IBM Plex Sans" w:cs="IBM Plex Sans" w:eastAsia="IBM Plex Sans"/>
                <w:b/>
                <w:i w:val="0"/>
                <w:color w:val="FFFFFF"/>
                <w:sz w:val="20"/>
              </w:rPr>
              <w:t>1</w:t>
            </w:r>
          </w:p>
        </w:tc>
        <w:tc>
          <w:tcPr>
            <w:tcW w:w="8411" w:type="dxa"/>
            <w:tcMar>
              <w:left w:w="200" w:type="dxa"/>
              <w:bottom w:w="140" w:type="dxa"/>
            </w:tcMar>
          </w:tcPr>
          <w:p>
            <w:pPr>
              <w:keepLines/>
              <w:spacing w:before="10" w:after="130" w:line="240" w:lineRule="auto"/>
              <w:ind w:left="0" w:right="0" w:firstLine="0"/>
              <w:jc w:val="both"/>
            </w:pPr>
            <w:r/>
            <w:r>
              <w:rPr>
                <w:rFonts w:ascii="IBM Plex Sans" w:hAnsi="IBM Plex Sans" w:cs="IBM Plex Sans" w:eastAsia="IBM Plex Sans"/>
                <w:b w:val="0"/>
                <w:i w:val="0"/>
                <w:color w:val="1A1A1A"/>
                <w:sz w:val="20"/>
              </w:rPr>
              <w:t>Stop the transfer, raise the alarm and evacuate to the site assembly point.</w:t>
            </w:r>
          </w:p>
        </w:tc>
      </w:tr>
      <w:tr>
        <w:trPr>
          <w:cantSplit/>
        </w:trPr>
        <w:tc>
          <w:tcPr>
            <w:tcW w:w="660" w:type="dxa"/>
            <w:shd w:val="clear" w:color="auto" w:fill="E00036"/>
            <w:tcMar>
              <w:top w:w="90" w:type="dxa"/>
              <w:left w:w="30" w:type="dxa"/>
              <w:bottom w:w="120" w:type="dxa"/>
              <w:right w:w="30" w:type="dxa"/>
            </w:tcMar>
          </w:tcPr>
          <w:p>
            <w:pPr>
              <w:keepLines/>
              <w:spacing w:before="10" w:after="0" w:line="240" w:lineRule="auto"/>
              <w:ind w:left="0" w:right="0" w:firstLine="0"/>
              <w:jc w:val="center"/>
            </w:pPr>
            <w:r/>
            <w:r>
              <w:rPr>
                <w:rFonts w:ascii="IBM Plex Sans" w:hAnsi="IBM Plex Sans" w:cs="IBM Plex Sans" w:eastAsia="IBM Plex Sans"/>
                <w:b/>
                <w:i w:val="0"/>
                <w:color w:val="FFFFFF"/>
                <w:sz w:val="20"/>
              </w:rPr>
              <w:t>2</w:t>
            </w:r>
          </w:p>
        </w:tc>
        <w:tc>
          <w:tcPr>
            <w:tcW w:w="8411" w:type="dxa"/>
            <w:tcMar>
              <w:left w:w="200" w:type="dxa"/>
              <w:bottom w:w="140" w:type="dxa"/>
            </w:tcMar>
          </w:tcPr>
          <w:p>
            <w:pPr>
              <w:keepLines/>
              <w:spacing w:before="10" w:after="130" w:line="240" w:lineRule="auto"/>
              <w:ind w:left="0" w:right="0" w:firstLine="0"/>
              <w:jc w:val="both"/>
            </w:pPr>
            <w:r/>
            <w:r>
              <w:rPr>
                <w:rFonts w:ascii="IBM Plex Sans" w:hAnsi="IBM Plex Sans" w:cs="IBM Plex Sans" w:eastAsia="IBM Plex Sans"/>
                <w:b w:val="0"/>
                <w:i w:val="0"/>
                <w:color w:val="1A1A1A"/>
                <w:sz w:val="20"/>
              </w:rPr>
              <w:t>Tackle only a small incipient fire with the extinguisher provided, and only where it is safe to do so.</w:t>
            </w:r>
          </w:p>
        </w:tc>
      </w:tr>
      <w:tr>
        <w:trPr>
          <w:cantSplit/>
        </w:trPr>
        <w:tc>
          <w:tcPr>
            <w:tcW w:w="660" w:type="dxa"/>
            <w:shd w:val="clear" w:color="auto" w:fill="E00036"/>
            <w:tcMar>
              <w:top w:w="90" w:type="dxa"/>
              <w:left w:w="30" w:type="dxa"/>
              <w:bottom w:w="120" w:type="dxa"/>
              <w:right w:w="30" w:type="dxa"/>
            </w:tcMar>
          </w:tcPr>
          <w:p>
            <w:pPr>
              <w:keepLines/>
              <w:spacing w:before="10" w:after="0" w:line="240" w:lineRule="auto"/>
              <w:ind w:left="0" w:right="0" w:firstLine="0"/>
              <w:jc w:val="center"/>
            </w:pPr>
            <w:r/>
            <w:r>
              <w:rPr>
                <w:rFonts w:ascii="IBM Plex Sans" w:hAnsi="IBM Plex Sans" w:cs="IBM Plex Sans" w:eastAsia="IBM Plex Sans"/>
                <w:b/>
                <w:i w:val="0"/>
                <w:color w:val="FFFFFF"/>
                <w:sz w:val="20"/>
              </w:rPr>
              <w:t>3</w:t>
            </w:r>
          </w:p>
        </w:tc>
        <w:tc>
          <w:tcPr>
            <w:tcW w:w="8411" w:type="dxa"/>
            <w:tcMar>
              <w:left w:w="200" w:type="dxa"/>
              <w:bottom w:w="140" w:type="dxa"/>
            </w:tcMar>
          </w:tcPr>
          <w:p>
            <w:pPr>
              <w:keepLines/>
              <w:spacing w:before="10" w:after="130" w:line="240" w:lineRule="auto"/>
              <w:ind w:left="0" w:right="0" w:firstLine="0"/>
              <w:jc w:val="both"/>
            </w:pPr>
            <w:r/>
            <w:r>
              <w:rPr>
                <w:rFonts w:ascii="IBM Plex Sans" w:hAnsi="IBM Plex Sans" w:cs="IBM Plex Sans" w:eastAsia="IBM Plex Sans"/>
                <w:b w:val="0"/>
                <w:i w:val="0"/>
                <w:color w:val="1A1A1A"/>
                <w:sz w:val="20"/>
              </w:rPr>
              <w:t>Follow the DPR site emergency procedure and the instructions of site management.</w:t>
            </w:r>
          </w:p>
        </w:tc>
      </w:tr>
    </w:tbl>
    <w:p>
      <w:pPr>
        <w:pStyle w:val="Fliesstext"/>
        <w:keepLines/>
        <w:spacing w:before="0" w:after="60" w:line="240" w:lineRule="auto"/>
      </w:pPr>
      <w:r>
        <w:rPr>
          <w:rFonts w:ascii="IBM Plex Sans" w:hAnsi="IBM Plex Sans" w:cs="IBM Plex Sans" w:eastAsia="IBM Plex Sans"/>
          <w:b w:val="0"/>
          <w:i w:val="0"/>
          <w:color w:val="1A1A1A"/>
          <w:sz w:val="4"/>
        </w:rPr>
      </w:r>
    </w:p>
    <w:p>
      <w:pPr>
        <w:pStyle w:val="Unterberschrift"/>
        <w:keepNext/>
        <w:keepLines/>
        <w:spacing w:before="280" w:after="80"/>
      </w:pPr>
      <w:r>
        <w:rPr>
          <w:rFonts w:ascii="Alata" w:hAnsi="Alata" w:cs="Alata" w:eastAsia="Alata"/>
          <w:b w:val="0"/>
          <w:i w:val="0"/>
          <w:color w:val="E00036"/>
          <w:sz w:val="25"/>
        </w:rPr>
        <w:t>11.3  Injury or exposure</w:t>
      </w:r>
    </w:p>
    <w:tbl>
      <w:tblPr>
        <w:tblW w:w="9071" w:type="dxa"/>
        <w:tblInd w:w="0" w:type="dxa"/>
        <w:tblBorders>
          <w:top w:val="none" w:sz="0" w:space="0" w:color="auto"/>
          <w:left w:val="none" w:sz="0" w:space="0" w:color="auto"/>
          <w:bottom w:val="none" w:sz="0" w:space="0" w:color="auto"/>
          <w:right w:val="none" w:sz="0" w:space="0" w:color="auto"/>
          <w:insideH w:val="single" w:sz="12" w:space="0" w:color="FFFFFF"/>
          <w:insideV w:val="none" w:sz="0" w:space="0" w:color="auto"/>
        </w:tblBorders>
        <w:tblLayout w:type="fixed"/>
        <w:tblCellMar>
          <w:top w:w="70" w:type="dxa"/>
          <w:left w:w="100" w:type="dxa"/>
          <w:bottom w:w="70" w:type="dxa"/>
          <w:right w:w="100" w:type="dxa"/>
        </w:tblCellMar>
        <w:tblLook w:val="04A0" w:firstRow="1" w:lastRow="0" w:firstColumn="1" w:lastColumn="0" w:noHBand="0" w:noVBand="1"/>
        <w:jc w:val="left"/>
      </w:tblPr>
      <w:tblGrid>
        <w:gridCol w:w="660"/>
        <w:gridCol w:w="8411"/>
      </w:tblGrid>
      <w:tr>
        <w:trPr>
          <w:cantSplit/>
        </w:trPr>
        <w:tc>
          <w:tcPr>
            <w:tcW w:w="660" w:type="dxa"/>
            <w:shd w:val="clear" w:color="auto" w:fill="E00036"/>
            <w:tcMar>
              <w:top w:w="90" w:type="dxa"/>
              <w:left w:w="30" w:type="dxa"/>
              <w:bottom w:w="120" w:type="dxa"/>
              <w:right w:w="30" w:type="dxa"/>
            </w:tcMar>
          </w:tcPr>
          <w:p>
            <w:pPr>
              <w:keepLines/>
              <w:spacing w:before="10" w:after="0" w:line="240" w:lineRule="auto"/>
              <w:ind w:left="0" w:right="0" w:firstLine="0"/>
              <w:jc w:val="center"/>
            </w:pPr>
            <w:r/>
            <w:r>
              <w:rPr>
                <w:rFonts w:ascii="IBM Plex Sans" w:hAnsi="IBM Plex Sans" w:cs="IBM Plex Sans" w:eastAsia="IBM Plex Sans"/>
                <w:b/>
                <w:i w:val="0"/>
                <w:color w:val="FFFFFF"/>
                <w:sz w:val="20"/>
              </w:rPr>
              <w:t>1</w:t>
            </w:r>
          </w:p>
        </w:tc>
        <w:tc>
          <w:tcPr>
            <w:tcW w:w="8411" w:type="dxa"/>
            <w:tcMar>
              <w:left w:w="200" w:type="dxa"/>
              <w:bottom w:w="140" w:type="dxa"/>
            </w:tcMar>
          </w:tcPr>
          <w:p>
            <w:pPr>
              <w:keepLines/>
              <w:spacing w:before="10" w:after="130" w:line="240" w:lineRule="auto"/>
              <w:ind w:left="0" w:right="0" w:firstLine="0"/>
              <w:jc w:val="both"/>
            </w:pPr>
            <w:r/>
            <w:r>
              <w:rPr>
                <w:rFonts w:ascii="IBM Plex Sans" w:hAnsi="IBM Plex Sans" w:cs="IBM Plex Sans" w:eastAsia="IBM Plex Sans"/>
                <w:b w:val="0"/>
                <w:i w:val="0"/>
                <w:color w:val="1A1A1A"/>
                <w:sz w:val="20"/>
              </w:rPr>
              <w:t>Skin contact: wash the affected area with soap and water. Eye contact: rinse thoroughly with the eyewash and seek medical advice.</w:t>
            </w:r>
          </w:p>
        </w:tc>
      </w:tr>
      <w:tr>
        <w:trPr>
          <w:cantSplit/>
        </w:trPr>
        <w:tc>
          <w:tcPr>
            <w:tcW w:w="660" w:type="dxa"/>
            <w:shd w:val="clear" w:color="auto" w:fill="E00036"/>
            <w:tcMar>
              <w:top w:w="90" w:type="dxa"/>
              <w:left w:w="30" w:type="dxa"/>
              <w:bottom w:w="120" w:type="dxa"/>
              <w:right w:w="30" w:type="dxa"/>
            </w:tcMar>
          </w:tcPr>
          <w:p>
            <w:pPr>
              <w:keepLines/>
              <w:spacing w:before="10" w:after="0" w:line="240" w:lineRule="auto"/>
              <w:ind w:left="0" w:right="0" w:firstLine="0"/>
              <w:jc w:val="center"/>
            </w:pPr>
            <w:r/>
            <w:r>
              <w:rPr>
                <w:rFonts w:ascii="IBM Plex Sans" w:hAnsi="IBM Plex Sans" w:cs="IBM Plex Sans" w:eastAsia="IBM Plex Sans"/>
                <w:b/>
                <w:i w:val="0"/>
                <w:color w:val="FFFFFF"/>
                <w:sz w:val="20"/>
              </w:rPr>
              <w:t>2</w:t>
            </w:r>
          </w:p>
        </w:tc>
        <w:tc>
          <w:tcPr>
            <w:tcW w:w="8411" w:type="dxa"/>
            <w:tcMar>
              <w:left w:w="200" w:type="dxa"/>
              <w:bottom w:w="140" w:type="dxa"/>
            </w:tcMar>
          </w:tcPr>
          <w:p>
            <w:pPr>
              <w:keepLines/>
              <w:spacing w:before="10" w:after="130" w:line="240" w:lineRule="auto"/>
              <w:ind w:left="0" w:right="0" w:firstLine="0"/>
              <w:jc w:val="both"/>
            </w:pPr>
            <w:r/>
            <w:r>
              <w:rPr>
                <w:rFonts w:ascii="IBM Plex Sans" w:hAnsi="IBM Plex Sans" w:cs="IBM Plex Sans" w:eastAsia="IBM Plex Sans"/>
                <w:b w:val="0"/>
                <w:i w:val="0"/>
                <w:color w:val="1A1A1A"/>
                <w:sz w:val="20"/>
              </w:rPr>
              <w:t>Report every injury to DPR site management immediately, however minor, in accordance with the site incident reporting procedure.</w:t>
            </w:r>
          </w:p>
        </w:tc>
      </w:tr>
      <w:tr>
        <w:trPr>
          <w:cantSplit/>
        </w:trPr>
        <w:tc>
          <w:tcPr>
            <w:tcW w:w="660" w:type="dxa"/>
            <w:shd w:val="clear" w:color="auto" w:fill="E00036"/>
            <w:tcMar>
              <w:top w:w="90" w:type="dxa"/>
              <w:left w:w="30" w:type="dxa"/>
              <w:bottom w:w="120" w:type="dxa"/>
              <w:right w:w="30" w:type="dxa"/>
            </w:tcMar>
          </w:tcPr>
          <w:p>
            <w:pPr>
              <w:keepLines/>
              <w:spacing w:before="10" w:after="0" w:line="240" w:lineRule="auto"/>
              <w:ind w:left="0" w:right="0" w:firstLine="0"/>
              <w:jc w:val="center"/>
            </w:pPr>
            <w:r/>
            <w:r>
              <w:rPr>
                <w:rFonts w:ascii="IBM Plex Sans" w:hAnsi="IBM Plex Sans" w:cs="IBM Plex Sans" w:eastAsia="IBM Plex Sans"/>
                <w:b/>
                <w:i w:val="0"/>
                <w:color w:val="FFFFFF"/>
                <w:sz w:val="20"/>
              </w:rPr>
              <w:t>3</w:t>
            </w:r>
          </w:p>
        </w:tc>
        <w:tc>
          <w:tcPr>
            <w:tcW w:w="8411" w:type="dxa"/>
            <w:tcMar>
              <w:left w:w="200" w:type="dxa"/>
              <w:bottom w:w="140" w:type="dxa"/>
            </w:tcMar>
          </w:tcPr>
          <w:p>
            <w:pPr>
              <w:keepLines/>
              <w:spacing w:before="10" w:after="130" w:line="240" w:lineRule="auto"/>
              <w:ind w:left="0" w:right="0" w:firstLine="0"/>
              <w:jc w:val="both"/>
            </w:pPr>
            <w:r/>
            <w:r>
              <w:rPr>
                <w:rFonts w:ascii="IBM Plex Sans" w:hAnsi="IBM Plex Sans" w:cs="IBM Plex Sans" w:eastAsia="IBM Plex Sans"/>
                <w:b w:val="0"/>
                <w:i w:val="0"/>
                <w:color w:val="1A1A1A"/>
                <w:sz w:val="20"/>
              </w:rPr>
              <w:t>First aid facilities and the site first aider are as advised in the site induction.</w:t>
            </w:r>
          </w:p>
        </w:tc>
      </w:tr>
    </w:tbl>
    <w:p>
      <w:pPr>
        <w:pStyle w:val="Fliesstext"/>
        <w:keepLines/>
        <w:spacing w:before="0" w:after="60" w:line="240" w:lineRule="auto"/>
      </w:pPr>
      <w:r>
        <w:rPr>
          <w:rFonts w:ascii="IBM Plex Sans" w:hAnsi="IBM Plex Sans" w:cs="IBM Plex Sans" w:eastAsia="IBM Plex Sans"/>
          <w:b w:val="0"/>
          <w:i w:val="0"/>
          <w:color w:val="1A1A1A"/>
          <w:sz w:val="4"/>
        </w:rPr>
      </w:r>
    </w:p>
    <w:p>
      <w:pPr>
        <w:pStyle w:val="Unterberschrift"/>
        <w:keepNext/>
        <w:keepLines/>
        <w:spacing w:before="280" w:after="80"/>
      </w:pPr>
      <w:r>
        <w:rPr>
          <w:rFonts w:ascii="Alata" w:hAnsi="Alata" w:cs="Alata" w:eastAsia="Alata"/>
          <w:b w:val="0"/>
          <w:i w:val="0"/>
          <w:color w:val="E00036"/>
          <w:sz w:val="25"/>
        </w:rPr>
        <w:t>11.4  Emergency contacts</w:t>
      </w:r>
    </w:p>
    <w:tbl>
      <w:tblPr>
        <w:tblW w:w="9071" w:type="dxa"/>
        <w:tblInd w:w="0" w:type="dxa"/>
        <w:tblBorders>
          <w:top w:val="single" w:sz="4" w:space="0" w:color="DCDCDC"/>
          <w:left w:val="none" w:sz="0" w:space="0" w:color="auto"/>
          <w:bottom w:val="single" w:sz="4" w:space="0" w:color="DCDCDC"/>
          <w:right w:val="none" w:sz="0" w:space="0" w:color="auto"/>
          <w:insideH w:val="single" w:sz="4" w:space="0" w:color="DCDCDC"/>
          <w:insideV w:val="none" w:sz="0" w:space="0" w:color="auto"/>
        </w:tblBorders>
        <w:tblLayout w:type="fixed"/>
        <w:tblCellMar>
          <w:top w:w="70" w:type="dxa"/>
          <w:left w:w="100" w:type="dxa"/>
          <w:bottom w:w="70" w:type="dxa"/>
          <w:right w:w="100" w:type="dxa"/>
        </w:tblCellMar>
        <w:tblLook w:val="04A0" w:firstRow="1" w:lastRow="0" w:firstColumn="1" w:lastColumn="0" w:noHBand="0" w:noVBand="1"/>
        <w:jc w:val="left"/>
      </w:tblPr>
      <w:tblGrid>
        <w:gridCol w:w="5871"/>
        <w:gridCol w:w="3200"/>
      </w:tblGrid>
      <w:tr>
        <w:trPr>
          <w:cantSplit/>
          <w:tblHeader/>
        </w:trPr>
        <w:tc>
          <w:tcPr>
            <w:tcW w:w="5871" w:type="dxa"/>
            <w:shd w:val="clear" w:color="auto" w:fill="E00036"/>
            <w:vAlign w:val="center"/>
          </w:tcPr>
          <w:p>
            <w:pPr>
              <w:keepLines/>
              <w:spacing w:before="10" w:after="0" w:line="240" w:lineRule="auto"/>
              <w:ind w:left="0" w:right="0" w:firstLine="0"/>
              <w:jc w:val="left"/>
            </w:pPr>
            <w:r/>
            <w:r>
              <w:rPr>
                <w:rFonts w:ascii="IBM Plex Sans" w:hAnsi="IBM Plex Sans" w:cs="IBM Plex Sans" w:eastAsia="IBM Plex Sans"/>
                <w:b/>
                <w:i w:val="0"/>
                <w:color w:val="FFFFFF"/>
                <w:sz w:val="18"/>
              </w:rPr>
              <w:t>Contact</w:t>
            </w:r>
          </w:p>
        </w:tc>
        <w:tc>
          <w:tcPr>
            <w:tcW w:w="3200" w:type="dxa"/>
            <w:shd w:val="clear" w:color="auto" w:fill="E00036"/>
            <w:vAlign w:val="center"/>
          </w:tcPr>
          <w:p>
            <w:pPr>
              <w:keepLines/>
              <w:spacing w:before="10" w:after="0" w:line="240" w:lineRule="auto"/>
              <w:ind w:left="0" w:right="0" w:firstLine="0"/>
              <w:jc w:val="right"/>
            </w:pPr>
            <w:r/>
            <w:r>
              <w:rPr>
                <w:rFonts w:ascii="IBM Plex Sans" w:hAnsi="IBM Plex Sans" w:cs="IBM Plex Sans" w:eastAsia="IBM Plex Sans"/>
                <w:b/>
                <w:i w:val="0"/>
                <w:color w:val="FFFFFF"/>
                <w:sz w:val="18"/>
              </w:rPr>
              <w:t>Number</w:t>
            </w:r>
          </w:p>
        </w:tc>
      </w:tr>
      <w:tr>
        <w:trPr>
          <w:cantSplit/>
          <w:trHeight w:val="300" w:hRule="atLeast"/>
        </w:trPr>
        <w:tc>
          <w:tcPr>
            <w:tcW w:w="5871" w:type="dxa"/>
            <w:vAlign w:val="center"/>
          </w:tcPr>
          <w:p>
            <w:pPr>
              <w:keepLines/>
              <w:spacing w:before="10" w:after="0" w:line="240" w:lineRule="auto"/>
              <w:ind w:left="0" w:right="0" w:firstLine="0"/>
              <w:jc w:val="left"/>
            </w:pPr>
            <w:r/>
            <w:r>
              <w:rPr>
                <w:rFonts w:ascii="IBM Plex Sans" w:hAnsi="IBM Plex Sans" w:cs="IBM Plex Sans" w:eastAsia="IBM Plex Sans"/>
                <w:b w:val="0"/>
                <w:i w:val="0"/>
                <w:color w:val="1A1A1A"/>
                <w:sz w:val="19"/>
              </w:rPr>
              <w:t>Fire and hazardous materials (Switzerland)</w:t>
            </w:r>
          </w:p>
        </w:tc>
        <w:tc>
          <w:tcPr>
            <w:tcW w:w="3200" w:type="dxa"/>
            <w:vAlign w:val="center"/>
          </w:tcPr>
          <w:p>
            <w:pPr>
              <w:keepLines/>
              <w:spacing w:before="10" w:after="0" w:line="240" w:lineRule="auto"/>
              <w:ind w:left="0" w:right="0" w:firstLine="0"/>
              <w:jc w:val="right"/>
            </w:pPr>
            <w:r/>
            <w:r>
              <w:rPr>
                <w:rFonts w:ascii="IBM Plex Sans" w:hAnsi="IBM Plex Sans" w:cs="IBM Plex Sans" w:eastAsia="IBM Plex Sans"/>
                <w:b/>
                <w:i w:val="0"/>
                <w:color w:val="E00036"/>
                <w:sz w:val="21"/>
              </w:rPr>
              <w:t>118</w:t>
            </w:r>
          </w:p>
        </w:tc>
      </w:tr>
      <w:tr>
        <w:trPr>
          <w:cantSplit/>
          <w:trHeight w:val="300" w:hRule="atLeast"/>
        </w:trPr>
        <w:tc>
          <w:tcPr>
            <w:tcW w:w="5871" w:type="dxa"/>
            <w:shd w:val="clear" w:color="auto" w:fill="FAFAFA"/>
            <w:vAlign w:val="center"/>
          </w:tcPr>
          <w:p>
            <w:pPr>
              <w:keepLines/>
              <w:spacing w:before="10" w:after="0" w:line="240" w:lineRule="auto"/>
              <w:ind w:left="0" w:right="0" w:firstLine="0"/>
              <w:jc w:val="left"/>
            </w:pPr>
            <w:r/>
            <w:r>
              <w:rPr>
                <w:rFonts w:ascii="IBM Plex Sans" w:hAnsi="IBM Plex Sans" w:cs="IBM Plex Sans" w:eastAsia="IBM Plex Sans"/>
                <w:b w:val="0"/>
                <w:i w:val="0"/>
                <w:color w:val="1A1A1A"/>
                <w:sz w:val="19"/>
              </w:rPr>
              <w:t>Ambulance (Switzerland)</w:t>
            </w:r>
          </w:p>
        </w:tc>
        <w:tc>
          <w:tcPr>
            <w:tcW w:w="3200" w:type="dxa"/>
            <w:shd w:val="clear" w:color="auto" w:fill="FAFAFA"/>
            <w:vAlign w:val="center"/>
          </w:tcPr>
          <w:p>
            <w:pPr>
              <w:keepLines/>
              <w:spacing w:before="10" w:after="0" w:line="240" w:lineRule="auto"/>
              <w:ind w:left="0" w:right="0" w:firstLine="0"/>
              <w:jc w:val="right"/>
            </w:pPr>
            <w:r/>
            <w:r>
              <w:rPr>
                <w:rFonts w:ascii="IBM Plex Sans" w:hAnsi="IBM Plex Sans" w:cs="IBM Plex Sans" w:eastAsia="IBM Plex Sans"/>
                <w:b/>
                <w:i w:val="0"/>
                <w:color w:val="E00036"/>
                <w:sz w:val="21"/>
              </w:rPr>
              <w:t>144</w:t>
            </w:r>
          </w:p>
        </w:tc>
      </w:tr>
      <w:tr>
        <w:trPr>
          <w:cantSplit/>
          <w:trHeight w:val="300" w:hRule="atLeast"/>
        </w:trPr>
        <w:tc>
          <w:tcPr>
            <w:tcW w:w="5871" w:type="dxa"/>
            <w:vAlign w:val="center"/>
          </w:tcPr>
          <w:p>
            <w:pPr>
              <w:keepLines/>
              <w:spacing w:before="10" w:after="0" w:line="240" w:lineRule="auto"/>
              <w:ind w:left="0" w:right="0" w:firstLine="0"/>
              <w:jc w:val="left"/>
            </w:pPr>
            <w:r/>
            <w:r>
              <w:rPr>
                <w:rFonts w:ascii="IBM Plex Sans" w:hAnsi="IBM Plex Sans" w:cs="IBM Plex Sans" w:eastAsia="IBM Plex Sans"/>
                <w:b w:val="0"/>
                <w:i w:val="0"/>
                <w:color w:val="1A1A1A"/>
                <w:sz w:val="19"/>
              </w:rPr>
              <w:t>Police (Switzerland)</w:t>
            </w:r>
          </w:p>
        </w:tc>
        <w:tc>
          <w:tcPr>
            <w:tcW w:w="3200" w:type="dxa"/>
            <w:vAlign w:val="center"/>
          </w:tcPr>
          <w:p>
            <w:pPr>
              <w:keepLines/>
              <w:spacing w:before="10" w:after="0" w:line="240" w:lineRule="auto"/>
              <w:ind w:left="0" w:right="0" w:firstLine="0"/>
              <w:jc w:val="right"/>
            </w:pPr>
            <w:r/>
            <w:r>
              <w:rPr>
                <w:rFonts w:ascii="IBM Plex Sans" w:hAnsi="IBM Plex Sans" w:cs="IBM Plex Sans" w:eastAsia="IBM Plex Sans"/>
                <w:b/>
                <w:i w:val="0"/>
                <w:color w:val="E00036"/>
                <w:sz w:val="21"/>
              </w:rPr>
              <w:t>117</w:t>
            </w:r>
          </w:p>
        </w:tc>
      </w:tr>
      <w:tr>
        <w:trPr>
          <w:cantSplit/>
          <w:trHeight w:val="300" w:hRule="atLeast"/>
        </w:trPr>
        <w:tc>
          <w:tcPr>
            <w:tcW w:w="5871" w:type="dxa"/>
            <w:shd w:val="clear" w:color="auto" w:fill="FAFAFA"/>
            <w:vAlign w:val="center"/>
          </w:tcPr>
          <w:p>
            <w:pPr>
              <w:keepLines/>
              <w:spacing w:before="10" w:after="0" w:line="240" w:lineRule="auto"/>
              <w:ind w:left="0" w:right="0" w:firstLine="0"/>
              <w:jc w:val="left"/>
            </w:pPr>
            <w:r/>
            <w:r>
              <w:rPr>
                <w:rFonts w:ascii="IBM Plex Sans" w:hAnsi="IBM Plex Sans" w:cs="IBM Plex Sans" w:eastAsia="IBM Plex Sans"/>
                <w:b w:val="0"/>
                <w:i w:val="0"/>
                <w:color w:val="1A1A1A"/>
                <w:sz w:val="19"/>
              </w:rPr>
              <w:t>Chemical emergency advice, Tox Info Suisse</w:t>
            </w:r>
          </w:p>
        </w:tc>
        <w:tc>
          <w:tcPr>
            <w:tcW w:w="3200" w:type="dxa"/>
            <w:shd w:val="clear" w:color="auto" w:fill="FAFAFA"/>
            <w:vAlign w:val="center"/>
          </w:tcPr>
          <w:p>
            <w:pPr>
              <w:keepLines/>
              <w:spacing w:before="10" w:after="0" w:line="240" w:lineRule="auto"/>
              <w:ind w:left="0" w:right="0" w:firstLine="0"/>
              <w:jc w:val="right"/>
            </w:pPr>
            <w:r/>
            <w:r>
              <w:rPr>
                <w:rFonts w:ascii="IBM Plex Sans" w:hAnsi="IBM Plex Sans" w:cs="IBM Plex Sans" w:eastAsia="IBM Plex Sans"/>
                <w:b/>
                <w:i w:val="0"/>
                <w:color w:val="E00036"/>
                <w:sz w:val="21"/>
              </w:rPr>
              <w:t>145</w:t>
            </w:r>
          </w:p>
        </w:tc>
      </w:tr>
      <w:tr>
        <w:trPr>
          <w:cantSplit/>
          <w:trHeight w:val="300" w:hRule="atLeast"/>
        </w:trPr>
        <w:tc>
          <w:tcPr>
            <w:tcW w:w="5871" w:type="dxa"/>
            <w:vAlign w:val="center"/>
          </w:tcPr>
          <w:p>
            <w:pPr>
              <w:keepLines/>
              <w:spacing w:before="10" w:after="0" w:line="240" w:lineRule="auto"/>
              <w:ind w:left="0" w:right="0" w:firstLine="0"/>
              <w:jc w:val="left"/>
            </w:pPr>
            <w:r/>
            <w:r>
              <w:rPr>
                <w:rFonts w:ascii="IBM Plex Sans" w:hAnsi="IBM Plex Sans" w:cs="IBM Plex Sans" w:eastAsia="IBM Plex Sans"/>
                <w:b w:val="0"/>
                <w:i w:val="0"/>
                <w:color w:val="1A1A1A"/>
                <w:sz w:val="19"/>
              </w:rPr>
              <w:t>MiT Project Manager, Burak Ücöz</w:t>
            </w:r>
          </w:p>
        </w:tc>
        <w:tc>
          <w:tcPr>
            <w:tcW w:w="3200" w:type="dxa"/>
            <w:vAlign w:val="center"/>
          </w:tcPr>
          <w:p>
            <w:pPr>
              <w:keepLines/>
              <w:spacing w:before="10" w:after="0" w:line="240" w:lineRule="auto"/>
              <w:ind w:left="0" w:right="0" w:firstLine="0"/>
              <w:jc w:val="right"/>
            </w:pPr>
            <w:r/>
            <w:r>
              <w:rPr>
                <w:rFonts w:ascii="IBM Plex Sans" w:hAnsi="IBM Plex Sans" w:cs="IBM Plex Sans" w:eastAsia="IBM Plex Sans"/>
                <w:b/>
                <w:i w:val="0"/>
                <w:color w:val="E00036"/>
                <w:sz w:val="21"/>
              </w:rPr>
              <w:t>+41 76 202 01 70</w:t>
            </w:r>
          </w:p>
        </w:tc>
      </w:tr>
      <w:tr>
        <w:trPr>
          <w:cantSplit/>
          <w:trHeight w:val="300" w:hRule="atLeast"/>
        </w:trPr>
        <w:tc>
          <w:tcPr>
            <w:tcW w:w="5871" w:type="dxa"/>
            <w:shd w:val="clear" w:color="auto" w:fill="FAFAFA"/>
            <w:vAlign w:val="center"/>
          </w:tcPr>
          <w:p>
            <w:pPr>
              <w:keepLines/>
              <w:spacing w:before="10" w:after="0" w:line="240" w:lineRule="auto"/>
              <w:ind w:left="0" w:right="0" w:firstLine="0"/>
              <w:jc w:val="left"/>
            </w:pPr>
            <w:r/>
            <w:r>
              <w:rPr>
                <w:rFonts w:ascii="IBM Plex Sans" w:hAnsi="IBM Plex Sans" w:cs="IBM Plex Sans" w:eastAsia="IBM Plex Sans"/>
                <w:b w:val="0"/>
                <w:i w:val="0"/>
                <w:color w:val="1A1A1A"/>
                <w:sz w:val="19"/>
              </w:rPr>
              <w:t>DPR site management</w:t>
            </w:r>
          </w:p>
        </w:tc>
        <w:tc>
          <w:tcPr>
            <w:tcW w:w="3200" w:type="dxa"/>
            <w:shd w:val="clear" w:color="auto" w:fill="FAFAFA"/>
            <w:vAlign w:val="center"/>
          </w:tcPr>
          <w:p>
            <w:pPr>
              <w:keepLines/>
              <w:spacing w:before="10" w:after="0" w:line="240" w:lineRule="auto"/>
              <w:ind w:left="0" w:right="0" w:firstLine="0"/>
              <w:jc w:val="right"/>
            </w:pPr>
            <w:r/>
            <w:r>
              <w:rPr>
                <w:rFonts w:ascii="IBM Plex Sans" w:hAnsi="IBM Plex Sans" w:cs="IBM Plex Sans" w:eastAsia="IBM Plex Sans"/>
                <w:b w:val="0"/>
                <w:i w:val="0"/>
                <w:color w:val="5F5F5F"/>
                <w:sz w:val="19"/>
              </w:rPr>
              <w:t>As advised at induction</w:t>
            </w:r>
          </w:p>
        </w:tc>
      </w:tr>
      <w:tr>
        <w:trPr>
          <w:cantSplit/>
          <w:trHeight w:val="300" w:hRule="atLeast"/>
        </w:trPr>
        <w:tc>
          <w:tcPr>
            <w:tcW w:w="5871" w:type="dxa"/>
            <w:vAlign w:val="center"/>
          </w:tcPr>
          <w:p>
            <w:pPr>
              <w:keepLines/>
              <w:spacing w:before="10" w:after="0" w:line="240" w:lineRule="auto"/>
              <w:ind w:left="0" w:right="0" w:firstLine="0"/>
              <w:jc w:val="left"/>
            </w:pPr>
            <w:r/>
            <w:r>
              <w:rPr>
                <w:rFonts w:ascii="IBM Plex Sans" w:hAnsi="IBM Plex Sans" w:cs="IBM Plex Sans" w:eastAsia="IBM Plex Sans"/>
                <w:b w:val="0"/>
                <w:i w:val="0"/>
                <w:color w:val="1A1A1A"/>
                <w:sz w:val="19"/>
              </w:rPr>
              <w:t>Site first aider and assembly point</w:t>
            </w:r>
          </w:p>
        </w:tc>
        <w:tc>
          <w:tcPr>
            <w:tcW w:w="3200" w:type="dxa"/>
            <w:vAlign w:val="center"/>
          </w:tcPr>
          <w:p>
            <w:pPr>
              <w:keepLines/>
              <w:spacing w:before="10" w:after="0" w:line="240" w:lineRule="auto"/>
              <w:ind w:left="0" w:right="0" w:firstLine="0"/>
              <w:jc w:val="right"/>
            </w:pPr>
            <w:r/>
            <w:r>
              <w:rPr>
                <w:rFonts w:ascii="IBM Plex Sans" w:hAnsi="IBM Plex Sans" w:cs="IBM Plex Sans" w:eastAsia="IBM Plex Sans"/>
                <w:b w:val="0"/>
                <w:i w:val="0"/>
                <w:color w:val="5F5F5F"/>
                <w:sz w:val="19"/>
              </w:rPr>
              <w:t>As advised at induction</w:t>
            </w:r>
          </w:p>
        </w:tc>
      </w:tr>
    </w:tbl>
    <w:p>
      <w:pPr>
        <w:pStyle w:val="Fliesstext"/>
        <w:keepLines/>
        <w:spacing w:before="0" w:after="140" w:line="240" w:lineRule="auto"/>
      </w:pPr>
      <w:r>
        <w:rPr>
          <w:rFonts w:ascii="IBM Plex Sans" w:hAnsi="IBM Plex Sans" w:cs="IBM Plex Sans" w:eastAsia="IBM Plex Sans"/>
          <w:b w:val="0"/>
          <w:i w:val="0"/>
          <w:color w:val="1A1A1A"/>
          <w:sz w:val="4"/>
        </w:rPr>
      </w:r>
    </w:p>
    <w:p>
      <w:pPr>
        <w:pStyle w:val="berschrift"/>
        <w:keepNext/>
        <w:keepLines/>
        <w:pBdr>
          <w:bottom w:val="single" w:sz="8" w:space="4" w:color="E00036"/>
        </w:pBdr>
        <w:spacing w:before="360" w:after="60"/>
      </w:pPr>
      <w:r>
        <w:rPr>
          <w:rFonts w:ascii="Alata" w:hAnsi="Alata" w:cs="Alata" w:eastAsia="Alata"/>
          <w:b w:val="0"/>
          <w:i w:val="0"/>
          <w:color w:val="E00036"/>
          <w:sz w:val="36"/>
        </w:rPr>
        <w:t xml:space="preserve">12   </w:t>
      </w:r>
      <w:r>
        <w:rPr>
          <w:rFonts w:ascii="Alata" w:hAnsi="Alata" w:cs="Alata" w:eastAsia="Alata"/>
          <w:b w:val="0"/>
          <w:i w:val="0"/>
          <w:color w:val="E00036"/>
          <w:sz w:val="36"/>
        </w:rPr>
        <w:t>Monitoring and Review</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Compliance with this RAMS is monitored by the MiT supervisor throughout every delivery.</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Work is stopped immediately if any control cannot be applied as described, and does not resume until the situation is resolved or this document is revised.</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Every delivery is recorded in the fuel log, including date, volume, personnel present and any observation.</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This RAMS is reviewed before each delivery, on any change of conditions and after any incident or near miss.</w:t>
      </w:r>
    </w:p>
    <w:p>
      <w:pPr>
        <w:pStyle w:val="Fliesstext"/>
        <w:tabs>
          <w:tab w:val="left" w:pos="340"/>
        </w:tabs>
        <w:spacing w:before="0" w:after="50" w:line="250" w:lineRule="auto"/>
        <w:ind w:left="340" w:hanging="340"/>
        <w:jc w:val="left"/>
      </w:pPr>
      <w:r>
        <w:rPr>
          <w:rFonts w:ascii="IBM Plex Sans" w:hAnsi="IBM Plex Sans" w:cs="IBM Plex Sans" w:eastAsia="IBM Plex Sans"/>
          <w:b/>
          <w:i w:val="0"/>
          <w:color w:val="E00036"/>
          <w:sz w:val="21"/>
        </w:rPr>
        <w:t>▪</w:t>
      </w:r>
      <w:r>
        <w:tab/>
      </w:r>
      <w:r>
        <w:rPr>
          <w:rFonts w:ascii="IBM Plex Sans" w:hAnsi="IBM Plex Sans" w:cs="IBM Plex Sans" w:eastAsia="IBM Plex Sans"/>
          <w:b w:val="0"/>
          <w:i w:val="0"/>
          <w:color w:val="1A1A1A"/>
          <w:sz w:val="21"/>
        </w:rPr>
        <w:t>DPR may inspect the operation at any time and may request any of the certification listed in section 4.</w:t>
      </w:r>
    </w:p>
    <w:p>
      <w:pPr>
        <w:pStyle w:val="berschrift"/>
        <w:keepNext/>
        <w:keepLines/>
        <w:pageBreakBefore/>
        <w:pBdr>
          <w:bottom w:val="single" w:sz="8" w:space="4" w:color="E00036"/>
        </w:pBdr>
        <w:spacing w:before="0" w:after="60"/>
      </w:pPr>
      <w:r>
        <w:rPr>
          <w:rFonts w:ascii="Alata" w:hAnsi="Alata" w:cs="Alata" w:eastAsia="Alata"/>
          <w:b w:val="0"/>
          <w:i w:val="0"/>
          <w:color w:val="E00036"/>
          <w:sz w:val="36"/>
        </w:rPr>
        <w:t xml:space="preserve">13   </w:t>
      </w:r>
      <w:r>
        <w:rPr>
          <w:rFonts w:ascii="Alata" w:hAnsi="Alata" w:cs="Alata" w:eastAsia="Alata"/>
          <w:b w:val="0"/>
          <w:i w:val="0"/>
          <w:color w:val="E00036"/>
          <w:sz w:val="36"/>
        </w:rPr>
        <w:t>Briefing Record and Declaration</w:t>
      </w:r>
    </w:p>
    <w:p>
      <w:pPr>
        <w:pStyle w:val="Fliesstext"/>
        <w:spacing w:before="0" w:after="110" w:line="250" w:lineRule="auto"/>
        <w:jc w:val="both"/>
      </w:pPr>
      <w:r>
        <w:rPr>
          <w:rFonts w:ascii="IBM Plex Sans" w:hAnsi="IBM Plex Sans" w:cs="IBM Plex Sans" w:eastAsia="IBM Plex Sans"/>
          <w:b w:val="0"/>
          <w:i w:val="0"/>
          <w:color w:val="1A1A1A"/>
          <w:sz w:val="21"/>
        </w:rPr>
        <w:t>The persons named below have been briefed on the contents of this RAMS before the start of work and confirm that they have understood it. Any deviation from this method statement requires the work to be stopped and this document to be reviewed before the activity continues.</w:t>
      </w:r>
    </w:p>
    <w:p>
      <w:pPr>
        <w:pStyle w:val="Fliesstext"/>
        <w:keepLines/>
        <w:spacing w:before="0" w:after="80" w:line="240" w:lineRule="auto"/>
      </w:pPr>
      <w:r>
        <w:rPr>
          <w:rFonts w:ascii="IBM Plex Sans" w:hAnsi="IBM Plex Sans" w:cs="IBM Plex Sans" w:eastAsia="IBM Plex Sans"/>
          <w:b w:val="0"/>
          <w:i w:val="0"/>
          <w:color w:val="1A1A1A"/>
          <w:sz w:val="4"/>
        </w:rPr>
      </w:r>
    </w:p>
    <w:tbl>
      <w:tblPr>
        <w:tblW w:w="9071" w:type="dxa"/>
        <w:tblInd w:w="0" w:type="dxa"/>
        <w:tblBorders>
          <w:top w:val="single" w:sz="4" w:space="0" w:color="DCDCDC"/>
          <w:left w:val="none" w:sz="0" w:space="0" w:color="auto"/>
          <w:bottom w:val="single" w:sz="4" w:space="0" w:color="DCDCDC"/>
          <w:right w:val="none" w:sz="0" w:space="0" w:color="auto"/>
          <w:insideH w:val="single" w:sz="4" w:space="0" w:color="DCDCDC"/>
          <w:insideV w:val="none" w:sz="0" w:space="0" w:color="auto"/>
        </w:tblBorders>
        <w:tblLayout w:type="fixed"/>
        <w:tblCellMar>
          <w:top w:w="70" w:type="dxa"/>
          <w:left w:w="100" w:type="dxa"/>
          <w:bottom w:w="70" w:type="dxa"/>
          <w:right w:w="100" w:type="dxa"/>
        </w:tblCellMar>
        <w:tblLook w:val="04A0" w:firstRow="1" w:lastRow="0" w:firstColumn="1" w:lastColumn="0" w:noHBand="0" w:noVBand="1"/>
        <w:jc w:val="left"/>
      </w:tblPr>
      <w:tblGrid>
        <w:gridCol w:w="2400"/>
        <w:gridCol w:w="3400"/>
        <w:gridCol w:w="1371"/>
        <w:gridCol w:w="1900"/>
      </w:tblGrid>
      <w:tr>
        <w:trPr>
          <w:cantSplit/>
          <w:tblHeader/>
        </w:trPr>
        <w:tc>
          <w:tcPr>
            <w:tcW w:w="2400" w:type="dxa"/>
            <w:shd w:val="clear" w:color="auto" w:fill="E00036"/>
            <w:vAlign w:val="center"/>
          </w:tcPr>
          <w:p>
            <w:pPr>
              <w:keepLines/>
              <w:spacing w:before="10" w:after="0" w:line="240" w:lineRule="auto"/>
              <w:ind w:left="0" w:right="0" w:firstLine="0"/>
              <w:jc w:val="left"/>
            </w:pPr>
            <w:r/>
            <w:r>
              <w:rPr>
                <w:rFonts w:ascii="IBM Plex Sans" w:hAnsi="IBM Plex Sans" w:cs="IBM Plex Sans" w:eastAsia="IBM Plex Sans"/>
                <w:b/>
                <w:i w:val="0"/>
                <w:color w:val="FFFFFF"/>
                <w:sz w:val="18"/>
              </w:rPr>
              <w:t>Name</w:t>
            </w:r>
          </w:p>
        </w:tc>
        <w:tc>
          <w:tcPr>
            <w:tcW w:w="3400" w:type="dxa"/>
            <w:shd w:val="clear" w:color="auto" w:fill="E00036"/>
            <w:vAlign w:val="center"/>
          </w:tcPr>
          <w:p>
            <w:pPr>
              <w:keepLines/>
              <w:spacing w:before="10" w:after="0" w:line="240" w:lineRule="auto"/>
              <w:ind w:left="0" w:right="0" w:firstLine="0"/>
              <w:jc w:val="left"/>
            </w:pPr>
            <w:r/>
            <w:r>
              <w:rPr>
                <w:rFonts w:ascii="IBM Plex Sans" w:hAnsi="IBM Plex Sans" w:cs="IBM Plex Sans" w:eastAsia="IBM Plex Sans"/>
                <w:b/>
                <w:i w:val="0"/>
                <w:color w:val="FFFFFF"/>
                <w:sz w:val="18"/>
              </w:rPr>
              <w:t>Function</w:t>
            </w:r>
          </w:p>
        </w:tc>
        <w:tc>
          <w:tcPr>
            <w:tcW w:w="1371" w:type="dxa"/>
            <w:shd w:val="clear" w:color="auto" w:fill="E00036"/>
            <w:vAlign w:val="center"/>
          </w:tcPr>
          <w:p>
            <w:pPr>
              <w:keepLines/>
              <w:spacing w:before="10" w:after="0" w:line="240" w:lineRule="auto"/>
              <w:ind w:left="0" w:right="0" w:firstLine="0"/>
              <w:jc w:val="left"/>
            </w:pPr>
            <w:r/>
            <w:r>
              <w:rPr>
                <w:rFonts w:ascii="IBM Plex Sans" w:hAnsi="IBM Plex Sans" w:cs="IBM Plex Sans" w:eastAsia="IBM Plex Sans"/>
                <w:b/>
                <w:i w:val="0"/>
                <w:color w:val="FFFFFF"/>
                <w:sz w:val="18"/>
              </w:rPr>
              <w:t>Date</w:t>
            </w:r>
          </w:p>
        </w:tc>
        <w:tc>
          <w:tcPr>
            <w:tcW w:w="1900" w:type="dxa"/>
            <w:shd w:val="clear" w:color="auto" w:fill="E00036"/>
            <w:vAlign w:val="center"/>
          </w:tcPr>
          <w:p>
            <w:pPr>
              <w:keepLines/>
              <w:spacing w:before="10" w:after="0" w:line="240" w:lineRule="auto"/>
              <w:ind w:left="0" w:right="0" w:firstLine="0"/>
              <w:jc w:val="left"/>
            </w:pPr>
            <w:r/>
            <w:r>
              <w:rPr>
                <w:rFonts w:ascii="IBM Plex Sans" w:hAnsi="IBM Plex Sans" w:cs="IBM Plex Sans" w:eastAsia="IBM Plex Sans"/>
                <w:b/>
                <w:i w:val="0"/>
                <w:color w:val="FFFFFF"/>
                <w:sz w:val="18"/>
              </w:rPr>
              <w:t>Signature</w:t>
            </w:r>
          </w:p>
        </w:tc>
      </w:tr>
      <w:tr>
        <w:trPr>
          <w:cantSplit/>
          <w:cantSplit/>
          <w:trHeight w:val="620" w:hRule="atLeast"/>
        </w:trPr>
        <w:tc>
          <w:tcPr>
            <w:tcW w:w="2400" w:type="dxa"/>
            <w:vAlign w:val="center"/>
          </w:tcPr>
          <w:p>
            <w:pPr>
              <w:keepLines/>
              <w:spacing w:before="10" w:after="0" w:line="240" w:lineRule="auto"/>
              <w:ind w:left="0" w:right="0" w:firstLine="0"/>
              <w:jc w:val="left"/>
            </w:pPr>
            <w:r/>
            <w:r>
              <w:rPr>
                <w:rFonts w:ascii="IBM Plex Sans" w:hAnsi="IBM Plex Sans" w:cs="IBM Plex Sans" w:eastAsia="IBM Plex Sans"/>
                <w:b/>
                <w:i w:val="0"/>
                <w:color w:val="1A1A1A"/>
                <w:sz w:val="19"/>
              </w:rPr>
              <w:t>Burak Ücöz</w:t>
            </w:r>
          </w:p>
        </w:tc>
        <w:tc>
          <w:tcPr>
            <w:tcW w:w="3400" w:type="dxa"/>
            <w:vAlign w:val="center"/>
          </w:tcPr>
          <w:p>
            <w:pPr>
              <w:keepLines/>
              <w:spacing w:before="10" w:after="0" w:line="240" w:lineRule="auto"/>
              <w:ind w:left="0" w:right="0" w:firstLine="0"/>
              <w:jc w:val="left"/>
            </w:pPr>
            <w:r/>
            <w:r>
              <w:rPr>
                <w:rFonts w:ascii="IBM Plex Sans" w:hAnsi="IBM Plex Sans" w:cs="IBM Plex Sans" w:eastAsia="IBM Plex Sans"/>
                <w:b w:val="0"/>
                <w:i w:val="0"/>
                <w:color w:val="5F5F5F"/>
                <w:sz w:val="19"/>
              </w:rPr>
              <w:t>Project Manager, Mobil in Time AG</w:t>
            </w:r>
          </w:p>
        </w:tc>
        <w:tc>
          <w:tcPr>
            <w:tcW w:w="1371"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val="0"/>
                <w:i w:val="0"/>
                <w:color w:val="1A1A1A"/>
                <w:sz w:val="19"/>
              </w:rPr>
            </w:r>
          </w:p>
        </w:tc>
        <w:tc>
          <w:tcPr>
            <w:tcW w:w="1900"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val="0"/>
                <w:i w:val="0"/>
                <w:color w:val="1A1A1A"/>
                <w:sz w:val="19"/>
              </w:rPr>
            </w:r>
          </w:p>
        </w:tc>
      </w:tr>
      <w:tr>
        <w:trPr>
          <w:cantSplit/>
          <w:cantSplit/>
          <w:trHeight w:val="620" w:hRule="atLeast"/>
        </w:trPr>
        <w:tc>
          <w:tcPr>
            <w:tcW w:w="2400" w:type="dxa"/>
            <w:vAlign w:val="center"/>
          </w:tcPr>
          <w:p>
            <w:pPr>
              <w:keepLines/>
              <w:spacing w:before="10" w:after="0" w:line="240" w:lineRule="auto"/>
              <w:ind w:left="0" w:right="0" w:firstLine="0"/>
              <w:jc w:val="left"/>
            </w:pPr>
            <w:r/>
            <w:r>
              <w:rPr>
                <w:rFonts w:ascii="IBM Plex Sans" w:hAnsi="IBM Plex Sans" w:cs="IBM Plex Sans" w:eastAsia="IBM Plex Sans"/>
                <w:b w:val="0"/>
                <w:i w:val="0"/>
                <w:color w:val="1A1A1A"/>
                <w:sz w:val="19"/>
              </w:rPr>
            </w:r>
          </w:p>
        </w:tc>
        <w:tc>
          <w:tcPr>
            <w:tcW w:w="3400" w:type="dxa"/>
            <w:vAlign w:val="center"/>
          </w:tcPr>
          <w:p>
            <w:pPr>
              <w:keepLines/>
              <w:spacing w:before="10" w:after="0" w:line="240" w:lineRule="auto"/>
              <w:ind w:left="0" w:right="0" w:firstLine="0"/>
              <w:jc w:val="left"/>
            </w:pPr>
            <w:r/>
            <w:r>
              <w:rPr>
                <w:rFonts w:ascii="IBM Plex Sans" w:hAnsi="IBM Plex Sans" w:cs="IBM Plex Sans" w:eastAsia="IBM Plex Sans"/>
                <w:b w:val="0"/>
                <w:i w:val="0"/>
                <w:color w:val="5F5F5F"/>
                <w:sz w:val="19"/>
              </w:rPr>
              <w:t>Tanker driver, fuel supplier</w:t>
            </w:r>
          </w:p>
        </w:tc>
        <w:tc>
          <w:tcPr>
            <w:tcW w:w="1371"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val="0"/>
                <w:i w:val="0"/>
                <w:color w:val="1A1A1A"/>
                <w:sz w:val="19"/>
              </w:rPr>
            </w:r>
          </w:p>
        </w:tc>
        <w:tc>
          <w:tcPr>
            <w:tcW w:w="1900"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val="0"/>
                <w:i w:val="0"/>
                <w:color w:val="1A1A1A"/>
                <w:sz w:val="19"/>
              </w:rPr>
            </w:r>
          </w:p>
        </w:tc>
      </w:tr>
      <w:tr>
        <w:trPr>
          <w:cantSplit/>
          <w:cantSplit/>
          <w:trHeight w:val="620" w:hRule="atLeast"/>
        </w:trPr>
        <w:tc>
          <w:tcPr>
            <w:tcW w:w="2400" w:type="dxa"/>
            <w:vAlign w:val="center"/>
          </w:tcPr>
          <w:p>
            <w:pPr>
              <w:keepLines/>
              <w:spacing w:before="10" w:after="0" w:line="240" w:lineRule="auto"/>
              <w:ind w:left="0" w:right="0" w:firstLine="0"/>
              <w:jc w:val="left"/>
            </w:pPr>
            <w:r/>
            <w:r>
              <w:rPr>
                <w:rFonts w:ascii="IBM Plex Sans" w:hAnsi="IBM Plex Sans" w:cs="IBM Plex Sans" w:eastAsia="IBM Plex Sans"/>
                <w:b w:val="0"/>
                <w:i w:val="0"/>
                <w:color w:val="1A1A1A"/>
                <w:sz w:val="19"/>
              </w:rPr>
            </w:r>
          </w:p>
        </w:tc>
        <w:tc>
          <w:tcPr>
            <w:tcW w:w="3400" w:type="dxa"/>
            <w:vAlign w:val="center"/>
          </w:tcPr>
          <w:p>
            <w:pPr>
              <w:keepLines/>
              <w:spacing w:before="10" w:after="0" w:line="240" w:lineRule="auto"/>
              <w:ind w:left="0" w:right="0" w:firstLine="0"/>
              <w:jc w:val="left"/>
            </w:pPr>
            <w:r/>
            <w:r>
              <w:rPr>
                <w:rFonts w:ascii="IBM Plex Sans" w:hAnsi="IBM Plex Sans" w:cs="IBM Plex Sans" w:eastAsia="IBM Plex Sans"/>
                <w:b w:val="0"/>
                <w:i w:val="0"/>
                <w:color w:val="5F5F5F"/>
                <w:sz w:val="19"/>
              </w:rPr>
              <w:t>Attendant, Mobil in Time AG</w:t>
            </w:r>
          </w:p>
        </w:tc>
        <w:tc>
          <w:tcPr>
            <w:tcW w:w="1371"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val="0"/>
                <w:i w:val="0"/>
                <w:color w:val="1A1A1A"/>
                <w:sz w:val="19"/>
              </w:rPr>
            </w:r>
          </w:p>
        </w:tc>
        <w:tc>
          <w:tcPr>
            <w:tcW w:w="1900"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val="0"/>
                <w:i w:val="0"/>
                <w:color w:val="1A1A1A"/>
                <w:sz w:val="19"/>
              </w:rPr>
            </w:r>
          </w:p>
        </w:tc>
      </w:tr>
      <w:tr>
        <w:trPr>
          <w:cantSplit/>
          <w:cantSplit/>
          <w:trHeight w:val="620" w:hRule="atLeast"/>
        </w:trPr>
        <w:tc>
          <w:tcPr>
            <w:tcW w:w="2400" w:type="dxa"/>
            <w:vAlign w:val="center"/>
          </w:tcPr>
          <w:p>
            <w:pPr>
              <w:keepLines/>
              <w:spacing w:before="10" w:after="0" w:line="240" w:lineRule="auto"/>
              <w:ind w:left="0" w:right="0" w:firstLine="0"/>
              <w:jc w:val="left"/>
            </w:pPr>
            <w:r/>
            <w:r>
              <w:rPr>
                <w:rFonts w:ascii="IBM Plex Sans" w:hAnsi="IBM Plex Sans" w:cs="IBM Plex Sans" w:eastAsia="IBM Plex Sans"/>
                <w:b w:val="0"/>
                <w:i w:val="0"/>
                <w:color w:val="1A1A1A"/>
                <w:sz w:val="19"/>
              </w:rPr>
            </w:r>
          </w:p>
        </w:tc>
        <w:tc>
          <w:tcPr>
            <w:tcW w:w="3400" w:type="dxa"/>
            <w:vAlign w:val="center"/>
          </w:tcPr>
          <w:p>
            <w:pPr>
              <w:keepLines/>
              <w:spacing w:before="10" w:after="0" w:line="240" w:lineRule="auto"/>
              <w:ind w:left="0" w:right="0" w:firstLine="0"/>
              <w:jc w:val="left"/>
            </w:pPr>
            <w:r/>
            <w:r>
              <w:rPr>
                <w:rFonts w:ascii="IBM Plex Sans" w:hAnsi="IBM Plex Sans" w:cs="IBM Plex Sans" w:eastAsia="IBM Plex Sans"/>
                <w:b w:val="0"/>
                <w:i w:val="0"/>
                <w:color w:val="5F5F5F"/>
                <w:sz w:val="19"/>
              </w:rPr>
            </w:r>
          </w:p>
        </w:tc>
        <w:tc>
          <w:tcPr>
            <w:tcW w:w="1371"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val="0"/>
                <w:i w:val="0"/>
                <w:color w:val="1A1A1A"/>
                <w:sz w:val="19"/>
              </w:rPr>
            </w:r>
          </w:p>
        </w:tc>
        <w:tc>
          <w:tcPr>
            <w:tcW w:w="1900"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val="0"/>
                <w:i w:val="0"/>
                <w:color w:val="1A1A1A"/>
                <w:sz w:val="19"/>
              </w:rPr>
            </w:r>
          </w:p>
        </w:tc>
      </w:tr>
      <w:tr>
        <w:trPr>
          <w:cantSplit/>
          <w:cantSplit/>
          <w:trHeight w:val="620" w:hRule="atLeast"/>
        </w:trPr>
        <w:tc>
          <w:tcPr>
            <w:tcW w:w="2400" w:type="dxa"/>
            <w:vAlign w:val="center"/>
          </w:tcPr>
          <w:p>
            <w:pPr>
              <w:keepLines/>
              <w:spacing w:before="10" w:after="0" w:line="240" w:lineRule="auto"/>
              <w:ind w:left="0" w:right="0" w:firstLine="0"/>
              <w:jc w:val="left"/>
            </w:pPr>
            <w:r/>
            <w:r>
              <w:rPr>
                <w:rFonts w:ascii="IBM Plex Sans" w:hAnsi="IBM Plex Sans" w:cs="IBM Plex Sans" w:eastAsia="IBM Plex Sans"/>
                <w:b w:val="0"/>
                <w:i w:val="0"/>
                <w:color w:val="1A1A1A"/>
                <w:sz w:val="19"/>
              </w:rPr>
            </w:r>
          </w:p>
        </w:tc>
        <w:tc>
          <w:tcPr>
            <w:tcW w:w="3400" w:type="dxa"/>
            <w:vAlign w:val="center"/>
          </w:tcPr>
          <w:p>
            <w:pPr>
              <w:keepLines/>
              <w:spacing w:before="10" w:after="0" w:line="240" w:lineRule="auto"/>
              <w:ind w:left="0" w:right="0" w:firstLine="0"/>
              <w:jc w:val="left"/>
            </w:pPr>
            <w:r/>
            <w:r>
              <w:rPr>
                <w:rFonts w:ascii="IBM Plex Sans" w:hAnsi="IBM Plex Sans" w:cs="IBM Plex Sans" w:eastAsia="IBM Plex Sans"/>
                <w:b w:val="0"/>
                <w:i w:val="0"/>
                <w:color w:val="5F5F5F"/>
                <w:sz w:val="19"/>
              </w:rPr>
              <w:t>Reviewed for DPR Construction</w:t>
            </w:r>
          </w:p>
        </w:tc>
        <w:tc>
          <w:tcPr>
            <w:tcW w:w="1371"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val="0"/>
                <w:i w:val="0"/>
                <w:color w:val="1A1A1A"/>
                <w:sz w:val="19"/>
              </w:rPr>
            </w:r>
          </w:p>
        </w:tc>
        <w:tc>
          <w:tcPr>
            <w:tcW w:w="1900" w:type="dxa"/>
            <w:shd w:val="clear" w:color="auto" w:fill="F4F4F5"/>
            <w:vAlign w:val="center"/>
          </w:tcPr>
          <w:p>
            <w:pPr>
              <w:keepLines/>
              <w:spacing w:before="10" w:after="0" w:line="240" w:lineRule="auto"/>
              <w:ind w:left="0" w:right="0" w:firstLine="0"/>
              <w:jc w:val="left"/>
            </w:pPr>
            <w:r/>
            <w:r>
              <w:rPr>
                <w:rFonts w:ascii="IBM Plex Sans" w:hAnsi="IBM Plex Sans" w:cs="IBM Plex Sans" w:eastAsia="IBM Plex Sans"/>
                <w:b w:val="0"/>
                <w:i w:val="0"/>
                <w:color w:val="1A1A1A"/>
                <w:sz w:val="19"/>
              </w:rPr>
            </w:r>
          </w:p>
        </w:tc>
      </w:tr>
    </w:tbl>
    <w:p>
      <w:pPr>
        <w:pStyle w:val="Fliesstext"/>
        <w:keepLines/>
        <w:spacing w:before="0" w:after="100" w:line="240" w:lineRule="auto"/>
      </w:pPr>
      <w:r>
        <w:rPr>
          <w:rFonts w:ascii="IBM Plex Sans" w:hAnsi="IBM Plex Sans" w:cs="IBM Plex Sans" w:eastAsia="IBM Plex Sans"/>
          <w:b w:val="0"/>
          <w:i w:val="0"/>
          <w:color w:val="1A1A1A"/>
          <w:sz w:val="4"/>
        </w:rPr>
      </w:r>
    </w:p>
    <w:p>
      <w:pPr>
        <w:pStyle w:val="Fliesstext"/>
        <w:spacing w:before="0" w:after="110" w:line="250" w:lineRule="auto"/>
        <w:jc w:val="left"/>
      </w:pPr>
      <w:r>
        <w:rPr>
          <w:rFonts w:ascii="IBM Plex Sans" w:hAnsi="IBM Plex Sans" w:cs="IBM Plex Sans" w:eastAsia="IBM Plex Sans"/>
          <w:b w:val="0"/>
          <w:i w:val="0"/>
          <w:color w:val="5F5F5F"/>
          <w:sz w:val="17"/>
        </w:rPr>
        <w:t>End of document  ·  RAMS-MIT-ZRH12-004, Rev. 3</w:t>
      </w:r>
    </w:p>
    <w:sectPr w:rsidR="00437E1E" w:rsidSect="004843F4">
      <w:headerReference w:type="default" r:id="rId12"/>
      <w:footerReference w:type="default" r:id="rId13"/>
      <w:footerReference w:type="first" r:id="rId14"/>
      <w:pgSz w:w="11907" w:h="16840" w:code="9"/>
      <w:pgMar w:top="2552" w:right="1418" w:bottom="1985" w:left="1418" w:header="851" w:footer="22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C61B9" w14:textId="77777777" w:rsidR="002D241C" w:rsidRDefault="002D241C" w:rsidP="0087489C">
      <w:r>
        <w:separator/>
      </w:r>
    </w:p>
  </w:endnote>
  <w:endnote w:type="continuationSeparator" w:id="0">
    <w:p w14:paraId="0B3A6910" w14:textId="77777777" w:rsidR="002D241C" w:rsidRDefault="002D241C" w:rsidP="00874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NeueLT Std">
    <w:altName w:val="Arial"/>
    <w:panose1 w:val="00000000000000000000"/>
    <w:charset w:val="00"/>
    <w:family w:val="swiss"/>
    <w:notTrueType/>
    <w:pitch w:val="variable"/>
    <w:sig w:usb0="800000AF" w:usb1="4000204A"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IBM Plex Sans">
    <w:charset w:val="00"/>
    <w:family w:val="swiss"/>
    <w:pitch w:val="variable"/>
    <w:sig w:usb0="A00002EF" w:usb1="5000207B" w:usb2="00000000" w:usb3="00000000" w:csb0="0000019F" w:csb1="00000000"/>
  </w:font>
  <w:font w:name="Times">
    <w:panose1 w:val="02020603050405020304"/>
    <w:charset w:val="00"/>
    <w:family w:val="auto"/>
    <w:pitch w:val="variable"/>
    <w:sig w:usb0="E00002FF" w:usb1="5000205A" w:usb2="00000000" w:usb3="00000000" w:csb0="0000019F" w:csb1="00000000"/>
  </w:font>
  <w:font w:name="Times-Roman">
    <w:altName w:val="DokChampa"/>
    <w:panose1 w:val="00000000000000000000"/>
    <w:charset w:val="4D"/>
    <w:family w:val="auto"/>
    <w:notTrueType/>
    <w:pitch w:val="default"/>
    <w:sig w:usb0="03000003" w:usb1="00000000" w:usb2="00000000" w:usb3="00000000" w:csb0="00000001" w:csb1="00000000"/>
  </w:font>
  <w:font w:name="Alata">
    <w:altName w:val="Calibri"/>
    <w:charset w:val="00"/>
    <w:family w:val="auto"/>
    <w:pitch w:val="variable"/>
    <w:sig w:usb0="20000007" w:usb1="00000003" w:usb2="00000000" w:usb3="00000000" w:csb0="00000193" w:csb1="00000000"/>
  </w:font>
  <w:font w:name="HelveticaNeue LT 55 Roman">
    <w:altName w:val="Arial"/>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ABA5A" w14:textId="77777777" w:rsidR="00646578" w:rsidRPr="00275907" w:rsidRDefault="00646578" w:rsidP="00646578">
    <w:pPr>
      <w:pStyle w:val="Fliesstext"/>
      <w:spacing w:line="240" w:lineRule="auto"/>
      <w:jc w:val="right"/>
      <w:rPr>
        <w:rFonts w:eastAsia="Cambria"/>
        <w:sz w:val="14"/>
        <w:szCs w:val="14"/>
        <w:lang w:eastAsia="en-US"/>
      </w:rPr>
    </w:pPr>
    <w:r w:rsidRPr="004A31F5">
      <w:rPr>
        <w:noProof/>
        <w:sz w:val="14"/>
        <w:szCs w:val="14"/>
        <w:lang w:val="de-CH"/>
      </w:rPr>
      <w:drawing>
        <wp:anchor distT="0" distB="0" distL="114300" distR="114300" simplePos="0" relativeHeight="251673600" behindDoc="0" locked="0" layoutInCell="1" allowOverlap="1" wp14:anchorId="359AEC7C" wp14:editId="136F32FB">
          <wp:simplePos x="0" y="0"/>
          <wp:positionH relativeFrom="margin">
            <wp:posOffset>4888520</wp:posOffset>
          </wp:positionH>
          <wp:positionV relativeFrom="paragraph">
            <wp:posOffset>78740</wp:posOffset>
          </wp:positionV>
          <wp:extent cx="1054100" cy="654050"/>
          <wp:effectExtent l="0" t="0" r="0" b="0"/>
          <wp:wrapNone/>
          <wp:docPr id="2136958587" name="Grafik 2136958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73485" name="Grafik 1348373485"/>
                  <pic:cNvPicPr/>
                </pic:nvPicPr>
                <pic:blipFill>
                  <a:blip r:embed="rId1">
                    <a:extLst>
                      <a:ext uri="{96DAC541-7B7A-43D3-8B79-37D633B846F1}">
                        <asvg:svgBlip xmlns:asvg="http://schemas.microsoft.com/office/drawing/2016/SVG/main" r:embed="rId2"/>
                      </a:ext>
                    </a:extLst>
                  </a:blip>
                  <a:stretch>
                    <a:fillRect/>
                  </a:stretch>
                </pic:blipFill>
                <pic:spPr>
                  <a:xfrm>
                    <a:off x="0" y="0"/>
                    <a:ext cx="1054100" cy="6540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77696" behindDoc="0" locked="0" layoutInCell="1" allowOverlap="1" wp14:anchorId="2C038A2C" wp14:editId="1ED87C4C">
              <wp:simplePos x="0" y="0"/>
              <wp:positionH relativeFrom="column">
                <wp:posOffset>4247846</wp:posOffset>
              </wp:positionH>
              <wp:positionV relativeFrom="paragraph">
                <wp:posOffset>-118110</wp:posOffset>
              </wp:positionV>
              <wp:extent cx="1542415" cy="198755"/>
              <wp:effectExtent l="0" t="0" r="635" b="0"/>
              <wp:wrapSquare wrapText="bothSides"/>
              <wp:docPr id="191060238" name="Textfeld 191060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2415" cy="1987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57EFDD" w14:textId="77777777" w:rsidR="00646578" w:rsidRPr="00275907" w:rsidRDefault="00646578" w:rsidP="00646578">
                          <w:pPr>
                            <w:jc w:val="right"/>
                            <w:rPr>
                              <w:rFonts w:ascii="IBM Plex Sans" w:hAnsi="IBM Plex Sans"/>
                              <w:sz w:val="14"/>
                              <w:szCs w:val="14"/>
                            </w:rPr>
                          </w:pPr>
                          <w:r w:rsidRPr="00275907">
                            <w:rPr>
                              <w:rFonts w:ascii="IBM Plex Sans" w:hAnsi="IBM Plex Sans"/>
                              <w:sz w:val="14"/>
                              <w:szCs w:val="14"/>
                              <w:lang w:val="de-DE"/>
                            </w:rPr>
                            <w:t xml:space="preserve">Page </w:t>
                          </w:r>
                          <w:r w:rsidRPr="00275907">
                            <w:rPr>
                              <w:rFonts w:ascii="IBM Plex Sans" w:hAnsi="IBM Plex Sans"/>
                              <w:sz w:val="14"/>
                              <w:szCs w:val="14"/>
                            </w:rPr>
                            <w:fldChar w:fldCharType="begin"/>
                          </w:r>
                          <w:r w:rsidRPr="00275907">
                            <w:rPr>
                              <w:rFonts w:ascii="IBM Plex Sans" w:hAnsi="IBM Plex Sans"/>
                              <w:sz w:val="14"/>
                              <w:szCs w:val="14"/>
                            </w:rPr>
                            <w:instrText>PAGE  \* Arabic  \* MERGEFORMAT</w:instrText>
                          </w:r>
                          <w:r w:rsidRPr="00275907">
                            <w:rPr>
                              <w:rFonts w:ascii="IBM Plex Sans" w:hAnsi="IBM Plex Sans"/>
                              <w:sz w:val="14"/>
                              <w:szCs w:val="14"/>
                            </w:rPr>
                            <w:fldChar w:fldCharType="separate"/>
                          </w:r>
                          <w:r w:rsidRPr="00275907">
                            <w:rPr>
                              <w:rFonts w:ascii="IBM Plex Sans" w:hAnsi="IBM Plex Sans"/>
                              <w:sz w:val="14"/>
                              <w:szCs w:val="14"/>
                              <w:lang w:val="de-DE"/>
                            </w:rPr>
                            <w:t>1</w:t>
                          </w:r>
                          <w:r w:rsidRPr="00275907">
                            <w:rPr>
                              <w:rFonts w:ascii="IBM Plex Sans" w:hAnsi="IBM Plex Sans"/>
                              <w:sz w:val="14"/>
                              <w:szCs w:val="14"/>
                            </w:rPr>
                            <w:fldChar w:fldCharType="end"/>
                          </w:r>
                          <w:r w:rsidRPr="00275907">
                            <w:rPr>
                              <w:rFonts w:ascii="IBM Plex Sans" w:hAnsi="IBM Plex Sans"/>
                              <w:sz w:val="14"/>
                              <w:szCs w:val="14"/>
                              <w:lang w:val="de-DE"/>
                            </w:rPr>
                            <w:t xml:space="preserve"> of </w:t>
                          </w:r>
                          <w:r w:rsidRPr="00275907">
                            <w:rPr>
                              <w:rFonts w:ascii="IBM Plex Sans" w:hAnsi="IBM Plex Sans"/>
                              <w:sz w:val="14"/>
                              <w:szCs w:val="14"/>
                            </w:rPr>
                            <w:fldChar w:fldCharType="begin"/>
                          </w:r>
                          <w:r w:rsidRPr="00275907">
                            <w:rPr>
                              <w:rFonts w:ascii="IBM Plex Sans" w:hAnsi="IBM Plex Sans"/>
                              <w:sz w:val="14"/>
                              <w:szCs w:val="14"/>
                            </w:rPr>
                            <w:instrText>NUMPAGES  \* Arabic  \* MERGEFORMAT</w:instrText>
                          </w:r>
                          <w:r w:rsidRPr="00275907">
                            <w:rPr>
                              <w:rFonts w:ascii="IBM Plex Sans" w:hAnsi="IBM Plex Sans"/>
                              <w:sz w:val="14"/>
                              <w:szCs w:val="14"/>
                            </w:rPr>
                            <w:fldChar w:fldCharType="separate"/>
                          </w:r>
                          <w:r w:rsidRPr="00275907">
                            <w:rPr>
                              <w:rFonts w:ascii="IBM Plex Sans" w:hAnsi="IBM Plex Sans"/>
                              <w:sz w:val="14"/>
                              <w:szCs w:val="14"/>
                              <w:lang w:val="de-DE"/>
                            </w:rPr>
                            <w:t>2</w:t>
                          </w:r>
                          <w:r w:rsidRPr="00275907">
                            <w:rPr>
                              <w:rFonts w:ascii="IBM Plex Sans" w:hAnsi="IBM Plex Sans"/>
                              <w:sz w:val="14"/>
                              <w:szCs w:val="14"/>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C038A2C" id="_x0000_t202" coordsize="21600,21600" o:spt="202" path="m,l,21600r21600,l21600,xe">
              <v:stroke joinstyle="miter"/>
              <v:path gradientshapeok="t" o:connecttype="rect"/>
            </v:shapetype>
            <v:shape id="Textfeld 191060238" o:spid="_x0000_s1028" type="#_x0000_t202" style="position:absolute;left:0;text-align:left;margin-left:334.5pt;margin-top:-9.3pt;width:121.45pt;height:15.6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" stroked="f">
              <v:textbox>
                <w:txbxContent>
                  <w:p w14:paraId="4A57EFDD" w14:textId="77777777" w:rsidR="00646578" w:rsidRPr="00275907" w:rsidRDefault="00646578" w:rsidP="00646578">
                    <w:pPr>
                      <w:jc w:val="right"/>
                      <w:rPr>
                        <w:rFonts w:ascii="IBM Plex Sans" w:hAnsi="IBM Plex Sans"/>
                        <w:sz w:val="14"/>
                        <w:szCs w:val="14"/>
                      </w:rPr>
                    </w:pPr>
                    <w:r w:rsidRPr="00275907">
                      <w:rPr>
                        <w:rFonts w:ascii="IBM Plex Sans" w:hAnsi="IBM Plex Sans"/>
                        <w:sz w:val="14"/>
                        <w:szCs w:val="14"/>
                        <w:lang w:val="de-DE"/>
                      </w:rPr>
                      <w:t xml:space="preserve">Page </w:t>
                    </w:r>
                    <w:r w:rsidRPr="00275907">
                      <w:rPr>
                        <w:rFonts w:ascii="IBM Plex Sans" w:hAnsi="IBM Plex Sans"/>
                        <w:sz w:val="14"/>
                        <w:szCs w:val="14"/>
                      </w:rPr>
                      <w:fldChar w:fldCharType="begin"/>
                    </w:r>
                    <w:r w:rsidRPr="00275907">
                      <w:rPr>
                        <w:rFonts w:ascii="IBM Plex Sans" w:hAnsi="IBM Plex Sans"/>
                        <w:sz w:val="14"/>
                        <w:szCs w:val="14"/>
                      </w:rPr>
                      <w:instrText>PAGE  \* Arabic  \* MERGEFORMAT</w:instrText>
                    </w:r>
                    <w:r w:rsidRPr="00275907">
                      <w:rPr>
                        <w:rFonts w:ascii="IBM Plex Sans" w:hAnsi="IBM Plex Sans"/>
                        <w:sz w:val="14"/>
                        <w:szCs w:val="14"/>
                      </w:rPr>
                      <w:fldChar w:fldCharType="separate"/>
                    </w:r>
                    <w:r w:rsidRPr="00275907">
                      <w:rPr>
                        <w:rFonts w:ascii="IBM Plex Sans" w:hAnsi="IBM Plex Sans"/>
                        <w:sz w:val="14"/>
                        <w:szCs w:val="14"/>
                        <w:lang w:val="de-DE"/>
                      </w:rPr>
                      <w:t>1</w:t>
                    </w:r>
                    <w:r w:rsidRPr="00275907">
                      <w:rPr>
                        <w:rFonts w:ascii="IBM Plex Sans" w:hAnsi="IBM Plex Sans"/>
                        <w:sz w:val="14"/>
                        <w:szCs w:val="14"/>
                      </w:rPr>
                      <w:fldChar w:fldCharType="end"/>
                    </w:r>
                    <w:r w:rsidRPr="00275907">
                      <w:rPr>
                        <w:rFonts w:ascii="IBM Plex Sans" w:hAnsi="IBM Plex Sans"/>
                        <w:sz w:val="14"/>
                        <w:szCs w:val="14"/>
                        <w:lang w:val="de-DE"/>
                      </w:rPr>
                      <w:t xml:space="preserve"> of </w:t>
                    </w:r>
                    <w:r w:rsidRPr="00275907">
                      <w:rPr>
                        <w:rFonts w:ascii="IBM Plex Sans" w:hAnsi="IBM Plex Sans"/>
                        <w:sz w:val="14"/>
                        <w:szCs w:val="14"/>
                      </w:rPr>
                      <w:fldChar w:fldCharType="begin"/>
                    </w:r>
                    <w:r w:rsidRPr="00275907">
                      <w:rPr>
                        <w:rFonts w:ascii="IBM Plex Sans" w:hAnsi="IBM Plex Sans"/>
                        <w:sz w:val="14"/>
                        <w:szCs w:val="14"/>
                      </w:rPr>
                      <w:instrText>NUMPAGES  \* Arabic  \* MERGEFORMAT</w:instrText>
                    </w:r>
                    <w:r w:rsidRPr="00275907">
                      <w:rPr>
                        <w:rFonts w:ascii="IBM Plex Sans" w:hAnsi="IBM Plex Sans"/>
                        <w:sz w:val="14"/>
                        <w:szCs w:val="14"/>
                      </w:rPr>
                      <w:fldChar w:fldCharType="separate"/>
                    </w:r>
                    <w:r w:rsidRPr="00275907">
                      <w:rPr>
                        <w:rFonts w:ascii="IBM Plex Sans" w:hAnsi="IBM Plex Sans"/>
                        <w:sz w:val="14"/>
                        <w:szCs w:val="14"/>
                        <w:lang w:val="de-DE"/>
                      </w:rPr>
                      <w:t>2</w:t>
                    </w:r>
                    <w:r w:rsidRPr="00275907">
                      <w:rPr>
                        <w:rFonts w:ascii="IBM Plex Sans" w:hAnsi="IBM Plex Sans"/>
                        <w:sz w:val="14"/>
                        <w:szCs w:val="14"/>
                      </w:rPr>
                      <w:fldChar w:fldCharType="end"/>
                    </w:r>
                  </w:p>
                </w:txbxContent>
              </v:textbox>
              <w10:wrap type="square"/>
            </v:shape>
          </w:pict>
        </mc:Fallback>
      </mc:AlternateContent>
    </w:r>
    <w:r w:rsidRPr="00275907">
      <w:rPr>
        <w:noProof/>
        <w:sz w:val="14"/>
        <w:szCs w:val="14"/>
      </w:rPr>
      <mc:AlternateContent>
        <mc:Choice Requires="wps">
          <w:drawing>
            <wp:anchor distT="0" distB="0" distL="114300" distR="114300" simplePos="0" relativeHeight="251676672" behindDoc="0" locked="0" layoutInCell="1" allowOverlap="1" wp14:anchorId="72253FEE" wp14:editId="1A1282E0">
              <wp:simplePos x="0" y="0"/>
              <wp:positionH relativeFrom="column">
                <wp:posOffset>6038850</wp:posOffset>
              </wp:positionH>
              <wp:positionV relativeFrom="paragraph">
                <wp:posOffset>9791065</wp:posOffset>
              </wp:positionV>
              <wp:extent cx="1220470" cy="210820"/>
              <wp:effectExtent l="0" t="0" r="0" b="0"/>
              <wp:wrapNone/>
              <wp:docPr id="1831619107" name="Textfeld 1831619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0470" cy="210820"/>
                      </a:xfrm>
                      <a:prstGeom prst="rect">
                        <a:avLst/>
                      </a:prstGeom>
                      <a:noFill/>
                      <a:ln w="6350">
                        <a:noFill/>
                      </a:ln>
                    </wps:spPr>
                    <wps:txbx>
                      <w:txbxContent>
                        <w:p w14:paraId="695FF8CE" w14:textId="77777777" w:rsidR="00646578" w:rsidRPr="00EB4553" w:rsidRDefault="00646578" w:rsidP="00646578">
                          <w:pPr>
                            <w:pStyle w:val="Fliesstext"/>
                            <w:spacing w:line="240" w:lineRule="auto"/>
                            <w:jc w:val="left"/>
                            <w:rPr>
                              <w:color w:val="auto"/>
                              <w:sz w:val="14"/>
                              <w:szCs w:val="14"/>
                            </w:rPr>
                          </w:pPr>
                          <w:r w:rsidRPr="00EB4553">
                            <w:rPr>
                              <w:sz w:val="14"/>
                              <w:szCs w:val="16"/>
                            </w:rPr>
                            <w:t xml:space="preserve">Page </w:t>
                          </w:r>
                          <w:r w:rsidRPr="00EB4553">
                            <w:rPr>
                              <w:sz w:val="14"/>
                              <w:szCs w:val="16"/>
                            </w:rPr>
                            <w:fldChar w:fldCharType="begin"/>
                          </w:r>
                          <w:r w:rsidRPr="00EB4553">
                            <w:rPr>
                              <w:sz w:val="14"/>
                              <w:szCs w:val="16"/>
                            </w:rPr>
                            <w:instrText xml:space="preserve"> PAGE   \* MERGEFORMAT </w:instrText>
                          </w:r>
                          <w:r w:rsidRPr="00EB4553">
                            <w:rPr>
                              <w:sz w:val="14"/>
                              <w:szCs w:val="16"/>
                            </w:rPr>
                            <w:fldChar w:fldCharType="separate"/>
                          </w:r>
                          <w:r w:rsidRPr="00EB4553">
                            <w:rPr>
                              <w:sz w:val="14"/>
                              <w:szCs w:val="16"/>
                            </w:rPr>
                            <w:t>1</w:t>
                          </w:r>
                          <w:r w:rsidRPr="00EB4553">
                            <w:rPr>
                              <w:sz w:val="14"/>
                              <w:szCs w:val="16"/>
                            </w:rPr>
                            <w:fldChar w:fldCharType="end"/>
                          </w:r>
                          <w:r w:rsidRPr="00EB4553">
                            <w:rPr>
                              <w:sz w:val="14"/>
                              <w:szCs w:val="16"/>
                            </w:rPr>
                            <w:t xml:space="preserve"> of </w:t>
                          </w:r>
                          <w:r w:rsidRPr="00EB4553">
                            <w:rPr>
                              <w:sz w:val="14"/>
                              <w:szCs w:val="16"/>
                            </w:rPr>
                            <w:fldChar w:fldCharType="begin"/>
                          </w:r>
                          <w:r w:rsidRPr="00EB4553">
                            <w:rPr>
                              <w:sz w:val="14"/>
                              <w:szCs w:val="16"/>
                            </w:rPr>
                            <w:instrText xml:space="preserve"> NUMPAGES   \* MERGEFORMAT </w:instrText>
                          </w:r>
                          <w:r w:rsidRPr="00EB4553">
                            <w:rPr>
                              <w:sz w:val="14"/>
                              <w:szCs w:val="16"/>
                            </w:rPr>
                            <w:fldChar w:fldCharType="separate"/>
                          </w:r>
                          <w:r w:rsidRPr="00EB4553">
                            <w:rPr>
                              <w:sz w:val="14"/>
                              <w:szCs w:val="16"/>
                            </w:rPr>
                            <w:t>6</w:t>
                          </w:r>
                          <w:r w:rsidRPr="00EB4553">
                            <w:rPr>
                              <w:sz w:val="14"/>
                              <w:szCs w:val="16"/>
                            </w:rPr>
                            <w:fldChar w:fldCharType="end"/>
                          </w:r>
                        </w:p>
                        <w:p w14:paraId="21D8D40D" w14:textId="77777777" w:rsidR="00646578" w:rsidRPr="00EB4553" w:rsidRDefault="00646578" w:rsidP="00646578">
                          <w:pPr>
                            <w:rPr>
                              <w:rFonts w:ascii="IBM Plex Sans" w:hAnsi="IBM Plex Sans"/>
                              <w:color w:val="464646"/>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253FEE" id="Textfeld 1831619107" o:spid="_x0000_s1029" type="#_x0000_t202" style="position:absolute;left:0;text-align:left;margin-left:475.5pt;margin-top:770.95pt;width:96.1pt;height:16.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" filled="f" stroked="f" strokeweight=".5pt">
              <v:textbox>
                <w:txbxContent>
                  <w:p w14:paraId="695FF8CE" w14:textId="77777777" w:rsidR="00646578" w:rsidRPr="00EB4553" w:rsidRDefault="00646578" w:rsidP="00646578">
                    <w:pPr>
                      <w:pStyle w:val="Fliesstext"/>
                      <w:spacing w:line="240" w:lineRule="auto"/>
                      <w:jc w:val="left"/>
                      <w:rPr>
                        <w:color w:val="auto"/>
                        <w:sz w:val="14"/>
                        <w:szCs w:val="14"/>
                      </w:rPr>
                    </w:pPr>
                    <w:r w:rsidRPr="00EB4553">
                      <w:rPr>
                        <w:sz w:val="14"/>
                        <w:szCs w:val="16"/>
                      </w:rPr>
                      <w:t xml:space="preserve">Page </w:t>
                    </w:r>
                    <w:r w:rsidRPr="00EB4553">
                      <w:rPr>
                        <w:sz w:val="14"/>
                        <w:szCs w:val="16"/>
                      </w:rPr>
                      <w:fldChar w:fldCharType="begin"/>
                    </w:r>
                    <w:r w:rsidRPr="00EB4553">
                      <w:rPr>
                        <w:sz w:val="14"/>
                        <w:szCs w:val="16"/>
                      </w:rPr>
                      <w:instrText xml:space="preserve"> PAGE   \* MERGEFORMAT </w:instrText>
                    </w:r>
                    <w:r w:rsidRPr="00EB4553">
                      <w:rPr>
                        <w:sz w:val="14"/>
                        <w:szCs w:val="16"/>
                      </w:rPr>
                      <w:fldChar w:fldCharType="separate"/>
                    </w:r>
                    <w:r w:rsidRPr="00EB4553">
                      <w:rPr>
                        <w:sz w:val="14"/>
                        <w:szCs w:val="16"/>
                      </w:rPr>
                      <w:t>1</w:t>
                    </w:r>
                    <w:r w:rsidRPr="00EB4553">
                      <w:rPr>
                        <w:sz w:val="14"/>
                        <w:szCs w:val="16"/>
                      </w:rPr>
                      <w:fldChar w:fldCharType="end"/>
                    </w:r>
                    <w:r w:rsidRPr="00EB4553">
                      <w:rPr>
                        <w:sz w:val="14"/>
                        <w:szCs w:val="16"/>
                      </w:rPr>
                      <w:t xml:space="preserve"> of </w:t>
                    </w:r>
                    <w:r w:rsidRPr="00EB4553">
                      <w:rPr>
                        <w:sz w:val="14"/>
                        <w:szCs w:val="16"/>
                      </w:rPr>
                      <w:fldChar w:fldCharType="begin"/>
                    </w:r>
                    <w:r w:rsidRPr="00EB4553">
                      <w:rPr>
                        <w:sz w:val="14"/>
                        <w:szCs w:val="16"/>
                      </w:rPr>
                      <w:instrText xml:space="preserve"> NUMPAGES   \* MERGEFORMAT </w:instrText>
                    </w:r>
                    <w:r w:rsidRPr="00EB4553">
                      <w:rPr>
                        <w:sz w:val="14"/>
                        <w:szCs w:val="16"/>
                      </w:rPr>
                      <w:fldChar w:fldCharType="separate"/>
                    </w:r>
                    <w:r w:rsidRPr="00EB4553">
                      <w:rPr>
                        <w:sz w:val="14"/>
                        <w:szCs w:val="16"/>
                      </w:rPr>
                      <w:t>6</w:t>
                    </w:r>
                    <w:r w:rsidRPr="00EB4553">
                      <w:rPr>
                        <w:sz w:val="14"/>
                        <w:szCs w:val="16"/>
                      </w:rPr>
                      <w:fldChar w:fldCharType="end"/>
                    </w:r>
                  </w:p>
                  <w:p w14:paraId="21D8D40D" w14:textId="77777777" w:rsidR="00646578" w:rsidRPr="00EB4553" w:rsidRDefault="00646578" w:rsidP="00646578">
                    <w:pPr>
                      <w:rPr>
                        <w:rFonts w:ascii="IBM Plex Sans" w:hAnsi="IBM Plex Sans"/>
                        <w:color w:val="464646"/>
                        <w:sz w:val="14"/>
                        <w:szCs w:val="14"/>
                      </w:rPr>
                    </w:pPr>
                  </w:p>
                </w:txbxContent>
              </v:textbox>
            </v:shape>
          </w:pict>
        </mc:Fallback>
      </mc:AlternateContent>
    </w:r>
    <w:r w:rsidRPr="00275907">
      <w:rPr>
        <w:noProof/>
        <w:sz w:val="14"/>
        <w:szCs w:val="14"/>
      </w:rPr>
      <mc:AlternateContent>
        <mc:Choice Requires="wps">
          <w:drawing>
            <wp:anchor distT="0" distB="0" distL="114300" distR="114300" simplePos="0" relativeHeight="251675648" behindDoc="0" locked="0" layoutInCell="1" allowOverlap="1" wp14:anchorId="53339720" wp14:editId="7D3998F6">
              <wp:simplePos x="0" y="0"/>
              <wp:positionH relativeFrom="column">
                <wp:posOffset>6038850</wp:posOffset>
              </wp:positionH>
              <wp:positionV relativeFrom="paragraph">
                <wp:posOffset>9791065</wp:posOffset>
              </wp:positionV>
              <wp:extent cx="1220470" cy="210820"/>
              <wp:effectExtent l="0" t="0" r="0" b="0"/>
              <wp:wrapNone/>
              <wp:docPr id="1777089041" name="Textfeld 17770890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0470" cy="210820"/>
                      </a:xfrm>
                      <a:prstGeom prst="rect">
                        <a:avLst/>
                      </a:prstGeom>
                      <a:noFill/>
                      <a:ln w="6350">
                        <a:noFill/>
                      </a:ln>
                    </wps:spPr>
                    <wps:txbx>
                      <w:txbxContent>
                        <w:p w14:paraId="6F93BAC8" w14:textId="77777777" w:rsidR="00646578" w:rsidRPr="00EB4553" w:rsidRDefault="00646578" w:rsidP="00646578">
                          <w:pPr>
                            <w:pStyle w:val="Fliesstext"/>
                            <w:spacing w:line="240" w:lineRule="auto"/>
                            <w:jc w:val="left"/>
                            <w:rPr>
                              <w:color w:val="auto"/>
                              <w:sz w:val="14"/>
                              <w:szCs w:val="14"/>
                            </w:rPr>
                          </w:pPr>
                          <w:r w:rsidRPr="00EB4553">
                            <w:rPr>
                              <w:sz w:val="14"/>
                              <w:szCs w:val="16"/>
                            </w:rPr>
                            <w:t xml:space="preserve">Page </w:t>
                          </w:r>
                          <w:r w:rsidRPr="00EB4553">
                            <w:rPr>
                              <w:sz w:val="14"/>
                              <w:szCs w:val="16"/>
                            </w:rPr>
                            <w:fldChar w:fldCharType="begin"/>
                          </w:r>
                          <w:r w:rsidRPr="00EB4553">
                            <w:rPr>
                              <w:sz w:val="14"/>
                              <w:szCs w:val="16"/>
                            </w:rPr>
                            <w:instrText xml:space="preserve"> PAGE   \* MERGEFORMAT </w:instrText>
                          </w:r>
                          <w:r w:rsidRPr="00EB4553">
                            <w:rPr>
                              <w:sz w:val="14"/>
                              <w:szCs w:val="16"/>
                            </w:rPr>
                            <w:fldChar w:fldCharType="separate"/>
                          </w:r>
                          <w:r w:rsidRPr="00EB4553">
                            <w:rPr>
                              <w:sz w:val="14"/>
                              <w:szCs w:val="16"/>
                            </w:rPr>
                            <w:t>1</w:t>
                          </w:r>
                          <w:r w:rsidRPr="00EB4553">
                            <w:rPr>
                              <w:sz w:val="14"/>
                              <w:szCs w:val="16"/>
                            </w:rPr>
                            <w:fldChar w:fldCharType="end"/>
                          </w:r>
                          <w:r w:rsidRPr="00EB4553">
                            <w:rPr>
                              <w:sz w:val="14"/>
                              <w:szCs w:val="16"/>
                            </w:rPr>
                            <w:t xml:space="preserve"> of </w:t>
                          </w:r>
                          <w:r w:rsidRPr="00EB4553">
                            <w:rPr>
                              <w:sz w:val="14"/>
                              <w:szCs w:val="16"/>
                            </w:rPr>
                            <w:fldChar w:fldCharType="begin"/>
                          </w:r>
                          <w:r w:rsidRPr="00EB4553">
                            <w:rPr>
                              <w:sz w:val="14"/>
                              <w:szCs w:val="16"/>
                            </w:rPr>
                            <w:instrText xml:space="preserve"> NUMPAGES   \* MERGEFORMAT </w:instrText>
                          </w:r>
                          <w:r w:rsidRPr="00EB4553">
                            <w:rPr>
                              <w:sz w:val="14"/>
                              <w:szCs w:val="16"/>
                            </w:rPr>
                            <w:fldChar w:fldCharType="separate"/>
                          </w:r>
                          <w:r w:rsidRPr="00EB4553">
                            <w:rPr>
                              <w:sz w:val="14"/>
                              <w:szCs w:val="16"/>
                            </w:rPr>
                            <w:t>6</w:t>
                          </w:r>
                          <w:r w:rsidRPr="00EB4553">
                            <w:rPr>
                              <w:sz w:val="14"/>
                              <w:szCs w:val="16"/>
                            </w:rPr>
                            <w:fldChar w:fldCharType="end"/>
                          </w:r>
                        </w:p>
                        <w:p w14:paraId="1171901B" w14:textId="77777777" w:rsidR="00646578" w:rsidRPr="00EB4553" w:rsidRDefault="00646578" w:rsidP="00646578">
                          <w:pPr>
                            <w:rPr>
                              <w:rFonts w:ascii="IBM Plex Sans" w:hAnsi="IBM Plex Sans"/>
                              <w:color w:val="464646"/>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39720" id="Textfeld 1777089041" o:spid="_x0000_s1030" type="#_x0000_t202" style="position:absolute;left:0;text-align:left;margin-left:475.5pt;margin-top:770.95pt;width:96.1pt;height:16.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" filled="f" stroked="f" strokeweight=".5pt">
              <v:textbox>
                <w:txbxContent>
                  <w:p w14:paraId="6F93BAC8" w14:textId="77777777" w:rsidR="00646578" w:rsidRPr="00EB4553" w:rsidRDefault="00646578" w:rsidP="00646578">
                    <w:pPr>
                      <w:pStyle w:val="Fliesstext"/>
                      <w:spacing w:line="240" w:lineRule="auto"/>
                      <w:jc w:val="left"/>
                      <w:rPr>
                        <w:color w:val="auto"/>
                        <w:sz w:val="14"/>
                        <w:szCs w:val="14"/>
                      </w:rPr>
                    </w:pPr>
                    <w:r w:rsidRPr="00EB4553">
                      <w:rPr>
                        <w:sz w:val="14"/>
                        <w:szCs w:val="16"/>
                      </w:rPr>
                      <w:t xml:space="preserve">Page </w:t>
                    </w:r>
                    <w:r w:rsidRPr="00EB4553">
                      <w:rPr>
                        <w:sz w:val="14"/>
                        <w:szCs w:val="16"/>
                      </w:rPr>
                      <w:fldChar w:fldCharType="begin"/>
                    </w:r>
                    <w:r w:rsidRPr="00EB4553">
                      <w:rPr>
                        <w:sz w:val="14"/>
                        <w:szCs w:val="16"/>
                      </w:rPr>
                      <w:instrText xml:space="preserve"> PAGE   \* MERGEFORMAT </w:instrText>
                    </w:r>
                    <w:r w:rsidRPr="00EB4553">
                      <w:rPr>
                        <w:sz w:val="14"/>
                        <w:szCs w:val="16"/>
                      </w:rPr>
                      <w:fldChar w:fldCharType="separate"/>
                    </w:r>
                    <w:r w:rsidRPr="00EB4553">
                      <w:rPr>
                        <w:sz w:val="14"/>
                        <w:szCs w:val="16"/>
                      </w:rPr>
                      <w:t>1</w:t>
                    </w:r>
                    <w:r w:rsidRPr="00EB4553">
                      <w:rPr>
                        <w:sz w:val="14"/>
                        <w:szCs w:val="16"/>
                      </w:rPr>
                      <w:fldChar w:fldCharType="end"/>
                    </w:r>
                    <w:r w:rsidRPr="00EB4553">
                      <w:rPr>
                        <w:sz w:val="14"/>
                        <w:szCs w:val="16"/>
                      </w:rPr>
                      <w:t xml:space="preserve"> of </w:t>
                    </w:r>
                    <w:r w:rsidRPr="00EB4553">
                      <w:rPr>
                        <w:sz w:val="14"/>
                        <w:szCs w:val="16"/>
                      </w:rPr>
                      <w:fldChar w:fldCharType="begin"/>
                    </w:r>
                    <w:r w:rsidRPr="00EB4553">
                      <w:rPr>
                        <w:sz w:val="14"/>
                        <w:szCs w:val="16"/>
                      </w:rPr>
                      <w:instrText xml:space="preserve"> NUMPAGES   \* MERGEFORMAT </w:instrText>
                    </w:r>
                    <w:r w:rsidRPr="00EB4553">
                      <w:rPr>
                        <w:sz w:val="14"/>
                        <w:szCs w:val="16"/>
                      </w:rPr>
                      <w:fldChar w:fldCharType="separate"/>
                    </w:r>
                    <w:r w:rsidRPr="00EB4553">
                      <w:rPr>
                        <w:sz w:val="14"/>
                        <w:szCs w:val="16"/>
                      </w:rPr>
                      <w:t>6</w:t>
                    </w:r>
                    <w:r w:rsidRPr="00EB4553">
                      <w:rPr>
                        <w:sz w:val="14"/>
                        <w:szCs w:val="16"/>
                      </w:rPr>
                      <w:fldChar w:fldCharType="end"/>
                    </w:r>
                  </w:p>
                  <w:p w14:paraId="1171901B" w14:textId="77777777" w:rsidR="00646578" w:rsidRPr="00EB4553" w:rsidRDefault="00646578" w:rsidP="00646578">
                    <w:pPr>
                      <w:rPr>
                        <w:rFonts w:ascii="IBM Plex Sans" w:hAnsi="IBM Plex Sans"/>
                        <w:color w:val="464646"/>
                        <w:sz w:val="14"/>
                        <w:szCs w:val="14"/>
                      </w:rPr>
                    </w:pPr>
                  </w:p>
                </w:txbxContent>
              </v:textbox>
            </v:shape>
          </w:pict>
        </mc:Fallback>
      </mc:AlternateContent>
    </w:r>
  </w:p>
  <w:p w14:paraId="660BC910" w14:textId="77777777" w:rsidR="00646578" w:rsidRPr="00610D0C" w:rsidRDefault="00646578" w:rsidP="00646578">
    <w:pPr>
      <w:pStyle w:val="TextHelveticaNeue"/>
      <w:tabs>
        <w:tab w:val="left" w:pos="1418"/>
        <w:tab w:val="left" w:pos="2977"/>
        <w:tab w:val="left" w:pos="3261"/>
      </w:tabs>
      <w:jc w:val="left"/>
      <w:rPr>
        <w:rFonts w:ascii="Alata" w:hAnsi="Alata"/>
        <w:color w:val="E20031"/>
        <w:sz w:val="14"/>
        <w:szCs w:val="14"/>
      </w:rPr>
    </w:pPr>
    <w:r>
      <w:rPr>
        <w:noProof/>
        <w:color w:val="E00036"/>
      </w:rPr>
      <mc:AlternateContent>
        <mc:Choice Requires="wps">
          <w:drawing>
            <wp:anchor distT="4294967295" distB="4294967295" distL="114300" distR="114300" simplePos="0" relativeHeight="251674624" behindDoc="0" locked="0" layoutInCell="1" allowOverlap="1" wp14:anchorId="25AE1C9D" wp14:editId="238C87A2">
              <wp:simplePos x="0" y="0"/>
              <wp:positionH relativeFrom="column">
                <wp:posOffset>-3175</wp:posOffset>
              </wp:positionH>
              <wp:positionV relativeFrom="paragraph">
                <wp:posOffset>-19686</wp:posOffset>
              </wp:positionV>
              <wp:extent cx="5759450" cy="0"/>
              <wp:effectExtent l="0" t="0" r="0" b="0"/>
              <wp:wrapNone/>
              <wp:docPr id="1129076849" name="Gerader Verbinder 11290768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945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80A1D61" id="Gerader Verbinder 1129076849" o:spid="_x0000_s1026" style="position:absolute;z-index:251674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1.55pt" to="453.2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" strokecolor="black [3040]" strokeweight=".5pt">
              <o:lock v:ext="edit" shapetype="f"/>
            </v:line>
          </w:pict>
        </mc:Fallback>
      </mc:AlternateContent>
    </w:r>
    <w:r w:rsidRPr="00D67FD2">
      <w:rPr>
        <w:rFonts w:ascii="Alata" w:hAnsi="Alata"/>
        <w:color w:val="E00036"/>
        <w:sz w:val="14"/>
        <w:szCs w:val="14"/>
      </w:rPr>
      <w:t>Mobil in Time AG</w:t>
    </w:r>
    <w:r>
      <w:rPr>
        <w:rFonts w:ascii="Alata" w:hAnsi="Alata"/>
        <w:color w:val="E20031"/>
        <w:sz w:val="14"/>
        <w:szCs w:val="14"/>
      </w:rPr>
      <w:tab/>
    </w:r>
    <w:r>
      <w:rPr>
        <w:rFonts w:ascii="Alata" w:hAnsi="Alata"/>
        <w:color w:val="E20031"/>
        <w:sz w:val="14"/>
        <w:szCs w:val="14"/>
      </w:rPr>
      <w:tab/>
    </w:r>
    <w:r w:rsidRPr="004A31F5">
      <w:rPr>
        <w:rFonts w:ascii="IBM Plex Sans" w:hAnsi="IBM Plex Sans" w:cs="Calibri"/>
        <w:sz w:val="14"/>
        <w:szCs w:val="14"/>
      </w:rPr>
      <w:t>+41 41 710 45 06</w:t>
    </w:r>
  </w:p>
  <w:p w14:paraId="6D2D57C1" w14:textId="77777777" w:rsidR="00646578" w:rsidRPr="00046163" w:rsidRDefault="00646578" w:rsidP="00646578">
    <w:pPr>
      <w:pStyle w:val="TextHelveticaNeue"/>
      <w:tabs>
        <w:tab w:val="left" w:pos="2977"/>
        <w:tab w:val="left" w:pos="3261"/>
        <w:tab w:val="left" w:pos="6521"/>
      </w:tabs>
      <w:jc w:val="left"/>
      <w:rPr>
        <w:rFonts w:ascii="IBM Plex Sans" w:hAnsi="IBM Plex Sans"/>
        <w:sz w:val="14"/>
        <w:szCs w:val="14"/>
      </w:rPr>
    </w:pPr>
    <w:r w:rsidRPr="004A31F5">
      <w:rPr>
        <w:rFonts w:ascii="IBM Plex Sans" w:hAnsi="IBM Plex Sans"/>
        <w:sz w:val="14"/>
        <w:szCs w:val="14"/>
        <w:lang w:val="de-CH"/>
      </w:rPr>
      <w:t>Gulmmatt 1</w:t>
    </w:r>
    <w:r w:rsidRPr="00046163">
      <w:rPr>
        <w:rFonts w:ascii="IBM Plex Sans" w:hAnsi="IBM Plex Sans"/>
        <w:sz w:val="14"/>
        <w:szCs w:val="14"/>
      </w:rPr>
      <w:tab/>
    </w:r>
    <w:r w:rsidRPr="004A31F5">
      <w:rPr>
        <w:rFonts w:ascii="IBM Plex Sans" w:hAnsi="IBM Plex Sans" w:cs="Calibri"/>
        <w:sz w:val="14"/>
        <w:szCs w:val="14"/>
      </w:rPr>
      <w:t>www.mobilintime.com</w:t>
    </w:r>
    <w:r>
      <w:rPr>
        <w:rStyle w:val="Absatz-Standardschriftart1"/>
        <w:rFonts w:ascii="IBM Plex Sans" w:hAnsi="IBM Plex Sans" w:cs="Calibri"/>
        <w:sz w:val="14"/>
        <w:szCs w:val="14"/>
      </w:rPr>
      <w:tab/>
      <w:t>An Aggreko Company</w:t>
    </w:r>
  </w:p>
  <w:p w14:paraId="7F8C8B5C" w14:textId="77777777" w:rsidR="00646578" w:rsidRPr="00306515" w:rsidRDefault="00646578" w:rsidP="00646578">
    <w:pPr>
      <w:pStyle w:val="TextHelveticaNeue"/>
      <w:tabs>
        <w:tab w:val="left" w:pos="2977"/>
        <w:tab w:val="left" w:pos="3261"/>
        <w:tab w:val="left" w:pos="6521"/>
      </w:tabs>
      <w:jc w:val="left"/>
      <w:rPr>
        <w:rFonts w:ascii="IBM Plex Sans" w:hAnsi="IBM Plex Sans"/>
        <w:sz w:val="14"/>
        <w:szCs w:val="14"/>
        <w:lang w:val="it-IT"/>
      </w:rPr>
    </w:pPr>
    <w:r w:rsidRPr="0087475B">
      <w:rPr>
        <w:rFonts w:ascii="IBM Plex Sans" w:hAnsi="IBM Plex Sans"/>
        <w:sz w:val="14"/>
        <w:szCs w:val="14"/>
        <w:lang w:val="it-IT"/>
      </w:rPr>
      <w:t>6340 Baar</w:t>
    </w:r>
    <w:r w:rsidRPr="00306515">
      <w:rPr>
        <w:rFonts w:ascii="IBM Plex Sans" w:hAnsi="IBM Plex Sans"/>
        <w:sz w:val="14"/>
        <w:szCs w:val="14"/>
        <w:lang w:val="it-IT"/>
      </w:rPr>
      <w:tab/>
    </w:r>
    <w:r w:rsidRPr="00306515">
      <w:rPr>
        <w:rStyle w:val="Absatz-Standardschriftart1"/>
        <w:rFonts w:ascii="IBM Plex Sans" w:hAnsi="IBM Plex Sans" w:cs="Calibri"/>
        <w:sz w:val="14"/>
        <w:szCs w:val="14"/>
        <w:lang w:val="it-IT"/>
      </w:rPr>
      <w:t xml:space="preserve"> </w:t>
    </w:r>
    <w:r w:rsidRPr="00306515">
      <w:rPr>
        <w:rStyle w:val="Absatz-Standardschriftart1"/>
        <w:rFonts w:ascii="IBM Plex Sans" w:hAnsi="IBM Plex Sans" w:cs="Calibri"/>
        <w:sz w:val="14"/>
        <w:szCs w:val="14"/>
        <w:lang w:val="it-IT"/>
      </w:rPr>
      <w:tab/>
      <w:t xml:space="preserve"> </w:t>
    </w:r>
  </w:p>
  <w:p w14:paraId="4DCB3930" w14:textId="77777777" w:rsidR="00560019" w:rsidRPr="00646578" w:rsidRDefault="00560019" w:rsidP="00646578">
    <w:pPr>
      <w:pStyle w:val="Fuzeile"/>
      <w:ind w:left="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85CE5" w14:textId="77777777" w:rsidR="00696B5C" w:rsidRPr="00275907" w:rsidRDefault="00437E1E" w:rsidP="00696B5C">
    <w:pPr>
      <w:pStyle w:val="Fliesstext"/>
      <w:spacing w:line="240" w:lineRule="auto"/>
      <w:jc w:val="right"/>
      <w:rPr>
        <w:rFonts w:eastAsia="Cambria"/>
        <w:sz w:val="14"/>
        <w:szCs w:val="14"/>
        <w:lang w:eastAsia="en-US"/>
      </w:rPr>
    </w:pPr>
    <w:r w:rsidRPr="004A31F5">
      <w:rPr>
        <w:noProof/>
        <w:sz w:val="14"/>
        <w:szCs w:val="14"/>
        <w:lang w:val="de-CH"/>
      </w:rPr>
      <w:drawing>
        <wp:anchor distT="0" distB="0" distL="114300" distR="114300" simplePos="0" relativeHeight="251664383" behindDoc="0" locked="0" layoutInCell="1" allowOverlap="1" wp14:anchorId="327DADEA" wp14:editId="3411899D">
          <wp:simplePos x="0" y="0"/>
          <wp:positionH relativeFrom="margin">
            <wp:posOffset>4888520</wp:posOffset>
          </wp:positionH>
          <wp:positionV relativeFrom="paragraph">
            <wp:posOffset>78740</wp:posOffset>
          </wp:positionV>
          <wp:extent cx="1054100" cy="654050"/>
          <wp:effectExtent l="0" t="0" r="0" b="0"/>
          <wp:wrapNone/>
          <wp:docPr id="1348373485" name="Grafik 1348373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73485" name="Grafik 1348373485"/>
                  <pic:cNvPicPr/>
                </pic:nvPicPr>
                <pic:blipFill>
                  <a:blip r:embed="rId1">
                    <a:extLst>
                      <a:ext uri="{96DAC541-7B7A-43D3-8B79-37D633B846F1}">
                        <asvg:svgBlip xmlns:asvg="http://schemas.microsoft.com/office/drawing/2016/SVG/main" r:embed="rId2"/>
                      </a:ext>
                    </a:extLst>
                  </a:blip>
                  <a:stretch>
                    <a:fillRect/>
                  </a:stretch>
                </pic:blipFill>
                <pic:spPr>
                  <a:xfrm>
                    <a:off x="0" y="0"/>
                    <a:ext cx="1054100" cy="654050"/>
                  </a:xfrm>
                  <a:prstGeom prst="rect">
                    <a:avLst/>
                  </a:prstGeom>
                </pic:spPr>
              </pic:pic>
            </a:graphicData>
          </a:graphic>
          <wp14:sizeRelH relativeFrom="page">
            <wp14:pctWidth>0</wp14:pctWidth>
          </wp14:sizeRelH>
          <wp14:sizeRelV relativeFrom="page">
            <wp14:pctHeight>0</wp14:pctHeight>
          </wp14:sizeRelV>
        </wp:anchor>
      </w:drawing>
    </w:r>
    <w:r w:rsidR="00696B5C">
      <w:rPr>
        <w:noProof/>
      </w:rPr>
      <mc:AlternateContent>
        <mc:Choice Requires="wps">
          <w:drawing>
            <wp:anchor distT="45720" distB="45720" distL="114300" distR="114300" simplePos="0" relativeHeight="251671552" behindDoc="0" locked="0" layoutInCell="1" allowOverlap="1" wp14:anchorId="2A986B47" wp14:editId="79113696">
              <wp:simplePos x="0" y="0"/>
              <wp:positionH relativeFrom="column">
                <wp:posOffset>4247846</wp:posOffset>
              </wp:positionH>
              <wp:positionV relativeFrom="paragraph">
                <wp:posOffset>-118110</wp:posOffset>
              </wp:positionV>
              <wp:extent cx="1542415" cy="198755"/>
              <wp:effectExtent l="0" t="0" r="635" b="0"/>
              <wp:wrapSquare wrapText="bothSides"/>
              <wp:docPr id="4" name="Textfeld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2415" cy="1987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E6D3D3" w14:textId="77777777" w:rsidR="00696B5C" w:rsidRPr="00275907" w:rsidRDefault="00696B5C" w:rsidP="00696B5C">
                          <w:pPr>
                            <w:jc w:val="right"/>
                            <w:rPr>
                              <w:rFonts w:ascii="IBM Plex Sans" w:hAnsi="IBM Plex Sans"/>
                              <w:sz w:val="14"/>
                              <w:szCs w:val="14"/>
                            </w:rPr>
                          </w:pPr>
                          <w:r w:rsidRPr="00275907">
                            <w:rPr>
                              <w:rFonts w:ascii="IBM Plex Sans" w:hAnsi="IBM Plex Sans"/>
                              <w:sz w:val="14"/>
                              <w:szCs w:val="14"/>
                              <w:lang w:val="de-DE"/>
                            </w:rPr>
                            <w:t xml:space="preserve">Page </w:t>
                          </w:r>
                          <w:r w:rsidRPr="00275907">
                            <w:rPr>
                              <w:rFonts w:ascii="IBM Plex Sans" w:hAnsi="IBM Plex Sans"/>
                              <w:sz w:val="14"/>
                              <w:szCs w:val="14"/>
                            </w:rPr>
                            <w:fldChar w:fldCharType="begin"/>
                          </w:r>
                          <w:r w:rsidRPr="00275907">
                            <w:rPr>
                              <w:rFonts w:ascii="IBM Plex Sans" w:hAnsi="IBM Plex Sans"/>
                              <w:sz w:val="14"/>
                              <w:szCs w:val="14"/>
                            </w:rPr>
                            <w:instrText>PAGE  \* Arabic  \* MERGEFORMAT</w:instrText>
                          </w:r>
                          <w:r w:rsidRPr="00275907">
                            <w:rPr>
                              <w:rFonts w:ascii="IBM Plex Sans" w:hAnsi="IBM Plex Sans"/>
                              <w:sz w:val="14"/>
                              <w:szCs w:val="14"/>
                            </w:rPr>
                            <w:fldChar w:fldCharType="separate"/>
                          </w:r>
                          <w:r w:rsidRPr="00275907">
                            <w:rPr>
                              <w:rFonts w:ascii="IBM Plex Sans" w:hAnsi="IBM Plex Sans"/>
                              <w:sz w:val="14"/>
                              <w:szCs w:val="14"/>
                              <w:lang w:val="de-DE"/>
                            </w:rPr>
                            <w:t>1</w:t>
                          </w:r>
                          <w:r w:rsidRPr="00275907">
                            <w:rPr>
                              <w:rFonts w:ascii="IBM Plex Sans" w:hAnsi="IBM Plex Sans"/>
                              <w:sz w:val="14"/>
                              <w:szCs w:val="14"/>
                            </w:rPr>
                            <w:fldChar w:fldCharType="end"/>
                          </w:r>
                          <w:r w:rsidRPr="00275907">
                            <w:rPr>
                              <w:rFonts w:ascii="IBM Plex Sans" w:hAnsi="IBM Plex Sans"/>
                              <w:sz w:val="14"/>
                              <w:szCs w:val="14"/>
                              <w:lang w:val="de-DE"/>
                            </w:rPr>
                            <w:t xml:space="preserve"> of </w:t>
                          </w:r>
                          <w:r w:rsidRPr="00275907">
                            <w:rPr>
                              <w:rFonts w:ascii="IBM Plex Sans" w:hAnsi="IBM Plex Sans"/>
                              <w:sz w:val="14"/>
                              <w:szCs w:val="14"/>
                            </w:rPr>
                            <w:fldChar w:fldCharType="begin"/>
                          </w:r>
                          <w:r w:rsidRPr="00275907">
                            <w:rPr>
                              <w:rFonts w:ascii="IBM Plex Sans" w:hAnsi="IBM Plex Sans"/>
                              <w:sz w:val="14"/>
                              <w:szCs w:val="14"/>
                            </w:rPr>
                            <w:instrText>NUMPAGES  \* Arabic  \* MERGEFORMAT</w:instrText>
                          </w:r>
                          <w:r w:rsidRPr="00275907">
                            <w:rPr>
                              <w:rFonts w:ascii="IBM Plex Sans" w:hAnsi="IBM Plex Sans"/>
                              <w:sz w:val="14"/>
                              <w:szCs w:val="14"/>
                            </w:rPr>
                            <w:fldChar w:fldCharType="separate"/>
                          </w:r>
                          <w:r w:rsidRPr="00275907">
                            <w:rPr>
                              <w:rFonts w:ascii="IBM Plex Sans" w:hAnsi="IBM Plex Sans"/>
                              <w:sz w:val="14"/>
                              <w:szCs w:val="14"/>
                              <w:lang w:val="de-DE"/>
                            </w:rPr>
                            <w:t>2</w:t>
                          </w:r>
                          <w:r w:rsidRPr="00275907">
                            <w:rPr>
                              <w:rFonts w:ascii="IBM Plex Sans" w:hAnsi="IBM Plex Sans"/>
                              <w:sz w:val="14"/>
                              <w:szCs w:val="14"/>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A986B47" id="_x0000_t202" coordsize="21600,21600" o:spt="202" path="m,l,21600r21600,l21600,xe">
              <v:stroke joinstyle="miter"/>
              <v:path gradientshapeok="t" o:connecttype="rect"/>
            </v:shapetype>
            <v:shape id="Textfeld 4" o:spid="_x0000_s1031" type="#_x0000_t202" style="position:absolute;left:0;text-align:left;margin-left:334.5pt;margin-top:-9.3pt;width:121.45pt;height:15.6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" stroked="f">
              <v:textbox>
                <w:txbxContent>
                  <w:p w14:paraId="68E6D3D3" w14:textId="77777777" w:rsidR="00696B5C" w:rsidRPr="00275907" w:rsidRDefault="00696B5C" w:rsidP="00696B5C">
                    <w:pPr>
                      <w:jc w:val="right"/>
                      <w:rPr>
                        <w:rFonts w:ascii="IBM Plex Sans" w:hAnsi="IBM Plex Sans"/>
                        <w:sz w:val="14"/>
                        <w:szCs w:val="14"/>
                      </w:rPr>
                    </w:pPr>
                    <w:r w:rsidRPr="00275907">
                      <w:rPr>
                        <w:rFonts w:ascii="IBM Plex Sans" w:hAnsi="IBM Plex Sans"/>
                        <w:sz w:val="14"/>
                        <w:szCs w:val="14"/>
                        <w:lang w:val="de-DE"/>
                      </w:rPr>
                      <w:t xml:space="preserve">Page </w:t>
                    </w:r>
                    <w:r w:rsidRPr="00275907">
                      <w:rPr>
                        <w:rFonts w:ascii="IBM Plex Sans" w:hAnsi="IBM Plex Sans"/>
                        <w:sz w:val="14"/>
                        <w:szCs w:val="14"/>
                      </w:rPr>
                      <w:fldChar w:fldCharType="begin"/>
                    </w:r>
                    <w:r w:rsidRPr="00275907">
                      <w:rPr>
                        <w:rFonts w:ascii="IBM Plex Sans" w:hAnsi="IBM Plex Sans"/>
                        <w:sz w:val="14"/>
                        <w:szCs w:val="14"/>
                      </w:rPr>
                      <w:instrText>PAGE  \* Arabic  \* MERGEFORMAT</w:instrText>
                    </w:r>
                    <w:r w:rsidRPr="00275907">
                      <w:rPr>
                        <w:rFonts w:ascii="IBM Plex Sans" w:hAnsi="IBM Plex Sans"/>
                        <w:sz w:val="14"/>
                        <w:szCs w:val="14"/>
                      </w:rPr>
                      <w:fldChar w:fldCharType="separate"/>
                    </w:r>
                    <w:r w:rsidRPr="00275907">
                      <w:rPr>
                        <w:rFonts w:ascii="IBM Plex Sans" w:hAnsi="IBM Plex Sans"/>
                        <w:sz w:val="14"/>
                        <w:szCs w:val="14"/>
                        <w:lang w:val="de-DE"/>
                      </w:rPr>
                      <w:t>1</w:t>
                    </w:r>
                    <w:r w:rsidRPr="00275907">
                      <w:rPr>
                        <w:rFonts w:ascii="IBM Plex Sans" w:hAnsi="IBM Plex Sans"/>
                        <w:sz w:val="14"/>
                        <w:szCs w:val="14"/>
                      </w:rPr>
                      <w:fldChar w:fldCharType="end"/>
                    </w:r>
                    <w:r w:rsidRPr="00275907">
                      <w:rPr>
                        <w:rFonts w:ascii="IBM Plex Sans" w:hAnsi="IBM Plex Sans"/>
                        <w:sz w:val="14"/>
                        <w:szCs w:val="14"/>
                        <w:lang w:val="de-DE"/>
                      </w:rPr>
                      <w:t xml:space="preserve"> of </w:t>
                    </w:r>
                    <w:r w:rsidRPr="00275907">
                      <w:rPr>
                        <w:rFonts w:ascii="IBM Plex Sans" w:hAnsi="IBM Plex Sans"/>
                        <w:sz w:val="14"/>
                        <w:szCs w:val="14"/>
                      </w:rPr>
                      <w:fldChar w:fldCharType="begin"/>
                    </w:r>
                    <w:r w:rsidRPr="00275907">
                      <w:rPr>
                        <w:rFonts w:ascii="IBM Plex Sans" w:hAnsi="IBM Plex Sans"/>
                        <w:sz w:val="14"/>
                        <w:szCs w:val="14"/>
                      </w:rPr>
                      <w:instrText>NUMPAGES  \* Arabic  \* MERGEFORMAT</w:instrText>
                    </w:r>
                    <w:r w:rsidRPr="00275907">
                      <w:rPr>
                        <w:rFonts w:ascii="IBM Plex Sans" w:hAnsi="IBM Plex Sans"/>
                        <w:sz w:val="14"/>
                        <w:szCs w:val="14"/>
                      </w:rPr>
                      <w:fldChar w:fldCharType="separate"/>
                    </w:r>
                    <w:r w:rsidRPr="00275907">
                      <w:rPr>
                        <w:rFonts w:ascii="IBM Plex Sans" w:hAnsi="IBM Plex Sans"/>
                        <w:sz w:val="14"/>
                        <w:szCs w:val="14"/>
                        <w:lang w:val="de-DE"/>
                      </w:rPr>
                      <w:t>2</w:t>
                    </w:r>
                    <w:r w:rsidRPr="00275907">
                      <w:rPr>
                        <w:rFonts w:ascii="IBM Plex Sans" w:hAnsi="IBM Plex Sans"/>
                        <w:sz w:val="14"/>
                        <w:szCs w:val="14"/>
                      </w:rPr>
                      <w:fldChar w:fldCharType="end"/>
                    </w:r>
                  </w:p>
                </w:txbxContent>
              </v:textbox>
              <w10:wrap type="square"/>
            </v:shape>
          </w:pict>
        </mc:Fallback>
      </mc:AlternateContent>
    </w:r>
    <w:r w:rsidR="00696B5C" w:rsidRPr="00275907">
      <w:rPr>
        <w:noProof/>
        <w:sz w:val="14"/>
        <w:szCs w:val="14"/>
      </w:rPr>
      <mc:AlternateContent>
        <mc:Choice Requires="wps">
          <w:drawing>
            <wp:anchor distT="0" distB="0" distL="114300" distR="114300" simplePos="0" relativeHeight="251670528" behindDoc="0" locked="0" layoutInCell="1" allowOverlap="1" wp14:anchorId="38F591EB" wp14:editId="3FEBB272">
              <wp:simplePos x="0" y="0"/>
              <wp:positionH relativeFrom="column">
                <wp:posOffset>6038850</wp:posOffset>
              </wp:positionH>
              <wp:positionV relativeFrom="paragraph">
                <wp:posOffset>9791065</wp:posOffset>
              </wp:positionV>
              <wp:extent cx="1220470" cy="210820"/>
              <wp:effectExtent l="0" t="0" r="0" b="0"/>
              <wp:wrapNone/>
              <wp:docPr id="5" name="Textfeld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0470" cy="210820"/>
                      </a:xfrm>
                      <a:prstGeom prst="rect">
                        <a:avLst/>
                      </a:prstGeom>
                      <a:noFill/>
                      <a:ln w="6350">
                        <a:noFill/>
                      </a:ln>
                    </wps:spPr>
                    <wps:txbx>
                      <w:txbxContent>
                        <w:p w14:paraId="49AC6457" w14:textId="77777777" w:rsidR="00696B5C" w:rsidRPr="00EB4553" w:rsidRDefault="00696B5C" w:rsidP="00696B5C">
                          <w:pPr>
                            <w:pStyle w:val="Fliesstext"/>
                            <w:spacing w:line="240" w:lineRule="auto"/>
                            <w:jc w:val="left"/>
                            <w:rPr>
                              <w:color w:val="auto"/>
                              <w:sz w:val="14"/>
                              <w:szCs w:val="14"/>
                            </w:rPr>
                          </w:pPr>
                          <w:r w:rsidRPr="00EB4553">
                            <w:rPr>
                              <w:sz w:val="14"/>
                              <w:szCs w:val="16"/>
                            </w:rPr>
                            <w:t xml:space="preserve">Page </w:t>
                          </w:r>
                          <w:r w:rsidRPr="00EB4553">
                            <w:rPr>
                              <w:sz w:val="14"/>
                              <w:szCs w:val="16"/>
                            </w:rPr>
                            <w:fldChar w:fldCharType="begin"/>
                          </w:r>
                          <w:r w:rsidRPr="00EB4553">
                            <w:rPr>
                              <w:sz w:val="14"/>
                              <w:szCs w:val="16"/>
                            </w:rPr>
                            <w:instrText xml:space="preserve"> PAGE   \* MERGEFORMAT </w:instrText>
                          </w:r>
                          <w:r w:rsidRPr="00EB4553">
                            <w:rPr>
                              <w:sz w:val="14"/>
                              <w:szCs w:val="16"/>
                            </w:rPr>
                            <w:fldChar w:fldCharType="separate"/>
                          </w:r>
                          <w:r w:rsidRPr="00EB4553">
                            <w:rPr>
                              <w:sz w:val="14"/>
                              <w:szCs w:val="16"/>
                            </w:rPr>
                            <w:t>1</w:t>
                          </w:r>
                          <w:r w:rsidRPr="00EB4553">
                            <w:rPr>
                              <w:sz w:val="14"/>
                              <w:szCs w:val="16"/>
                            </w:rPr>
                            <w:fldChar w:fldCharType="end"/>
                          </w:r>
                          <w:r w:rsidRPr="00EB4553">
                            <w:rPr>
                              <w:sz w:val="14"/>
                              <w:szCs w:val="16"/>
                            </w:rPr>
                            <w:t xml:space="preserve"> of </w:t>
                          </w:r>
                          <w:r w:rsidRPr="00EB4553">
                            <w:rPr>
                              <w:sz w:val="14"/>
                              <w:szCs w:val="16"/>
                            </w:rPr>
                            <w:fldChar w:fldCharType="begin"/>
                          </w:r>
                          <w:r w:rsidRPr="00EB4553">
                            <w:rPr>
                              <w:sz w:val="14"/>
                              <w:szCs w:val="16"/>
                            </w:rPr>
                            <w:instrText xml:space="preserve"> NUMPAGES   \* MERGEFORMAT </w:instrText>
                          </w:r>
                          <w:r w:rsidRPr="00EB4553">
                            <w:rPr>
                              <w:sz w:val="14"/>
                              <w:szCs w:val="16"/>
                            </w:rPr>
                            <w:fldChar w:fldCharType="separate"/>
                          </w:r>
                          <w:r w:rsidRPr="00EB4553">
                            <w:rPr>
                              <w:sz w:val="14"/>
                              <w:szCs w:val="16"/>
                            </w:rPr>
                            <w:t>6</w:t>
                          </w:r>
                          <w:r w:rsidRPr="00EB4553">
                            <w:rPr>
                              <w:sz w:val="14"/>
                              <w:szCs w:val="16"/>
                            </w:rPr>
                            <w:fldChar w:fldCharType="end"/>
                          </w:r>
                        </w:p>
                        <w:p w14:paraId="759235A5" w14:textId="77777777" w:rsidR="00696B5C" w:rsidRPr="00EB4553" w:rsidRDefault="00696B5C" w:rsidP="00696B5C">
                          <w:pPr>
                            <w:rPr>
                              <w:rFonts w:ascii="IBM Plex Sans" w:hAnsi="IBM Plex Sans"/>
                              <w:color w:val="464646"/>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F591EB" id="Textfeld 5" o:spid="_x0000_s1032" type="#_x0000_t202" style="position:absolute;left:0;text-align:left;margin-left:475.5pt;margin-top:770.95pt;width:96.1pt;height:16.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" filled="f" stroked="f" strokeweight=".5pt">
              <v:textbox>
                <w:txbxContent>
                  <w:p w14:paraId="49AC6457" w14:textId="77777777" w:rsidR="00696B5C" w:rsidRPr="00EB4553" w:rsidRDefault="00696B5C" w:rsidP="00696B5C">
                    <w:pPr>
                      <w:pStyle w:val="Fliesstext"/>
                      <w:spacing w:line="240" w:lineRule="auto"/>
                      <w:jc w:val="left"/>
                      <w:rPr>
                        <w:color w:val="auto"/>
                        <w:sz w:val="14"/>
                        <w:szCs w:val="14"/>
                      </w:rPr>
                    </w:pPr>
                    <w:r w:rsidRPr="00EB4553">
                      <w:rPr>
                        <w:sz w:val="14"/>
                        <w:szCs w:val="16"/>
                      </w:rPr>
                      <w:t xml:space="preserve">Page </w:t>
                    </w:r>
                    <w:r w:rsidRPr="00EB4553">
                      <w:rPr>
                        <w:sz w:val="14"/>
                        <w:szCs w:val="16"/>
                      </w:rPr>
                      <w:fldChar w:fldCharType="begin"/>
                    </w:r>
                    <w:r w:rsidRPr="00EB4553">
                      <w:rPr>
                        <w:sz w:val="14"/>
                        <w:szCs w:val="16"/>
                      </w:rPr>
                      <w:instrText xml:space="preserve"> PAGE   \* MERGEFORMAT </w:instrText>
                    </w:r>
                    <w:r w:rsidRPr="00EB4553">
                      <w:rPr>
                        <w:sz w:val="14"/>
                        <w:szCs w:val="16"/>
                      </w:rPr>
                      <w:fldChar w:fldCharType="separate"/>
                    </w:r>
                    <w:r w:rsidRPr="00EB4553">
                      <w:rPr>
                        <w:sz w:val="14"/>
                        <w:szCs w:val="16"/>
                      </w:rPr>
                      <w:t>1</w:t>
                    </w:r>
                    <w:r w:rsidRPr="00EB4553">
                      <w:rPr>
                        <w:sz w:val="14"/>
                        <w:szCs w:val="16"/>
                      </w:rPr>
                      <w:fldChar w:fldCharType="end"/>
                    </w:r>
                    <w:r w:rsidRPr="00EB4553">
                      <w:rPr>
                        <w:sz w:val="14"/>
                        <w:szCs w:val="16"/>
                      </w:rPr>
                      <w:t xml:space="preserve"> of </w:t>
                    </w:r>
                    <w:r w:rsidRPr="00EB4553">
                      <w:rPr>
                        <w:sz w:val="14"/>
                        <w:szCs w:val="16"/>
                      </w:rPr>
                      <w:fldChar w:fldCharType="begin"/>
                    </w:r>
                    <w:r w:rsidRPr="00EB4553">
                      <w:rPr>
                        <w:sz w:val="14"/>
                        <w:szCs w:val="16"/>
                      </w:rPr>
                      <w:instrText xml:space="preserve"> NUMPAGES   \* MERGEFORMAT </w:instrText>
                    </w:r>
                    <w:r w:rsidRPr="00EB4553">
                      <w:rPr>
                        <w:sz w:val="14"/>
                        <w:szCs w:val="16"/>
                      </w:rPr>
                      <w:fldChar w:fldCharType="separate"/>
                    </w:r>
                    <w:r w:rsidRPr="00EB4553">
                      <w:rPr>
                        <w:sz w:val="14"/>
                        <w:szCs w:val="16"/>
                      </w:rPr>
                      <w:t>6</w:t>
                    </w:r>
                    <w:r w:rsidRPr="00EB4553">
                      <w:rPr>
                        <w:sz w:val="14"/>
                        <w:szCs w:val="16"/>
                      </w:rPr>
                      <w:fldChar w:fldCharType="end"/>
                    </w:r>
                  </w:p>
                  <w:p w14:paraId="759235A5" w14:textId="77777777" w:rsidR="00696B5C" w:rsidRPr="00EB4553" w:rsidRDefault="00696B5C" w:rsidP="00696B5C">
                    <w:pPr>
                      <w:rPr>
                        <w:rFonts w:ascii="IBM Plex Sans" w:hAnsi="IBM Plex Sans"/>
                        <w:color w:val="464646"/>
                        <w:sz w:val="14"/>
                        <w:szCs w:val="14"/>
                      </w:rPr>
                    </w:pPr>
                  </w:p>
                </w:txbxContent>
              </v:textbox>
            </v:shape>
          </w:pict>
        </mc:Fallback>
      </mc:AlternateContent>
    </w:r>
    <w:r w:rsidR="00696B5C" w:rsidRPr="00275907">
      <w:rPr>
        <w:noProof/>
        <w:sz w:val="14"/>
        <w:szCs w:val="14"/>
      </w:rPr>
      <mc:AlternateContent>
        <mc:Choice Requires="wps">
          <w:drawing>
            <wp:anchor distT="0" distB="0" distL="114300" distR="114300" simplePos="0" relativeHeight="251669504" behindDoc="0" locked="0" layoutInCell="1" allowOverlap="1" wp14:anchorId="5029A398" wp14:editId="6875D270">
              <wp:simplePos x="0" y="0"/>
              <wp:positionH relativeFrom="column">
                <wp:posOffset>6038850</wp:posOffset>
              </wp:positionH>
              <wp:positionV relativeFrom="paragraph">
                <wp:posOffset>9791065</wp:posOffset>
              </wp:positionV>
              <wp:extent cx="1220470" cy="210820"/>
              <wp:effectExtent l="0" t="0" r="0" b="0"/>
              <wp:wrapNone/>
              <wp:docPr id="6" name="Textfeld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0470" cy="210820"/>
                      </a:xfrm>
                      <a:prstGeom prst="rect">
                        <a:avLst/>
                      </a:prstGeom>
                      <a:noFill/>
                      <a:ln w="6350">
                        <a:noFill/>
                      </a:ln>
                    </wps:spPr>
                    <wps:txbx>
                      <w:txbxContent>
                        <w:p w14:paraId="5A055228" w14:textId="77777777" w:rsidR="00696B5C" w:rsidRPr="00EB4553" w:rsidRDefault="00696B5C" w:rsidP="00696B5C">
                          <w:pPr>
                            <w:pStyle w:val="Fliesstext"/>
                            <w:spacing w:line="240" w:lineRule="auto"/>
                            <w:jc w:val="left"/>
                            <w:rPr>
                              <w:color w:val="auto"/>
                              <w:sz w:val="14"/>
                              <w:szCs w:val="14"/>
                            </w:rPr>
                          </w:pPr>
                          <w:r w:rsidRPr="00EB4553">
                            <w:rPr>
                              <w:sz w:val="14"/>
                              <w:szCs w:val="16"/>
                            </w:rPr>
                            <w:t xml:space="preserve">Page </w:t>
                          </w:r>
                          <w:r w:rsidRPr="00EB4553">
                            <w:rPr>
                              <w:sz w:val="14"/>
                              <w:szCs w:val="16"/>
                            </w:rPr>
                            <w:fldChar w:fldCharType="begin"/>
                          </w:r>
                          <w:r w:rsidRPr="00EB4553">
                            <w:rPr>
                              <w:sz w:val="14"/>
                              <w:szCs w:val="16"/>
                            </w:rPr>
                            <w:instrText xml:space="preserve"> PAGE   \* MERGEFORMAT </w:instrText>
                          </w:r>
                          <w:r w:rsidRPr="00EB4553">
                            <w:rPr>
                              <w:sz w:val="14"/>
                              <w:szCs w:val="16"/>
                            </w:rPr>
                            <w:fldChar w:fldCharType="separate"/>
                          </w:r>
                          <w:r w:rsidRPr="00EB4553">
                            <w:rPr>
                              <w:sz w:val="14"/>
                              <w:szCs w:val="16"/>
                            </w:rPr>
                            <w:t>1</w:t>
                          </w:r>
                          <w:r w:rsidRPr="00EB4553">
                            <w:rPr>
                              <w:sz w:val="14"/>
                              <w:szCs w:val="16"/>
                            </w:rPr>
                            <w:fldChar w:fldCharType="end"/>
                          </w:r>
                          <w:r w:rsidRPr="00EB4553">
                            <w:rPr>
                              <w:sz w:val="14"/>
                              <w:szCs w:val="16"/>
                            </w:rPr>
                            <w:t xml:space="preserve"> of </w:t>
                          </w:r>
                          <w:r w:rsidRPr="00EB4553">
                            <w:rPr>
                              <w:sz w:val="14"/>
                              <w:szCs w:val="16"/>
                            </w:rPr>
                            <w:fldChar w:fldCharType="begin"/>
                          </w:r>
                          <w:r w:rsidRPr="00EB4553">
                            <w:rPr>
                              <w:sz w:val="14"/>
                              <w:szCs w:val="16"/>
                            </w:rPr>
                            <w:instrText xml:space="preserve"> NUMPAGES   \* MERGEFORMAT </w:instrText>
                          </w:r>
                          <w:r w:rsidRPr="00EB4553">
                            <w:rPr>
                              <w:sz w:val="14"/>
                              <w:szCs w:val="16"/>
                            </w:rPr>
                            <w:fldChar w:fldCharType="separate"/>
                          </w:r>
                          <w:r w:rsidRPr="00EB4553">
                            <w:rPr>
                              <w:sz w:val="14"/>
                              <w:szCs w:val="16"/>
                            </w:rPr>
                            <w:t>6</w:t>
                          </w:r>
                          <w:r w:rsidRPr="00EB4553">
                            <w:rPr>
                              <w:sz w:val="14"/>
                              <w:szCs w:val="16"/>
                            </w:rPr>
                            <w:fldChar w:fldCharType="end"/>
                          </w:r>
                        </w:p>
                        <w:p w14:paraId="192D9BB4" w14:textId="77777777" w:rsidR="00696B5C" w:rsidRPr="00EB4553" w:rsidRDefault="00696B5C" w:rsidP="00696B5C">
                          <w:pPr>
                            <w:rPr>
                              <w:rFonts w:ascii="IBM Plex Sans" w:hAnsi="IBM Plex Sans"/>
                              <w:color w:val="464646"/>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29A398" id="Textfeld 6" o:spid="_x0000_s1033" type="#_x0000_t202" style="position:absolute;left:0;text-align:left;margin-left:475.5pt;margin-top:770.95pt;width:96.1pt;height:16.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" filled="f" stroked="f" strokeweight=".5pt">
              <v:textbox>
                <w:txbxContent>
                  <w:p w14:paraId="5A055228" w14:textId="77777777" w:rsidR="00696B5C" w:rsidRPr="00EB4553" w:rsidRDefault="00696B5C" w:rsidP="00696B5C">
                    <w:pPr>
                      <w:pStyle w:val="Fliesstext"/>
                      <w:spacing w:line="240" w:lineRule="auto"/>
                      <w:jc w:val="left"/>
                      <w:rPr>
                        <w:color w:val="auto"/>
                        <w:sz w:val="14"/>
                        <w:szCs w:val="14"/>
                      </w:rPr>
                    </w:pPr>
                    <w:r w:rsidRPr="00EB4553">
                      <w:rPr>
                        <w:sz w:val="14"/>
                        <w:szCs w:val="16"/>
                      </w:rPr>
                      <w:t xml:space="preserve">Page </w:t>
                    </w:r>
                    <w:r w:rsidRPr="00EB4553">
                      <w:rPr>
                        <w:sz w:val="14"/>
                        <w:szCs w:val="16"/>
                      </w:rPr>
                      <w:fldChar w:fldCharType="begin"/>
                    </w:r>
                    <w:r w:rsidRPr="00EB4553">
                      <w:rPr>
                        <w:sz w:val="14"/>
                        <w:szCs w:val="16"/>
                      </w:rPr>
                      <w:instrText xml:space="preserve"> PAGE   \* MERGEFORMAT </w:instrText>
                    </w:r>
                    <w:r w:rsidRPr="00EB4553">
                      <w:rPr>
                        <w:sz w:val="14"/>
                        <w:szCs w:val="16"/>
                      </w:rPr>
                      <w:fldChar w:fldCharType="separate"/>
                    </w:r>
                    <w:r w:rsidRPr="00EB4553">
                      <w:rPr>
                        <w:sz w:val="14"/>
                        <w:szCs w:val="16"/>
                      </w:rPr>
                      <w:t>1</w:t>
                    </w:r>
                    <w:r w:rsidRPr="00EB4553">
                      <w:rPr>
                        <w:sz w:val="14"/>
                        <w:szCs w:val="16"/>
                      </w:rPr>
                      <w:fldChar w:fldCharType="end"/>
                    </w:r>
                    <w:r w:rsidRPr="00EB4553">
                      <w:rPr>
                        <w:sz w:val="14"/>
                        <w:szCs w:val="16"/>
                      </w:rPr>
                      <w:t xml:space="preserve"> of </w:t>
                    </w:r>
                    <w:r w:rsidRPr="00EB4553">
                      <w:rPr>
                        <w:sz w:val="14"/>
                        <w:szCs w:val="16"/>
                      </w:rPr>
                      <w:fldChar w:fldCharType="begin"/>
                    </w:r>
                    <w:r w:rsidRPr="00EB4553">
                      <w:rPr>
                        <w:sz w:val="14"/>
                        <w:szCs w:val="16"/>
                      </w:rPr>
                      <w:instrText xml:space="preserve"> NUMPAGES   \* MERGEFORMAT </w:instrText>
                    </w:r>
                    <w:r w:rsidRPr="00EB4553">
                      <w:rPr>
                        <w:sz w:val="14"/>
                        <w:szCs w:val="16"/>
                      </w:rPr>
                      <w:fldChar w:fldCharType="separate"/>
                    </w:r>
                    <w:r w:rsidRPr="00EB4553">
                      <w:rPr>
                        <w:sz w:val="14"/>
                        <w:szCs w:val="16"/>
                      </w:rPr>
                      <w:t>6</w:t>
                    </w:r>
                    <w:r w:rsidRPr="00EB4553">
                      <w:rPr>
                        <w:sz w:val="14"/>
                        <w:szCs w:val="16"/>
                      </w:rPr>
                      <w:fldChar w:fldCharType="end"/>
                    </w:r>
                  </w:p>
                  <w:p w14:paraId="192D9BB4" w14:textId="77777777" w:rsidR="00696B5C" w:rsidRPr="00EB4553" w:rsidRDefault="00696B5C" w:rsidP="00696B5C">
                    <w:pPr>
                      <w:rPr>
                        <w:rFonts w:ascii="IBM Plex Sans" w:hAnsi="IBM Plex Sans"/>
                        <w:color w:val="464646"/>
                        <w:sz w:val="14"/>
                        <w:szCs w:val="14"/>
                      </w:rPr>
                    </w:pPr>
                  </w:p>
                </w:txbxContent>
              </v:textbox>
            </v:shape>
          </w:pict>
        </mc:Fallback>
      </mc:AlternateContent>
    </w:r>
  </w:p>
  <w:p w14:paraId="4EA086D8" w14:textId="77777777" w:rsidR="00696B5C" w:rsidRPr="00610D0C" w:rsidRDefault="00696B5C" w:rsidP="00DC64BF">
    <w:pPr>
      <w:pStyle w:val="TextHelveticaNeue"/>
      <w:tabs>
        <w:tab w:val="left" w:pos="1418"/>
        <w:tab w:val="left" w:pos="2977"/>
        <w:tab w:val="left" w:pos="3261"/>
      </w:tabs>
      <w:jc w:val="left"/>
      <w:rPr>
        <w:rFonts w:ascii="Alata" w:hAnsi="Alata"/>
        <w:color w:val="E20031"/>
        <w:sz w:val="14"/>
        <w:szCs w:val="14"/>
      </w:rPr>
    </w:pPr>
    <w:r>
      <w:rPr>
        <w:noProof/>
        <w:color w:val="E00036"/>
      </w:rPr>
      <mc:AlternateContent>
        <mc:Choice Requires="wps">
          <w:drawing>
            <wp:anchor distT="4294967295" distB="4294967295" distL="114300" distR="114300" simplePos="0" relativeHeight="251667456" behindDoc="0" locked="0" layoutInCell="1" allowOverlap="1" wp14:anchorId="0B16F2D3" wp14:editId="1FFEA365">
              <wp:simplePos x="0" y="0"/>
              <wp:positionH relativeFrom="column">
                <wp:posOffset>-3175</wp:posOffset>
              </wp:positionH>
              <wp:positionV relativeFrom="paragraph">
                <wp:posOffset>-19686</wp:posOffset>
              </wp:positionV>
              <wp:extent cx="5759450" cy="0"/>
              <wp:effectExtent l="0" t="0" r="0" b="0"/>
              <wp:wrapNone/>
              <wp:docPr id="8" name="Gerader Verbinde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945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22E6D6F" id="Gerader Verbinder 8"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1.55pt" to="453.2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" strokecolor="black [3040]" strokeweight=".5pt">
              <o:lock v:ext="edit" shapetype="f"/>
            </v:line>
          </w:pict>
        </mc:Fallback>
      </mc:AlternateContent>
    </w:r>
    <w:r w:rsidRPr="00D67FD2">
      <w:rPr>
        <w:rFonts w:ascii="Alata" w:hAnsi="Alata"/>
        <w:color w:val="E00036"/>
        <w:sz w:val="14"/>
        <w:szCs w:val="14"/>
      </w:rPr>
      <w:t>Mobil in Time AG</w:t>
    </w:r>
    <w:r>
      <w:rPr>
        <w:rFonts w:ascii="Alata" w:hAnsi="Alata"/>
        <w:color w:val="E20031"/>
        <w:sz w:val="14"/>
        <w:szCs w:val="14"/>
      </w:rPr>
      <w:tab/>
    </w:r>
    <w:r>
      <w:rPr>
        <w:rFonts w:ascii="Alata" w:hAnsi="Alata"/>
        <w:color w:val="E20031"/>
        <w:sz w:val="14"/>
        <w:szCs w:val="14"/>
      </w:rPr>
      <w:tab/>
    </w:r>
    <w:r w:rsidR="00306515" w:rsidRPr="004A31F5">
      <w:rPr>
        <w:rFonts w:ascii="IBM Plex Sans" w:hAnsi="IBM Plex Sans" w:cs="Calibri"/>
        <w:sz w:val="14"/>
        <w:szCs w:val="14"/>
      </w:rPr>
      <w:t>+41 41 710 45 06</w:t>
    </w:r>
  </w:p>
  <w:p w14:paraId="7F61FB82" w14:textId="77777777" w:rsidR="00696B5C" w:rsidRPr="00046163" w:rsidRDefault="00306515" w:rsidP="00DC64BF">
    <w:pPr>
      <w:pStyle w:val="TextHelveticaNeue"/>
      <w:tabs>
        <w:tab w:val="left" w:pos="2977"/>
        <w:tab w:val="left" w:pos="3261"/>
        <w:tab w:val="left" w:pos="6521"/>
      </w:tabs>
      <w:jc w:val="left"/>
      <w:rPr>
        <w:rFonts w:ascii="IBM Plex Sans" w:hAnsi="IBM Plex Sans"/>
        <w:sz w:val="14"/>
        <w:szCs w:val="14"/>
      </w:rPr>
    </w:pPr>
    <w:r w:rsidRPr="004A31F5">
      <w:rPr>
        <w:rFonts w:ascii="IBM Plex Sans" w:hAnsi="IBM Plex Sans"/>
        <w:sz w:val="14"/>
        <w:szCs w:val="14"/>
        <w:lang w:val="de-CH"/>
      </w:rPr>
      <w:t>Gulmmatt 1</w:t>
    </w:r>
    <w:r w:rsidR="00696B5C" w:rsidRPr="00046163">
      <w:rPr>
        <w:rFonts w:ascii="IBM Plex Sans" w:hAnsi="IBM Plex Sans"/>
        <w:sz w:val="14"/>
        <w:szCs w:val="14"/>
      </w:rPr>
      <w:tab/>
    </w:r>
    <w:r w:rsidRPr="004A31F5">
      <w:rPr>
        <w:rFonts w:ascii="IBM Plex Sans" w:hAnsi="IBM Plex Sans" w:cs="Calibri"/>
        <w:sz w:val="14"/>
        <w:szCs w:val="14"/>
      </w:rPr>
      <w:t>www.mobilintime.com</w:t>
    </w:r>
    <w:r w:rsidR="00696B5C">
      <w:rPr>
        <w:rStyle w:val="Absatz-Standardschriftart1"/>
        <w:rFonts w:ascii="IBM Plex Sans" w:hAnsi="IBM Plex Sans" w:cs="Calibri"/>
        <w:sz w:val="14"/>
        <w:szCs w:val="14"/>
      </w:rPr>
      <w:tab/>
      <w:t>An Aggreko Company</w:t>
    </w:r>
  </w:p>
  <w:p w14:paraId="6CFAB1C5" w14:textId="77777777" w:rsidR="00696B5C" w:rsidRPr="00306515" w:rsidRDefault="00306515" w:rsidP="00DC64BF">
    <w:pPr>
      <w:pStyle w:val="TextHelveticaNeue"/>
      <w:tabs>
        <w:tab w:val="left" w:pos="2977"/>
        <w:tab w:val="left" w:pos="3261"/>
        <w:tab w:val="left" w:pos="6521"/>
      </w:tabs>
      <w:jc w:val="left"/>
      <w:rPr>
        <w:rFonts w:ascii="IBM Plex Sans" w:hAnsi="IBM Plex Sans"/>
        <w:sz w:val="14"/>
        <w:szCs w:val="14"/>
        <w:lang w:val="it-IT"/>
      </w:rPr>
    </w:pPr>
    <w:r w:rsidRPr="0087475B">
      <w:rPr>
        <w:rFonts w:ascii="IBM Plex Sans" w:hAnsi="IBM Plex Sans"/>
        <w:sz w:val="14"/>
        <w:szCs w:val="14"/>
        <w:lang w:val="it-IT"/>
      </w:rPr>
      <w:t>6340 Baar</w:t>
    </w:r>
    <w:r w:rsidR="00696B5C" w:rsidRPr="00306515">
      <w:rPr>
        <w:rFonts w:ascii="IBM Plex Sans" w:hAnsi="IBM Plex Sans"/>
        <w:sz w:val="14"/>
        <w:szCs w:val="14"/>
        <w:lang w:val="it-IT"/>
      </w:rPr>
      <w:tab/>
    </w:r>
    <w:r w:rsidR="00696B5C" w:rsidRPr="00306515">
      <w:rPr>
        <w:rStyle w:val="Absatz-Standardschriftart1"/>
        <w:rFonts w:ascii="IBM Plex Sans" w:hAnsi="IBM Plex Sans" w:cs="Calibri"/>
        <w:sz w:val="14"/>
        <w:szCs w:val="14"/>
        <w:lang w:val="it-IT"/>
      </w:rPr>
      <w:t xml:space="preserve"> </w:t>
    </w:r>
    <w:r w:rsidR="00696B5C" w:rsidRPr="00306515">
      <w:rPr>
        <w:rStyle w:val="Absatz-Standardschriftart1"/>
        <w:rFonts w:ascii="IBM Plex Sans" w:hAnsi="IBM Plex Sans" w:cs="Calibri"/>
        <w:sz w:val="14"/>
        <w:szCs w:val="14"/>
        <w:lang w:val="it-IT"/>
      </w:rPr>
      <w:tab/>
      <w:t xml:space="preserve"> </w:t>
    </w:r>
  </w:p>
  <w:p w14:paraId="6882C308" w14:textId="77777777" w:rsidR="00696B5C" w:rsidRPr="00306515" w:rsidRDefault="00696B5C" w:rsidP="00696B5C">
    <w:pPr>
      <w:pStyle w:val="Fuzeile"/>
      <w:ind w:left="0"/>
      <w:rPr>
        <w:lang w:val="it-I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02FA3" w14:textId="77777777" w:rsidR="002D241C" w:rsidRDefault="002D241C" w:rsidP="0087489C">
      <w:r>
        <w:separator/>
      </w:r>
    </w:p>
  </w:footnote>
  <w:footnote w:type="continuationSeparator" w:id="0">
    <w:p w14:paraId="6EF1EDC1" w14:textId="77777777" w:rsidR="002D241C" w:rsidRDefault="002D241C" w:rsidP="008748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E8745" w14:textId="77777777" w:rsidR="00696B5C" w:rsidRDefault="00696B5C" w:rsidP="00696B5C">
    <w:pPr>
      <w:pStyle w:val="Kopfzeile"/>
    </w:pPr>
    <w:r>
      <w:rPr>
        <w:noProof/>
      </w:rPr>
      <w:drawing>
        <wp:anchor distT="0" distB="0" distL="114300" distR="114300" simplePos="0" relativeHeight="251665408" behindDoc="0" locked="0" layoutInCell="1" allowOverlap="1" wp14:anchorId="10194F56" wp14:editId="36054AB1">
          <wp:simplePos x="0" y="0"/>
          <wp:positionH relativeFrom="column">
            <wp:posOffset>3633470</wp:posOffset>
          </wp:positionH>
          <wp:positionV relativeFrom="paragraph">
            <wp:posOffset>3667</wp:posOffset>
          </wp:positionV>
          <wp:extent cx="2157095" cy="730536"/>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1">
                    <a:extLst>
                      <a:ext uri="{96DAC541-7B7A-43D3-8B79-37D633B846F1}">
                        <asvg:svgBlip xmlns:asvg="http://schemas.microsoft.com/office/drawing/2016/SVG/main" r:embed="rId2"/>
                      </a:ext>
                    </a:extLst>
                  </a:blip>
                  <a:stretch>
                    <a:fillRect/>
                  </a:stretch>
                </pic:blipFill>
                <pic:spPr>
                  <a:xfrm>
                    <a:off x="0" y="0"/>
                    <a:ext cx="2157095" cy="73053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1AA3"/>
    <w:multiLevelType w:val="multilevel"/>
    <w:tmpl w:val="AC90A8E8"/>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rPr>
        <w:b/>
        <w:bCs/>
        <w:sz w:val="20"/>
        <w:szCs w:val="18"/>
      </w:rPr>
    </w:lvl>
    <w:lvl w:ilvl="2">
      <w:start w:val="1"/>
      <w:numFmt w:val="decimal"/>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14466D8C"/>
    <w:multiLevelType w:val="hybridMultilevel"/>
    <w:tmpl w:val="D4267818"/>
    <w:lvl w:ilvl="0" w:tplc="767C0CCC">
      <w:start w:val="1"/>
      <w:numFmt w:val="bullet"/>
      <w:pStyle w:val="berschrift3"/>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31E97766"/>
    <w:multiLevelType w:val="hybridMultilevel"/>
    <w:tmpl w:val="A4BC5E4E"/>
    <w:lvl w:ilvl="0" w:tplc="65C488B6">
      <w:start w:val="1"/>
      <w:numFmt w:val="decimal"/>
      <w:lvlText w:val="%1."/>
      <w:lvlJc w:val="left"/>
      <w:pPr>
        <w:ind w:left="584" w:hanging="369"/>
      </w:pPr>
      <w:rPr>
        <w:rFonts w:ascii="Arial" w:eastAsia="Arial" w:hAnsi="Arial" w:cs="Arial" w:hint="default"/>
        <w:color w:val="DF0036"/>
        <w:spacing w:val="-1"/>
        <w:w w:val="108"/>
        <w:sz w:val="24"/>
        <w:szCs w:val="24"/>
        <w:lang w:val="de-CH" w:eastAsia="de-CH" w:bidi="de-CH"/>
      </w:rPr>
    </w:lvl>
    <w:lvl w:ilvl="1" w:tplc="1AF6929A">
      <w:numFmt w:val="bullet"/>
      <w:lvlText w:val="•"/>
      <w:lvlJc w:val="left"/>
      <w:pPr>
        <w:ind w:left="1521" w:hanging="369"/>
      </w:pPr>
      <w:rPr>
        <w:rFonts w:hint="default"/>
        <w:lang w:val="de-CH" w:eastAsia="de-CH" w:bidi="de-CH"/>
      </w:rPr>
    </w:lvl>
    <w:lvl w:ilvl="2" w:tplc="8564B1D0">
      <w:numFmt w:val="bullet"/>
      <w:lvlText w:val="•"/>
      <w:lvlJc w:val="left"/>
      <w:pPr>
        <w:ind w:left="2463" w:hanging="369"/>
      </w:pPr>
      <w:rPr>
        <w:rFonts w:hint="default"/>
        <w:lang w:val="de-CH" w:eastAsia="de-CH" w:bidi="de-CH"/>
      </w:rPr>
    </w:lvl>
    <w:lvl w:ilvl="3" w:tplc="13028650">
      <w:numFmt w:val="bullet"/>
      <w:lvlText w:val="•"/>
      <w:lvlJc w:val="left"/>
      <w:pPr>
        <w:ind w:left="3405" w:hanging="369"/>
      </w:pPr>
      <w:rPr>
        <w:rFonts w:hint="default"/>
        <w:lang w:val="de-CH" w:eastAsia="de-CH" w:bidi="de-CH"/>
      </w:rPr>
    </w:lvl>
    <w:lvl w:ilvl="4" w:tplc="3A66C138">
      <w:numFmt w:val="bullet"/>
      <w:lvlText w:val="•"/>
      <w:lvlJc w:val="left"/>
      <w:pPr>
        <w:ind w:left="4347" w:hanging="369"/>
      </w:pPr>
      <w:rPr>
        <w:rFonts w:hint="default"/>
        <w:lang w:val="de-CH" w:eastAsia="de-CH" w:bidi="de-CH"/>
      </w:rPr>
    </w:lvl>
    <w:lvl w:ilvl="5" w:tplc="F7BC97A2">
      <w:numFmt w:val="bullet"/>
      <w:lvlText w:val="•"/>
      <w:lvlJc w:val="left"/>
      <w:pPr>
        <w:ind w:left="5289" w:hanging="369"/>
      </w:pPr>
      <w:rPr>
        <w:rFonts w:hint="default"/>
        <w:lang w:val="de-CH" w:eastAsia="de-CH" w:bidi="de-CH"/>
      </w:rPr>
    </w:lvl>
    <w:lvl w:ilvl="6" w:tplc="A6663A88">
      <w:numFmt w:val="bullet"/>
      <w:lvlText w:val="•"/>
      <w:lvlJc w:val="left"/>
      <w:pPr>
        <w:ind w:left="6231" w:hanging="369"/>
      </w:pPr>
      <w:rPr>
        <w:rFonts w:hint="default"/>
        <w:lang w:val="de-CH" w:eastAsia="de-CH" w:bidi="de-CH"/>
      </w:rPr>
    </w:lvl>
    <w:lvl w:ilvl="7" w:tplc="CAC0D52E">
      <w:numFmt w:val="bullet"/>
      <w:lvlText w:val="•"/>
      <w:lvlJc w:val="left"/>
      <w:pPr>
        <w:ind w:left="7173" w:hanging="369"/>
      </w:pPr>
      <w:rPr>
        <w:rFonts w:hint="default"/>
        <w:lang w:val="de-CH" w:eastAsia="de-CH" w:bidi="de-CH"/>
      </w:rPr>
    </w:lvl>
    <w:lvl w:ilvl="8" w:tplc="F4201358">
      <w:numFmt w:val="bullet"/>
      <w:lvlText w:val="•"/>
      <w:lvlJc w:val="left"/>
      <w:pPr>
        <w:ind w:left="8115" w:hanging="369"/>
      </w:pPr>
      <w:rPr>
        <w:rFonts w:hint="default"/>
        <w:lang w:val="de-CH" w:eastAsia="de-CH" w:bidi="de-CH"/>
      </w:rPr>
    </w:lvl>
  </w:abstractNum>
  <w:abstractNum w:abstractNumId="3" w15:restartNumberingAfterBreak="0">
    <w:nsid w:val="370E4B93"/>
    <w:multiLevelType w:val="hybridMultilevel"/>
    <w:tmpl w:val="3C8893E8"/>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3A237DC0"/>
    <w:multiLevelType w:val="multilevel"/>
    <w:tmpl w:val="9AA6370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3CE27215"/>
    <w:multiLevelType w:val="multilevel"/>
    <w:tmpl w:val="B786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14136B"/>
    <w:multiLevelType w:val="hybridMultilevel"/>
    <w:tmpl w:val="3FE4855A"/>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435C5755"/>
    <w:multiLevelType w:val="hybridMultilevel"/>
    <w:tmpl w:val="1CCE8078"/>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43F962B2"/>
    <w:multiLevelType w:val="hybridMultilevel"/>
    <w:tmpl w:val="4054279A"/>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46E346F8"/>
    <w:multiLevelType w:val="multilevel"/>
    <w:tmpl w:val="1C506F48"/>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59B67021"/>
    <w:multiLevelType w:val="hybridMultilevel"/>
    <w:tmpl w:val="060A2876"/>
    <w:lvl w:ilvl="0" w:tplc="7F0C7BCA">
      <w:start w:val="6"/>
      <w:numFmt w:val="decimal"/>
      <w:lvlText w:val="%1."/>
      <w:lvlJc w:val="left"/>
      <w:pPr>
        <w:ind w:left="586" w:hanging="364"/>
      </w:pPr>
      <w:rPr>
        <w:rFonts w:ascii="Arial" w:eastAsia="Arial" w:hAnsi="Arial" w:cs="Arial" w:hint="default"/>
        <w:b/>
        <w:bCs/>
        <w:color w:val="DF0036"/>
        <w:spacing w:val="-1"/>
        <w:w w:val="110"/>
        <w:sz w:val="22"/>
        <w:szCs w:val="22"/>
        <w:lang w:val="de-CH" w:eastAsia="de-CH" w:bidi="de-CH"/>
      </w:rPr>
    </w:lvl>
    <w:lvl w:ilvl="1" w:tplc="7206B6A0">
      <w:numFmt w:val="bullet"/>
      <w:lvlText w:val="•"/>
      <w:lvlJc w:val="left"/>
      <w:pPr>
        <w:ind w:left="1521" w:hanging="364"/>
      </w:pPr>
      <w:rPr>
        <w:rFonts w:hint="default"/>
        <w:lang w:val="de-CH" w:eastAsia="de-CH" w:bidi="de-CH"/>
      </w:rPr>
    </w:lvl>
    <w:lvl w:ilvl="2" w:tplc="C7E89548">
      <w:numFmt w:val="bullet"/>
      <w:lvlText w:val="•"/>
      <w:lvlJc w:val="left"/>
      <w:pPr>
        <w:ind w:left="2463" w:hanging="364"/>
      </w:pPr>
      <w:rPr>
        <w:rFonts w:hint="default"/>
        <w:lang w:val="de-CH" w:eastAsia="de-CH" w:bidi="de-CH"/>
      </w:rPr>
    </w:lvl>
    <w:lvl w:ilvl="3" w:tplc="7C6CCC14">
      <w:numFmt w:val="bullet"/>
      <w:lvlText w:val="•"/>
      <w:lvlJc w:val="left"/>
      <w:pPr>
        <w:ind w:left="3405" w:hanging="364"/>
      </w:pPr>
      <w:rPr>
        <w:rFonts w:hint="default"/>
        <w:lang w:val="de-CH" w:eastAsia="de-CH" w:bidi="de-CH"/>
      </w:rPr>
    </w:lvl>
    <w:lvl w:ilvl="4" w:tplc="BF3CD69E">
      <w:numFmt w:val="bullet"/>
      <w:lvlText w:val="•"/>
      <w:lvlJc w:val="left"/>
      <w:pPr>
        <w:ind w:left="4347" w:hanging="364"/>
      </w:pPr>
      <w:rPr>
        <w:rFonts w:hint="default"/>
        <w:lang w:val="de-CH" w:eastAsia="de-CH" w:bidi="de-CH"/>
      </w:rPr>
    </w:lvl>
    <w:lvl w:ilvl="5" w:tplc="2850CD5E">
      <w:numFmt w:val="bullet"/>
      <w:lvlText w:val="•"/>
      <w:lvlJc w:val="left"/>
      <w:pPr>
        <w:ind w:left="5289" w:hanging="364"/>
      </w:pPr>
      <w:rPr>
        <w:rFonts w:hint="default"/>
        <w:lang w:val="de-CH" w:eastAsia="de-CH" w:bidi="de-CH"/>
      </w:rPr>
    </w:lvl>
    <w:lvl w:ilvl="6" w:tplc="32D477DE">
      <w:numFmt w:val="bullet"/>
      <w:lvlText w:val="•"/>
      <w:lvlJc w:val="left"/>
      <w:pPr>
        <w:ind w:left="6231" w:hanging="364"/>
      </w:pPr>
      <w:rPr>
        <w:rFonts w:hint="default"/>
        <w:lang w:val="de-CH" w:eastAsia="de-CH" w:bidi="de-CH"/>
      </w:rPr>
    </w:lvl>
    <w:lvl w:ilvl="7" w:tplc="0788380C">
      <w:numFmt w:val="bullet"/>
      <w:lvlText w:val="•"/>
      <w:lvlJc w:val="left"/>
      <w:pPr>
        <w:ind w:left="7173" w:hanging="364"/>
      </w:pPr>
      <w:rPr>
        <w:rFonts w:hint="default"/>
        <w:lang w:val="de-CH" w:eastAsia="de-CH" w:bidi="de-CH"/>
      </w:rPr>
    </w:lvl>
    <w:lvl w:ilvl="8" w:tplc="70468DF4">
      <w:numFmt w:val="bullet"/>
      <w:lvlText w:val="•"/>
      <w:lvlJc w:val="left"/>
      <w:pPr>
        <w:ind w:left="8115" w:hanging="364"/>
      </w:pPr>
      <w:rPr>
        <w:rFonts w:hint="default"/>
        <w:lang w:val="de-CH" w:eastAsia="de-CH" w:bidi="de-CH"/>
      </w:rPr>
    </w:lvl>
  </w:abstractNum>
  <w:abstractNum w:abstractNumId="11" w15:restartNumberingAfterBreak="0">
    <w:nsid w:val="6744703F"/>
    <w:multiLevelType w:val="hybridMultilevel"/>
    <w:tmpl w:val="DA885516"/>
    <w:lvl w:ilvl="0" w:tplc="0807000B">
      <w:start w:val="1"/>
      <w:numFmt w:val="bullet"/>
      <w:lvlText w:val=""/>
      <w:lvlJc w:val="left"/>
      <w:pPr>
        <w:ind w:left="1287" w:hanging="360"/>
      </w:pPr>
      <w:rPr>
        <w:rFonts w:ascii="Wingdings" w:hAnsi="Wingdings" w:hint="default"/>
      </w:rPr>
    </w:lvl>
    <w:lvl w:ilvl="1" w:tplc="08070003" w:tentative="1">
      <w:start w:val="1"/>
      <w:numFmt w:val="bullet"/>
      <w:lvlText w:val="o"/>
      <w:lvlJc w:val="left"/>
      <w:pPr>
        <w:ind w:left="2007" w:hanging="360"/>
      </w:pPr>
      <w:rPr>
        <w:rFonts w:ascii="Courier New" w:hAnsi="Courier New" w:cs="Courier New" w:hint="default"/>
      </w:rPr>
    </w:lvl>
    <w:lvl w:ilvl="2" w:tplc="08070005" w:tentative="1">
      <w:start w:val="1"/>
      <w:numFmt w:val="bullet"/>
      <w:lvlText w:val=""/>
      <w:lvlJc w:val="left"/>
      <w:pPr>
        <w:ind w:left="2727" w:hanging="360"/>
      </w:pPr>
      <w:rPr>
        <w:rFonts w:ascii="Wingdings" w:hAnsi="Wingdings" w:hint="default"/>
      </w:rPr>
    </w:lvl>
    <w:lvl w:ilvl="3" w:tplc="08070001" w:tentative="1">
      <w:start w:val="1"/>
      <w:numFmt w:val="bullet"/>
      <w:lvlText w:val=""/>
      <w:lvlJc w:val="left"/>
      <w:pPr>
        <w:ind w:left="3447" w:hanging="360"/>
      </w:pPr>
      <w:rPr>
        <w:rFonts w:ascii="Symbol" w:hAnsi="Symbol" w:hint="default"/>
      </w:rPr>
    </w:lvl>
    <w:lvl w:ilvl="4" w:tplc="08070003" w:tentative="1">
      <w:start w:val="1"/>
      <w:numFmt w:val="bullet"/>
      <w:lvlText w:val="o"/>
      <w:lvlJc w:val="left"/>
      <w:pPr>
        <w:ind w:left="4167" w:hanging="360"/>
      </w:pPr>
      <w:rPr>
        <w:rFonts w:ascii="Courier New" w:hAnsi="Courier New" w:cs="Courier New" w:hint="default"/>
      </w:rPr>
    </w:lvl>
    <w:lvl w:ilvl="5" w:tplc="08070005" w:tentative="1">
      <w:start w:val="1"/>
      <w:numFmt w:val="bullet"/>
      <w:lvlText w:val=""/>
      <w:lvlJc w:val="left"/>
      <w:pPr>
        <w:ind w:left="4887" w:hanging="360"/>
      </w:pPr>
      <w:rPr>
        <w:rFonts w:ascii="Wingdings" w:hAnsi="Wingdings" w:hint="default"/>
      </w:rPr>
    </w:lvl>
    <w:lvl w:ilvl="6" w:tplc="08070001" w:tentative="1">
      <w:start w:val="1"/>
      <w:numFmt w:val="bullet"/>
      <w:lvlText w:val=""/>
      <w:lvlJc w:val="left"/>
      <w:pPr>
        <w:ind w:left="5607" w:hanging="360"/>
      </w:pPr>
      <w:rPr>
        <w:rFonts w:ascii="Symbol" w:hAnsi="Symbol" w:hint="default"/>
      </w:rPr>
    </w:lvl>
    <w:lvl w:ilvl="7" w:tplc="08070003" w:tentative="1">
      <w:start w:val="1"/>
      <w:numFmt w:val="bullet"/>
      <w:lvlText w:val="o"/>
      <w:lvlJc w:val="left"/>
      <w:pPr>
        <w:ind w:left="6327" w:hanging="360"/>
      </w:pPr>
      <w:rPr>
        <w:rFonts w:ascii="Courier New" w:hAnsi="Courier New" w:cs="Courier New" w:hint="default"/>
      </w:rPr>
    </w:lvl>
    <w:lvl w:ilvl="8" w:tplc="08070005" w:tentative="1">
      <w:start w:val="1"/>
      <w:numFmt w:val="bullet"/>
      <w:lvlText w:val=""/>
      <w:lvlJc w:val="left"/>
      <w:pPr>
        <w:ind w:left="7047" w:hanging="360"/>
      </w:pPr>
      <w:rPr>
        <w:rFonts w:ascii="Wingdings" w:hAnsi="Wingdings" w:hint="default"/>
      </w:rPr>
    </w:lvl>
  </w:abstractNum>
  <w:abstractNum w:abstractNumId="12" w15:restartNumberingAfterBreak="0">
    <w:nsid w:val="775264F3"/>
    <w:multiLevelType w:val="hybridMultilevel"/>
    <w:tmpl w:val="384288FA"/>
    <w:lvl w:ilvl="0" w:tplc="0807000F">
      <w:start w:val="1"/>
      <w:numFmt w:val="decimal"/>
      <w:lvlText w:val="%1."/>
      <w:lvlJc w:val="left"/>
      <w:pPr>
        <w:ind w:left="720" w:hanging="360"/>
      </w:pPr>
      <w:rPr>
        <w:rFont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7FAE7F5E"/>
    <w:multiLevelType w:val="hybridMultilevel"/>
    <w:tmpl w:val="36A236FE"/>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622879486">
    <w:abstractNumId w:val="10"/>
  </w:num>
  <w:num w:numId="2" w16cid:durableId="617025720">
    <w:abstractNumId w:val="2"/>
  </w:num>
  <w:num w:numId="3" w16cid:durableId="1850025402">
    <w:abstractNumId w:val="9"/>
  </w:num>
  <w:num w:numId="4" w16cid:durableId="917862507">
    <w:abstractNumId w:val="9"/>
  </w:num>
  <w:num w:numId="5" w16cid:durableId="1941525354">
    <w:abstractNumId w:val="9"/>
  </w:num>
  <w:num w:numId="6" w16cid:durableId="1285768776">
    <w:abstractNumId w:val="9"/>
  </w:num>
  <w:num w:numId="7" w16cid:durableId="205915660">
    <w:abstractNumId w:val="9"/>
  </w:num>
  <w:num w:numId="8" w16cid:durableId="628558682">
    <w:abstractNumId w:val="9"/>
  </w:num>
  <w:num w:numId="9" w16cid:durableId="1201668699">
    <w:abstractNumId w:val="9"/>
  </w:num>
  <w:num w:numId="10" w16cid:durableId="235675193">
    <w:abstractNumId w:val="7"/>
  </w:num>
  <w:num w:numId="11" w16cid:durableId="454177760">
    <w:abstractNumId w:val="8"/>
  </w:num>
  <w:num w:numId="12" w16cid:durableId="1694188477">
    <w:abstractNumId w:val="6"/>
  </w:num>
  <w:num w:numId="13" w16cid:durableId="1286501954">
    <w:abstractNumId w:val="3"/>
  </w:num>
  <w:num w:numId="14" w16cid:durableId="461270502">
    <w:abstractNumId w:val="13"/>
  </w:num>
  <w:num w:numId="15" w16cid:durableId="963923080">
    <w:abstractNumId w:val="12"/>
  </w:num>
  <w:num w:numId="16" w16cid:durableId="1816599738">
    <w:abstractNumId w:val="11"/>
  </w:num>
  <w:num w:numId="17" w16cid:durableId="369307539">
    <w:abstractNumId w:val="9"/>
  </w:num>
  <w:num w:numId="18" w16cid:durableId="953633874">
    <w:abstractNumId w:val="9"/>
  </w:num>
  <w:num w:numId="19" w16cid:durableId="1910310705">
    <w:abstractNumId w:val="9"/>
  </w:num>
  <w:num w:numId="20" w16cid:durableId="158497585">
    <w:abstractNumId w:val="9"/>
  </w:num>
  <w:num w:numId="21" w16cid:durableId="890725219">
    <w:abstractNumId w:val="9"/>
  </w:num>
  <w:num w:numId="22" w16cid:durableId="1666929619">
    <w:abstractNumId w:val="5"/>
  </w:num>
  <w:num w:numId="23" w16cid:durableId="1100489811">
    <w:abstractNumId w:val="4"/>
  </w:num>
  <w:num w:numId="24" w16cid:durableId="916938986">
    <w:abstractNumId w:val="0"/>
  </w:num>
  <w:num w:numId="25" w16cid:durableId="11869383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720"/>
  <w:autoHyphenation/>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DD2"/>
    <w:rsid w:val="00011F1D"/>
    <w:rsid w:val="00044A4F"/>
    <w:rsid w:val="00057DD7"/>
    <w:rsid w:val="000708B9"/>
    <w:rsid w:val="000C01FD"/>
    <w:rsid w:val="000C719A"/>
    <w:rsid w:val="001011F8"/>
    <w:rsid w:val="001208C5"/>
    <w:rsid w:val="00126D08"/>
    <w:rsid w:val="00163EB7"/>
    <w:rsid w:val="001E1D23"/>
    <w:rsid w:val="00210C25"/>
    <w:rsid w:val="00220478"/>
    <w:rsid w:val="002539BB"/>
    <w:rsid w:val="00282C10"/>
    <w:rsid w:val="00282FA7"/>
    <w:rsid w:val="002858F3"/>
    <w:rsid w:val="002905B1"/>
    <w:rsid w:val="002A2C97"/>
    <w:rsid w:val="002C7626"/>
    <w:rsid w:val="002D1FFD"/>
    <w:rsid w:val="002D241C"/>
    <w:rsid w:val="002E44DB"/>
    <w:rsid w:val="002F2E57"/>
    <w:rsid w:val="00306515"/>
    <w:rsid w:val="003111DF"/>
    <w:rsid w:val="00377009"/>
    <w:rsid w:val="00383D58"/>
    <w:rsid w:val="003A251D"/>
    <w:rsid w:val="003B3C66"/>
    <w:rsid w:val="003C1EAD"/>
    <w:rsid w:val="003C328B"/>
    <w:rsid w:val="003D1632"/>
    <w:rsid w:val="003D6689"/>
    <w:rsid w:val="003F59EB"/>
    <w:rsid w:val="004012EA"/>
    <w:rsid w:val="00422D4F"/>
    <w:rsid w:val="00425FD0"/>
    <w:rsid w:val="00430078"/>
    <w:rsid w:val="00434485"/>
    <w:rsid w:val="00437E1E"/>
    <w:rsid w:val="004625C3"/>
    <w:rsid w:val="0046413E"/>
    <w:rsid w:val="004664C7"/>
    <w:rsid w:val="004843F4"/>
    <w:rsid w:val="004F2296"/>
    <w:rsid w:val="005425D1"/>
    <w:rsid w:val="00544A52"/>
    <w:rsid w:val="00560019"/>
    <w:rsid w:val="00591621"/>
    <w:rsid w:val="005A4A57"/>
    <w:rsid w:val="005B415F"/>
    <w:rsid w:val="005B554F"/>
    <w:rsid w:val="005B594C"/>
    <w:rsid w:val="005E27FC"/>
    <w:rsid w:val="005F5FDD"/>
    <w:rsid w:val="00604EB6"/>
    <w:rsid w:val="00610F64"/>
    <w:rsid w:val="0063054F"/>
    <w:rsid w:val="006314CA"/>
    <w:rsid w:val="006423C9"/>
    <w:rsid w:val="00644EBE"/>
    <w:rsid w:val="00646578"/>
    <w:rsid w:val="00647EE7"/>
    <w:rsid w:val="00696B5C"/>
    <w:rsid w:val="00713A8E"/>
    <w:rsid w:val="00716C2D"/>
    <w:rsid w:val="00723D35"/>
    <w:rsid w:val="00732163"/>
    <w:rsid w:val="0076422B"/>
    <w:rsid w:val="00785B7D"/>
    <w:rsid w:val="00790CEC"/>
    <w:rsid w:val="007C085F"/>
    <w:rsid w:val="007D4245"/>
    <w:rsid w:val="007F179A"/>
    <w:rsid w:val="007F3A20"/>
    <w:rsid w:val="008175B0"/>
    <w:rsid w:val="0087489C"/>
    <w:rsid w:val="008811DA"/>
    <w:rsid w:val="008940CF"/>
    <w:rsid w:val="008B0858"/>
    <w:rsid w:val="008D556A"/>
    <w:rsid w:val="008D56FD"/>
    <w:rsid w:val="008F0143"/>
    <w:rsid w:val="009162BE"/>
    <w:rsid w:val="00937CC9"/>
    <w:rsid w:val="00955C5B"/>
    <w:rsid w:val="00984F34"/>
    <w:rsid w:val="00996797"/>
    <w:rsid w:val="009A12D0"/>
    <w:rsid w:val="009C2195"/>
    <w:rsid w:val="00A87BEA"/>
    <w:rsid w:val="00A90533"/>
    <w:rsid w:val="00AC007C"/>
    <w:rsid w:val="00B24EB5"/>
    <w:rsid w:val="00B30D8F"/>
    <w:rsid w:val="00B54DF7"/>
    <w:rsid w:val="00B66D22"/>
    <w:rsid w:val="00B77B57"/>
    <w:rsid w:val="00B94656"/>
    <w:rsid w:val="00B95EE7"/>
    <w:rsid w:val="00BA15BB"/>
    <w:rsid w:val="00BA21B5"/>
    <w:rsid w:val="00BB06BF"/>
    <w:rsid w:val="00BC1FA1"/>
    <w:rsid w:val="00C03F26"/>
    <w:rsid w:val="00C168C5"/>
    <w:rsid w:val="00C47F0A"/>
    <w:rsid w:val="00C60DA7"/>
    <w:rsid w:val="00C66B31"/>
    <w:rsid w:val="00C9182D"/>
    <w:rsid w:val="00C97F8B"/>
    <w:rsid w:val="00D44050"/>
    <w:rsid w:val="00D44C7F"/>
    <w:rsid w:val="00D71904"/>
    <w:rsid w:val="00D832B8"/>
    <w:rsid w:val="00DB1B66"/>
    <w:rsid w:val="00DB65E2"/>
    <w:rsid w:val="00DC64BF"/>
    <w:rsid w:val="00DD3DE3"/>
    <w:rsid w:val="00E56231"/>
    <w:rsid w:val="00EB4553"/>
    <w:rsid w:val="00EB6854"/>
    <w:rsid w:val="00ED586F"/>
    <w:rsid w:val="00EE55C3"/>
    <w:rsid w:val="00F20DD2"/>
    <w:rsid w:val="00FD550C"/>
    <w:rsid w:val="00FE34AD"/>
    <w:rsid w:val="00FE72C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5F377E"/>
  <w15:docId w15:val="{B02BBC50-8C5F-464B-BE52-86905F94C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rsid w:val="00591621"/>
    <w:pPr>
      <w:spacing w:after="160"/>
      <w:ind w:left="567"/>
    </w:pPr>
    <w:rPr>
      <w:rFonts w:ascii="HelveticaNeueLT Std" w:eastAsia="Arial" w:hAnsi="HelveticaNeueLT Std" w:cs="Arial"/>
      <w:sz w:val="20"/>
      <w:lang w:val="de-CH" w:eastAsia="de-CH" w:bidi="de-CH"/>
    </w:rPr>
  </w:style>
  <w:style w:type="paragraph" w:styleId="berschrift1">
    <w:name w:val="heading 1"/>
    <w:basedOn w:val="Standard"/>
    <w:uiPriority w:val="9"/>
    <w:rsid w:val="009C2195"/>
    <w:pPr>
      <w:numPr>
        <w:numId w:val="24"/>
      </w:numPr>
      <w:spacing w:before="360" w:after="240"/>
      <w:ind w:left="567" w:hanging="567"/>
      <w:outlineLvl w:val="0"/>
    </w:pPr>
    <w:rPr>
      <w:b/>
      <w:sz w:val="22"/>
      <w:szCs w:val="24"/>
    </w:rPr>
  </w:style>
  <w:style w:type="paragraph" w:styleId="berschrift2">
    <w:name w:val="heading 2"/>
    <w:basedOn w:val="Standard"/>
    <w:uiPriority w:val="9"/>
    <w:unhideWhenUsed/>
    <w:rsid w:val="009C2195"/>
    <w:pPr>
      <w:numPr>
        <w:ilvl w:val="1"/>
        <w:numId w:val="24"/>
      </w:numPr>
      <w:spacing w:before="360" w:after="120"/>
      <w:ind w:left="567" w:hanging="567"/>
      <w:outlineLvl w:val="1"/>
    </w:pPr>
    <w:rPr>
      <w:b/>
      <w:szCs w:val="19"/>
    </w:rPr>
  </w:style>
  <w:style w:type="paragraph" w:styleId="berschrift3">
    <w:name w:val="heading 3"/>
    <w:basedOn w:val="Standard"/>
    <w:uiPriority w:val="9"/>
    <w:unhideWhenUsed/>
    <w:rsid w:val="00BB06BF"/>
    <w:pPr>
      <w:numPr>
        <w:numId w:val="25"/>
      </w:numPr>
      <w:spacing w:before="240" w:after="240"/>
      <w:ind w:left="1134" w:hanging="567"/>
      <w:outlineLvl w:val="2"/>
    </w:pPr>
    <w:rPr>
      <w:bCs/>
      <w:szCs w:val="16"/>
    </w:rPr>
  </w:style>
  <w:style w:type="paragraph" w:styleId="berschrift4">
    <w:name w:val="heading 4"/>
    <w:basedOn w:val="Standard"/>
    <w:next w:val="Standard"/>
    <w:link w:val="berschrift4Zchn"/>
    <w:uiPriority w:val="9"/>
    <w:semiHidden/>
    <w:unhideWhenUsed/>
    <w:rsid w:val="0087489C"/>
    <w:pPr>
      <w:keepNext/>
      <w:keepLines/>
      <w:numPr>
        <w:ilvl w:val="3"/>
        <w:numId w:val="24"/>
      </w:numPr>
      <w:spacing w:before="40"/>
      <w:outlineLvl w:val="3"/>
    </w:pPr>
    <w:rPr>
      <w:rFonts w:asciiTheme="majorHAnsi" w:eastAsiaTheme="majorEastAsia" w:hAnsiTheme="majorHAnsi"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87489C"/>
    <w:pPr>
      <w:keepNext/>
      <w:keepLines/>
      <w:numPr>
        <w:ilvl w:val="4"/>
        <w:numId w:val="24"/>
      </w:numPr>
      <w:spacing w:before="40"/>
      <w:outlineLvl w:val="4"/>
    </w:pPr>
    <w:rPr>
      <w:rFonts w:asciiTheme="majorHAnsi" w:eastAsiaTheme="majorEastAsia" w:hAnsiTheme="majorHAnsi" w:cstheme="majorBidi"/>
      <w:color w:val="365F91" w:themeColor="accent1" w:themeShade="BF"/>
    </w:rPr>
  </w:style>
  <w:style w:type="paragraph" w:styleId="berschrift6">
    <w:name w:val="heading 6"/>
    <w:basedOn w:val="Standard"/>
    <w:next w:val="Standard"/>
    <w:link w:val="berschrift6Zchn"/>
    <w:uiPriority w:val="9"/>
    <w:semiHidden/>
    <w:unhideWhenUsed/>
    <w:qFormat/>
    <w:rsid w:val="0087489C"/>
    <w:pPr>
      <w:keepNext/>
      <w:keepLines/>
      <w:numPr>
        <w:ilvl w:val="5"/>
        <w:numId w:val="24"/>
      </w:numPr>
      <w:spacing w:before="40"/>
      <w:outlineLvl w:val="5"/>
    </w:pPr>
    <w:rPr>
      <w:rFonts w:asciiTheme="majorHAnsi" w:eastAsiaTheme="majorEastAsia" w:hAnsiTheme="majorHAnsi" w:cstheme="majorBidi"/>
      <w:color w:val="243F60" w:themeColor="accent1" w:themeShade="7F"/>
    </w:rPr>
  </w:style>
  <w:style w:type="paragraph" w:styleId="berschrift7">
    <w:name w:val="heading 7"/>
    <w:basedOn w:val="Standard"/>
    <w:next w:val="Standard"/>
    <w:link w:val="berschrift7Zchn"/>
    <w:uiPriority w:val="9"/>
    <w:semiHidden/>
    <w:unhideWhenUsed/>
    <w:qFormat/>
    <w:rsid w:val="0087489C"/>
    <w:pPr>
      <w:keepNext/>
      <w:keepLines/>
      <w:numPr>
        <w:ilvl w:val="6"/>
        <w:numId w:val="24"/>
      </w:numPr>
      <w:spacing w:before="40"/>
      <w:outlineLvl w:val="6"/>
    </w:pPr>
    <w:rPr>
      <w:rFonts w:asciiTheme="majorHAnsi" w:eastAsiaTheme="majorEastAsia" w:hAnsiTheme="majorHAnsi" w:cstheme="majorBidi"/>
      <w:i/>
      <w:iCs/>
      <w:color w:val="243F60" w:themeColor="accent1" w:themeShade="7F"/>
    </w:rPr>
  </w:style>
  <w:style w:type="paragraph" w:styleId="berschrift8">
    <w:name w:val="heading 8"/>
    <w:basedOn w:val="Standard"/>
    <w:next w:val="Standard"/>
    <w:link w:val="berschrift8Zchn"/>
    <w:uiPriority w:val="9"/>
    <w:semiHidden/>
    <w:unhideWhenUsed/>
    <w:qFormat/>
    <w:rsid w:val="0087489C"/>
    <w:pPr>
      <w:keepNext/>
      <w:keepLines/>
      <w:numPr>
        <w:ilvl w:val="7"/>
        <w:numId w:val="24"/>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87489C"/>
    <w:pPr>
      <w:keepNext/>
      <w:keepLines/>
      <w:numPr>
        <w:ilvl w:val="8"/>
        <w:numId w:val="2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rPr>
      <w:rFonts w:ascii="Arial" w:hAnsi="Arial"/>
      <w:sz w:val="15"/>
      <w:szCs w:val="15"/>
    </w:rPr>
  </w:style>
  <w:style w:type="paragraph" w:styleId="Listenabsatz">
    <w:name w:val="List Paragraph"/>
    <w:basedOn w:val="Standard"/>
    <w:uiPriority w:val="1"/>
    <w:pPr>
      <w:spacing w:before="1"/>
      <w:ind w:left="586" w:hanging="364"/>
    </w:pPr>
    <w:rPr>
      <w:rFonts w:ascii="Arial" w:hAnsi="Arial"/>
    </w:rPr>
  </w:style>
  <w:style w:type="paragraph" w:customStyle="1" w:styleId="TableParagraph">
    <w:name w:val="Table Paragraph"/>
    <w:basedOn w:val="Standard"/>
    <w:uiPriority w:val="1"/>
    <w:rsid w:val="005B415F"/>
    <w:pPr>
      <w:ind w:left="-2"/>
    </w:pPr>
    <w:rPr>
      <w:b/>
      <w:w w:val="110"/>
      <w:sz w:val="18"/>
    </w:rPr>
  </w:style>
  <w:style w:type="paragraph" w:styleId="Titel">
    <w:name w:val="Title"/>
    <w:basedOn w:val="Standard"/>
    <w:next w:val="Standard"/>
    <w:link w:val="TitelZchn"/>
    <w:uiPriority w:val="10"/>
    <w:rsid w:val="0087489C"/>
    <w:pPr>
      <w:contextualSpacing/>
    </w:pPr>
    <w:rPr>
      <w:rFonts w:eastAsiaTheme="majorEastAsia" w:cstheme="majorBidi"/>
      <w:b/>
      <w:color w:val="E00036"/>
      <w:spacing w:val="-10"/>
      <w:kern w:val="28"/>
      <w:sz w:val="40"/>
      <w:szCs w:val="56"/>
    </w:rPr>
  </w:style>
  <w:style w:type="character" w:customStyle="1" w:styleId="TitelZchn">
    <w:name w:val="Titel Zchn"/>
    <w:basedOn w:val="Absatz-Standardschriftart"/>
    <w:link w:val="Titel"/>
    <w:uiPriority w:val="10"/>
    <w:rsid w:val="0087489C"/>
    <w:rPr>
      <w:rFonts w:ascii="HelveticaNeueLT Std" w:eastAsiaTheme="majorEastAsia" w:hAnsi="HelveticaNeueLT Std" w:cstheme="majorBidi"/>
      <w:b/>
      <w:color w:val="E00036"/>
      <w:spacing w:val="-10"/>
      <w:kern w:val="28"/>
      <w:sz w:val="40"/>
      <w:szCs w:val="56"/>
      <w:lang w:val="de-CH" w:eastAsia="de-CH" w:bidi="de-CH"/>
    </w:rPr>
  </w:style>
  <w:style w:type="character" w:customStyle="1" w:styleId="berschrift4Zchn">
    <w:name w:val="Überschrift 4 Zchn"/>
    <w:basedOn w:val="Absatz-Standardschriftart"/>
    <w:link w:val="berschrift4"/>
    <w:uiPriority w:val="9"/>
    <w:semiHidden/>
    <w:rsid w:val="0087489C"/>
    <w:rPr>
      <w:rFonts w:asciiTheme="majorHAnsi" w:eastAsiaTheme="majorEastAsia" w:hAnsiTheme="majorHAnsi" w:cstheme="majorBidi"/>
      <w:i/>
      <w:iCs/>
      <w:color w:val="365F91" w:themeColor="accent1" w:themeShade="BF"/>
      <w:lang w:val="de-CH" w:eastAsia="de-CH" w:bidi="de-CH"/>
    </w:rPr>
  </w:style>
  <w:style w:type="character" w:customStyle="1" w:styleId="berschrift5Zchn">
    <w:name w:val="Überschrift 5 Zchn"/>
    <w:basedOn w:val="Absatz-Standardschriftart"/>
    <w:link w:val="berschrift5"/>
    <w:uiPriority w:val="9"/>
    <w:semiHidden/>
    <w:rsid w:val="0087489C"/>
    <w:rPr>
      <w:rFonts w:asciiTheme="majorHAnsi" w:eastAsiaTheme="majorEastAsia" w:hAnsiTheme="majorHAnsi" w:cstheme="majorBidi"/>
      <w:color w:val="365F91" w:themeColor="accent1" w:themeShade="BF"/>
      <w:lang w:val="de-CH" w:eastAsia="de-CH" w:bidi="de-CH"/>
    </w:rPr>
  </w:style>
  <w:style w:type="character" w:customStyle="1" w:styleId="berschrift6Zchn">
    <w:name w:val="Überschrift 6 Zchn"/>
    <w:basedOn w:val="Absatz-Standardschriftart"/>
    <w:link w:val="berschrift6"/>
    <w:uiPriority w:val="9"/>
    <w:semiHidden/>
    <w:rsid w:val="0087489C"/>
    <w:rPr>
      <w:rFonts w:asciiTheme="majorHAnsi" w:eastAsiaTheme="majorEastAsia" w:hAnsiTheme="majorHAnsi" w:cstheme="majorBidi"/>
      <w:color w:val="243F60" w:themeColor="accent1" w:themeShade="7F"/>
      <w:lang w:val="de-CH" w:eastAsia="de-CH" w:bidi="de-CH"/>
    </w:rPr>
  </w:style>
  <w:style w:type="character" w:customStyle="1" w:styleId="berschrift7Zchn">
    <w:name w:val="Überschrift 7 Zchn"/>
    <w:basedOn w:val="Absatz-Standardschriftart"/>
    <w:link w:val="berschrift7"/>
    <w:uiPriority w:val="9"/>
    <w:semiHidden/>
    <w:rsid w:val="0087489C"/>
    <w:rPr>
      <w:rFonts w:asciiTheme="majorHAnsi" w:eastAsiaTheme="majorEastAsia" w:hAnsiTheme="majorHAnsi" w:cstheme="majorBidi"/>
      <w:i/>
      <w:iCs/>
      <w:color w:val="243F60" w:themeColor="accent1" w:themeShade="7F"/>
      <w:lang w:val="de-CH" w:eastAsia="de-CH" w:bidi="de-CH"/>
    </w:rPr>
  </w:style>
  <w:style w:type="character" w:customStyle="1" w:styleId="berschrift8Zchn">
    <w:name w:val="Überschrift 8 Zchn"/>
    <w:basedOn w:val="Absatz-Standardschriftart"/>
    <w:link w:val="berschrift8"/>
    <w:uiPriority w:val="9"/>
    <w:semiHidden/>
    <w:rsid w:val="0087489C"/>
    <w:rPr>
      <w:rFonts w:asciiTheme="majorHAnsi" w:eastAsiaTheme="majorEastAsia" w:hAnsiTheme="majorHAnsi" w:cstheme="majorBidi"/>
      <w:color w:val="272727" w:themeColor="text1" w:themeTint="D8"/>
      <w:sz w:val="21"/>
      <w:szCs w:val="21"/>
      <w:lang w:val="de-CH" w:eastAsia="de-CH" w:bidi="de-CH"/>
    </w:rPr>
  </w:style>
  <w:style w:type="character" w:customStyle="1" w:styleId="berschrift9Zchn">
    <w:name w:val="Überschrift 9 Zchn"/>
    <w:basedOn w:val="Absatz-Standardschriftart"/>
    <w:link w:val="berschrift9"/>
    <w:uiPriority w:val="9"/>
    <w:semiHidden/>
    <w:rsid w:val="0087489C"/>
    <w:rPr>
      <w:rFonts w:asciiTheme="majorHAnsi" w:eastAsiaTheme="majorEastAsia" w:hAnsiTheme="majorHAnsi" w:cstheme="majorBidi"/>
      <w:i/>
      <w:iCs/>
      <w:color w:val="272727" w:themeColor="text1" w:themeTint="D8"/>
      <w:sz w:val="21"/>
      <w:szCs w:val="21"/>
      <w:lang w:val="de-CH" w:eastAsia="de-CH" w:bidi="de-CH"/>
    </w:rPr>
  </w:style>
  <w:style w:type="table" w:styleId="Tabellenraster">
    <w:name w:val="Table Grid"/>
    <w:basedOn w:val="NormaleTabelle"/>
    <w:uiPriority w:val="39"/>
    <w:rsid w:val="008748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785B7D"/>
    <w:pPr>
      <w:tabs>
        <w:tab w:val="center" w:pos="4536"/>
        <w:tab w:val="right" w:pos="9072"/>
      </w:tabs>
    </w:pPr>
  </w:style>
  <w:style w:type="character" w:customStyle="1" w:styleId="KopfzeileZchn">
    <w:name w:val="Kopfzeile Zchn"/>
    <w:basedOn w:val="Absatz-Standardschriftart"/>
    <w:link w:val="Kopfzeile"/>
    <w:uiPriority w:val="99"/>
    <w:rsid w:val="00785B7D"/>
    <w:rPr>
      <w:rFonts w:ascii="HelveticaNeueLT Std" w:eastAsia="Arial" w:hAnsi="HelveticaNeueLT Std" w:cs="Arial"/>
      <w:w w:val="105"/>
      <w:sz w:val="20"/>
      <w:lang w:val="de-CH" w:eastAsia="de-CH" w:bidi="de-CH"/>
    </w:rPr>
  </w:style>
  <w:style w:type="paragraph" w:styleId="Fuzeile">
    <w:name w:val="footer"/>
    <w:basedOn w:val="Standard"/>
    <w:link w:val="FuzeileZchn"/>
    <w:uiPriority w:val="99"/>
    <w:unhideWhenUsed/>
    <w:rsid w:val="00785B7D"/>
    <w:pPr>
      <w:tabs>
        <w:tab w:val="center" w:pos="4536"/>
        <w:tab w:val="right" w:pos="9072"/>
      </w:tabs>
    </w:pPr>
  </w:style>
  <w:style w:type="character" w:customStyle="1" w:styleId="FuzeileZchn">
    <w:name w:val="Fußzeile Zchn"/>
    <w:basedOn w:val="Absatz-Standardschriftart"/>
    <w:link w:val="Fuzeile"/>
    <w:uiPriority w:val="99"/>
    <w:rsid w:val="00785B7D"/>
    <w:rPr>
      <w:rFonts w:ascii="HelveticaNeueLT Std" w:eastAsia="Arial" w:hAnsi="HelveticaNeueLT Std" w:cs="Arial"/>
      <w:w w:val="105"/>
      <w:sz w:val="20"/>
      <w:lang w:val="de-CH" w:eastAsia="de-CH" w:bidi="de-CH"/>
    </w:rPr>
  </w:style>
  <w:style w:type="paragraph" w:styleId="Untertitel">
    <w:name w:val="Subtitle"/>
    <w:basedOn w:val="Standard"/>
    <w:next w:val="Standard"/>
    <w:link w:val="UntertitelZchn"/>
    <w:uiPriority w:val="11"/>
    <w:rsid w:val="00FE72C0"/>
    <w:pPr>
      <w:numPr>
        <w:ilvl w:val="1"/>
      </w:numPr>
      <w:spacing w:after="0"/>
      <w:ind w:left="567"/>
    </w:pPr>
    <w:rPr>
      <w:rFonts w:eastAsiaTheme="minorEastAsia" w:cstheme="minorBidi"/>
      <w:b/>
    </w:rPr>
  </w:style>
  <w:style w:type="character" w:customStyle="1" w:styleId="UntertitelZchn">
    <w:name w:val="Untertitel Zchn"/>
    <w:basedOn w:val="Absatz-Standardschriftart"/>
    <w:link w:val="Untertitel"/>
    <w:uiPriority w:val="11"/>
    <w:rsid w:val="00FE72C0"/>
    <w:rPr>
      <w:rFonts w:ascii="HelveticaNeueLT Std" w:eastAsiaTheme="minorEastAsia" w:hAnsi="HelveticaNeueLT Std"/>
      <w:b/>
      <w:sz w:val="20"/>
      <w:lang w:val="de-CH" w:eastAsia="de-CH" w:bidi="de-CH"/>
    </w:rPr>
  </w:style>
  <w:style w:type="character" w:styleId="Hyperlink">
    <w:name w:val="Hyperlink"/>
    <w:basedOn w:val="Absatz-Standardschriftart"/>
    <w:uiPriority w:val="99"/>
    <w:unhideWhenUsed/>
    <w:rsid w:val="00560019"/>
    <w:rPr>
      <w:color w:val="0000FF" w:themeColor="hyperlink"/>
      <w:u w:val="single"/>
    </w:rPr>
  </w:style>
  <w:style w:type="paragraph" w:styleId="Verzeichnis1">
    <w:name w:val="toc 1"/>
    <w:basedOn w:val="Standard"/>
    <w:next w:val="Standard"/>
    <w:autoRedefine/>
    <w:uiPriority w:val="39"/>
    <w:unhideWhenUsed/>
    <w:rsid w:val="00591621"/>
    <w:pPr>
      <w:spacing w:before="120" w:after="120"/>
      <w:ind w:hanging="567"/>
    </w:pPr>
    <w:rPr>
      <w:b/>
    </w:rPr>
  </w:style>
  <w:style w:type="paragraph" w:styleId="Sprechblasentext">
    <w:name w:val="Balloon Text"/>
    <w:basedOn w:val="Standard"/>
    <w:link w:val="SprechblasentextZchn"/>
    <w:uiPriority w:val="99"/>
    <w:semiHidden/>
    <w:unhideWhenUsed/>
    <w:rsid w:val="00163EB7"/>
    <w:pPr>
      <w:spacing w:after="0"/>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163EB7"/>
    <w:rPr>
      <w:rFonts w:ascii="Segoe UI" w:eastAsia="Arial" w:hAnsi="Segoe UI" w:cs="Segoe UI"/>
      <w:sz w:val="18"/>
      <w:szCs w:val="18"/>
      <w:lang w:val="de-CH" w:eastAsia="de-CH" w:bidi="de-CH"/>
    </w:rPr>
  </w:style>
  <w:style w:type="paragraph" w:styleId="Inhaltsverzeichnisberschrift">
    <w:name w:val="TOC Heading"/>
    <w:basedOn w:val="berschrift1"/>
    <w:next w:val="Standard"/>
    <w:uiPriority w:val="39"/>
    <w:unhideWhenUsed/>
    <w:rsid w:val="007C085F"/>
    <w:pPr>
      <w:keepNext/>
      <w:keepLines/>
      <w:widowControl/>
      <w:numPr>
        <w:numId w:val="0"/>
      </w:numPr>
      <w:autoSpaceDE/>
      <w:autoSpaceDN/>
      <w:spacing w:after="0" w:line="259" w:lineRule="auto"/>
      <w:outlineLvl w:val="9"/>
    </w:pPr>
    <w:rPr>
      <w:rFonts w:asciiTheme="majorHAnsi" w:eastAsiaTheme="majorEastAsia" w:hAnsiTheme="majorHAnsi" w:cstheme="majorBidi"/>
      <w:b w:val="0"/>
      <w:color w:val="365F91" w:themeColor="accent1" w:themeShade="BF"/>
      <w:sz w:val="32"/>
      <w:szCs w:val="32"/>
      <w:lang w:bidi="ar-SA"/>
    </w:rPr>
  </w:style>
  <w:style w:type="paragraph" w:styleId="Verzeichnis2">
    <w:name w:val="toc 2"/>
    <w:basedOn w:val="Standard"/>
    <w:next w:val="Standard"/>
    <w:autoRedefine/>
    <w:uiPriority w:val="39"/>
    <w:unhideWhenUsed/>
    <w:rsid w:val="00591621"/>
    <w:pPr>
      <w:widowControl/>
      <w:autoSpaceDE/>
      <w:autoSpaceDN/>
      <w:spacing w:after="100"/>
      <w:ind w:hanging="567"/>
    </w:pPr>
    <w:rPr>
      <w:rFonts w:eastAsiaTheme="minorEastAsia" w:cs="Times New Roman"/>
      <w:lang w:bidi="ar-SA"/>
    </w:rPr>
  </w:style>
  <w:style w:type="paragraph" w:styleId="Verzeichnis3">
    <w:name w:val="toc 3"/>
    <w:basedOn w:val="Standard"/>
    <w:next w:val="Standard"/>
    <w:autoRedefine/>
    <w:uiPriority w:val="39"/>
    <w:unhideWhenUsed/>
    <w:rsid w:val="007C085F"/>
    <w:pPr>
      <w:widowControl/>
      <w:autoSpaceDE/>
      <w:autoSpaceDN/>
      <w:spacing w:after="100" w:line="259" w:lineRule="auto"/>
      <w:ind w:left="440"/>
    </w:pPr>
    <w:rPr>
      <w:rFonts w:asciiTheme="minorHAnsi" w:eastAsiaTheme="minorEastAsia" w:hAnsiTheme="minorHAnsi" w:cs="Times New Roman"/>
      <w:sz w:val="22"/>
      <w:lang w:bidi="ar-SA"/>
    </w:rPr>
  </w:style>
  <w:style w:type="paragraph" w:styleId="StandardWeb">
    <w:name w:val="Normal (Web)"/>
    <w:basedOn w:val="Standard"/>
    <w:uiPriority w:val="99"/>
    <w:semiHidden/>
    <w:unhideWhenUsed/>
    <w:rsid w:val="00544A52"/>
    <w:pPr>
      <w:widowControl/>
      <w:autoSpaceDE/>
      <w:autoSpaceDN/>
      <w:spacing w:before="100" w:beforeAutospacing="1" w:after="100" w:afterAutospacing="1"/>
      <w:ind w:left="0"/>
    </w:pPr>
    <w:rPr>
      <w:rFonts w:ascii="Times New Roman" w:eastAsia="Times New Roman" w:hAnsi="Times New Roman" w:cs="Times New Roman"/>
      <w:sz w:val="24"/>
      <w:szCs w:val="24"/>
      <w:lang w:bidi="ar-SA"/>
    </w:rPr>
  </w:style>
  <w:style w:type="character" w:styleId="Fett">
    <w:name w:val="Strong"/>
    <w:basedOn w:val="Absatz-Standardschriftart"/>
    <w:uiPriority w:val="22"/>
    <w:rsid w:val="00544A52"/>
    <w:rPr>
      <w:b/>
      <w:bCs/>
    </w:rPr>
  </w:style>
  <w:style w:type="paragraph" w:customStyle="1" w:styleId="AbsatzStandart">
    <w:name w:val="Absatz Standart"/>
    <w:basedOn w:val="berschrift2"/>
    <w:rsid w:val="00422D4F"/>
    <w:pPr>
      <w:numPr>
        <w:ilvl w:val="0"/>
        <w:numId w:val="0"/>
      </w:numPr>
      <w:spacing w:before="0" w:after="240"/>
      <w:ind w:left="567"/>
    </w:pPr>
    <w:rPr>
      <w:b w:val="0"/>
    </w:rPr>
  </w:style>
  <w:style w:type="paragraph" w:customStyle="1" w:styleId="Fliesstext">
    <w:name w:val="Fliesstext"/>
    <w:qFormat/>
    <w:rsid w:val="005F5FDD"/>
    <w:pPr>
      <w:widowControl/>
      <w:autoSpaceDE/>
      <w:autoSpaceDN/>
      <w:spacing w:line="220" w:lineRule="atLeast"/>
      <w:jc w:val="both"/>
    </w:pPr>
    <w:rPr>
      <w:rFonts w:ascii="IBM Plex Sans" w:eastAsia="Times" w:hAnsi="IBM Plex Sans" w:cs="Times-Roman"/>
      <w:color w:val="000000"/>
      <w:sz w:val="24"/>
      <w:szCs w:val="24"/>
      <w:lang w:val="de-DE" w:eastAsia="de-DE"/>
    </w:rPr>
  </w:style>
  <w:style w:type="paragraph" w:customStyle="1" w:styleId="berschrift">
    <w:name w:val="Überschrift"/>
    <w:basedOn w:val="Standard"/>
    <w:link w:val="berschriftZchn"/>
    <w:qFormat/>
    <w:rsid w:val="005F5FDD"/>
    <w:pPr>
      <w:ind w:left="0"/>
    </w:pPr>
    <w:rPr>
      <w:rFonts w:ascii="Alata" w:hAnsi="Alata"/>
      <w:color w:val="E00036"/>
      <w:sz w:val="40"/>
      <w:szCs w:val="20"/>
    </w:rPr>
  </w:style>
  <w:style w:type="character" w:customStyle="1" w:styleId="berschriftZchn">
    <w:name w:val="Überschrift Zchn"/>
    <w:basedOn w:val="Absatz-Standardschriftart"/>
    <w:link w:val="berschrift"/>
    <w:rsid w:val="005F5FDD"/>
    <w:rPr>
      <w:rFonts w:ascii="Alata" w:eastAsia="Arial" w:hAnsi="Alata" w:cs="Arial"/>
      <w:color w:val="E00036"/>
      <w:sz w:val="40"/>
      <w:szCs w:val="20"/>
      <w:lang w:val="de-CH" w:eastAsia="de-CH" w:bidi="de-CH"/>
    </w:rPr>
  </w:style>
  <w:style w:type="character" w:customStyle="1" w:styleId="Absatz-Standardschriftart1">
    <w:name w:val="Absatz-Standardschriftart1"/>
    <w:semiHidden/>
    <w:rsid w:val="00EE55C3"/>
  </w:style>
  <w:style w:type="paragraph" w:customStyle="1" w:styleId="TextHelveticaNeue">
    <w:name w:val="Text Helvetica Neue"/>
    <w:rsid w:val="00EE55C3"/>
    <w:pPr>
      <w:widowControl/>
      <w:autoSpaceDE/>
      <w:autoSpaceDN/>
      <w:spacing w:line="220" w:lineRule="atLeast"/>
      <w:jc w:val="both"/>
    </w:pPr>
    <w:rPr>
      <w:rFonts w:ascii="HelveticaNeue LT 55 Roman" w:eastAsia="Times" w:hAnsi="HelveticaNeue LT 55 Roman" w:cs="Times-Roman"/>
      <w:color w:val="000000"/>
      <w:sz w:val="16"/>
      <w:szCs w:val="24"/>
      <w:lang w:val="de-DE" w:eastAsia="de-DE"/>
    </w:rPr>
  </w:style>
  <w:style w:type="paragraph" w:customStyle="1" w:styleId="Unterberschrift">
    <w:name w:val="Unterüberschrift"/>
    <w:basedOn w:val="berschrift"/>
    <w:link w:val="UnterberschriftZchn"/>
    <w:qFormat/>
    <w:rsid w:val="005F5FDD"/>
    <w:rPr>
      <w:sz w:val="28"/>
    </w:rPr>
  </w:style>
  <w:style w:type="character" w:customStyle="1" w:styleId="UnterberschriftZchn">
    <w:name w:val="Unterüberschrift Zchn"/>
    <w:basedOn w:val="berschriftZchn"/>
    <w:link w:val="Unterberschrift"/>
    <w:rsid w:val="005F5FDD"/>
    <w:rPr>
      <w:rFonts w:ascii="Alata" w:eastAsia="Arial" w:hAnsi="Alata" w:cs="Arial"/>
      <w:color w:val="E00036"/>
      <w:sz w:val="28"/>
      <w:szCs w:val="20"/>
      <w:lang w:val="de-CH" w:eastAsia="de-CH" w:bidi="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8919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https://mobilintime.sharepoint.com/Vorlagen/Mobil%20in%20Time%20AG/Auw%20-%20Wordvorlage%20mit%20Titelsei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D4B6BF67CF92B3438B4CE6A8B1E40BBB" ma:contentTypeVersion="4" ma:contentTypeDescription="Ein neues Dokument erstellen." ma:contentTypeScope="" ma:versionID="2cf402395049aaa63ffd533581629653">
  <xsd:schema xmlns:xsd="http://www.w3.org/2001/XMLSchema" xmlns:xs="http://www.w3.org/2001/XMLSchema" xmlns:p="http://schemas.microsoft.com/office/2006/metadata/properties" xmlns:ns2="118a59d8-44fd-4afe-a59e-d7133b09d63b" targetNamespace="http://schemas.microsoft.com/office/2006/metadata/properties" ma:root="true" ma:fieldsID="8aecc2bc1aaa2f50d9a6b835c573b4b3" ns2:_="">
    <xsd:import namespace="118a59d8-44fd-4afe-a59e-d7133b09d63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8a59d8-44fd-4afe-a59e-d7133b09d6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AFC597-6D89-4EB1-9F31-B3A2F220AD34}">
  <ds:schemaRefs>
    <ds:schemaRef ds:uri="http://schemas.microsoft.com/sharepoint/v3/contenttype/forms"/>
  </ds:schemaRefs>
</ds:datastoreItem>
</file>

<file path=customXml/itemProps2.xml><?xml version="1.0" encoding="utf-8"?>
<ds:datastoreItem xmlns:ds="http://schemas.openxmlformats.org/officeDocument/2006/customXml" ds:itemID="{84E325D1-A94C-4363-B330-7B1D74E8EE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8a59d8-44fd-4afe-a59e-d7133b09d6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A7DB99-2E83-41F4-A203-BA69A50BC4D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3707D57-8ED3-4C17-899F-F29864C1BD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Auw%20-%20Wordvorlage%20mit%20Titelseite</Template>
  <TotalTime>0</TotalTime>
  <Pages>2</Pages>
  <Words>12</Words>
  <Characters>77</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Auw - Wordvorlage mit Titelseite</vt:lpstr>
    </vt:vector>
  </TitlesOfParts>
  <Company/>
  <LinksUpToDate>false</LinksUpToDate>
  <CharactersWithSpaces>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Assessment &amp; Method Statement – HVO Refuelling, Vantage ZRH12</dc:title>
  <dc:creator>Burak Ücöz, Mobil in Time AG</dc:creator>
  <cp:lastModifiedBy>Burak Ücöz</cp:lastModifiedBy>
  <cp:revision>1</cp:revision>
  <cp:lastPrinted>2022-10-04T11:58:00Z</cp:lastPrinted>
  <dcterms:created xsi:type="dcterms:W3CDTF">2026-09-16T09:52:00Z</dcterms:created>
  <dcterms:modified xsi:type="dcterms:W3CDTF">2026-09-16T09:52:00Z</dcterms:modified>
  <dc:subject>RAMS-MIT-ZRH12-004, Rev. 3</dc:subject>
  <cp:category>Risk Assessment &amp; Method Statement</cp:category>
  <dc:description>Prepared for DPR Construction CH AG, Vantage ZRH12, Winterthur</dc:description>
  <cp:keywords>RAMS, HVO, refuelling, ZRH12, Mobil in Time</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2019-02-18T00:00:00Z</vt:filetime>
  </property>
  <property fmtid="{D5CDD505-2E9C-101B-9397-08002B2CF9AE}" pid="3" name="Creator">
    <vt:lpwstr>Microsoft® Word für Office 365</vt:lpwstr>
  </property>
  <property fmtid="{D5CDD505-2E9C-101B-9397-08002B2CF9AE}" pid="4" name="LastSaved">
    <vt:filetime>2019-10-22T00:00:00Z</vt:filetime>
  </property>
  <property fmtid="{D5CDD505-2E9C-101B-9397-08002B2CF9AE}" pid="5" name="ContentTypeId">
    <vt:lpwstr>0x010100D4B6BF67CF92B3438B4CE6A8B1E40BBB</vt:lpwstr>
  </property>
</Properties>
</file>