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432"/>
      </w:tblGrid>
      <w:tr>
        <w:tc>
          <w:tcPr>
            <w:tcW w:type="dxa" w:w="10432"/>
            <w:shd w:val="clear" w:color="auto" w:fill="162A43"/>
            <w:tcMar>
              <w:top w:w="300" w:type="dxa"/>
              <w:bottom w:w="260" w:type="dxa"/>
              <w:start w:w="360" w:type="dxa"/>
              <w:end w:w="360" w:type="dxa"/>
              <w:left w:w="360" w:type="dxa"/>
              <w:right w:w="36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54"/>
                <w:spacing w:val="10"/>
              </w:rPr>
              <w:t xml:space="preserve">BURAK </w:t>
            </w:r>
            <w:r>
              <w:rPr>
                <w:rFonts w:ascii="Calibri" w:hAnsi="Calibri"/>
                <w:b/>
                <w:i w:val="0"/>
                <w:color w:val="8FB4D9"/>
                <w:sz w:val="54"/>
                <w:spacing w:val="10"/>
              </w:rPr>
              <w:t>ÜÇÖZ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E8ECF1"/>
                <w:sz w:val="23"/>
                <w:spacing w:val="12"/>
                <w:caps w:val="true"/>
              </w:rPr>
              <w:t>Sales Engineer · Technischer Vertrieb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/>
                <w:b w:val="0"/>
                <w:i w:val="0"/>
                <w:color w:val="9FB2C7"/>
                <w:sz w:val="20"/>
                <w:spacing w:val="8"/>
              </w:rPr>
              <w:t>Investitionsgüter  ·  Neukundenakquise  ·  Gebietsverantwortung</w:t>
            </w:r>
          </w:p>
        </w:tc>
      </w:tr>
    </w:tbl>
    <w:p>
      <w:pPr>
        <w:spacing w:before="0" w:after="8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6"/>
        <w:gridCol w:w="5216"/>
      </w:tblGrid>
      <w:tr>
        <w:tc>
          <w:tcPr>
            <w:tcW w:type="dxa" w:w="3402"/>
            <w:vAlign w:val="top"/>
            <w:shd w:val="clear" w:color="auto" w:fill="EEF2F6"/>
            <w:tcMar>
              <w:top w:w="240" w:type="dxa"/>
              <w:bottom w:w="240" w:type="dxa"/>
              <w:start w:w="240" w:type="dxa"/>
              <w:end w:w="240" w:type="dxa"/>
              <w:left w:w="240" w:type="dxa"/>
              <w:right w:w="240" w:type="dxa"/>
            </w:tcMar>
          </w:tcPr>
          <w:p>
            <w:pPr>
              <w:spacing w:before="0" w:after="160" w:line="240" w:lineRule="auto"/>
              <w:jc w:val="center"/>
              <w:pBdr>
                <w:top w:val="single" w:sz="6" w:space="18" w:color="B7C2CE"/>
                <w:bottom w:val="single" w:sz="6" w:space="18" w:color="B7C2CE"/>
                <w:left w:val="single" w:sz="6" w:space="18" w:color="B7C2CE"/>
                <w:right w:val="single" w:sz="6" w:space="18" w:color="B7C2CE"/>
              </w:pBdr>
            </w:pPr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 xml:space="preserve">  Foto  </w:t>
            </w:r>
          </w:p>
          <w:p>
            <w:pPr>
              <w:spacing w:before="0" w:after="20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optional · CH-üblich</w:t>
            </w:r>
          </w:p>
          <w:p>
            <w:pPr>
              <w:spacing w:before="280" w:after="100" w:line="240" w:lineRule="auto"/>
              <w:pBdr>
                <w:bottom w:val="single" w:sz="6" w:space="3" w:color="C9D2DC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1"/>
                <w:spacing w:val="24"/>
                <w:caps w:val="true"/>
              </w:rPr>
              <w:t>Kontakt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ADRESSE</w:t>
              <w:br/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Im Abt 9a, 8240 Thayngen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TELEFON</w:t>
              <w:br/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+41 76 202 01 70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E-MAIL</w:t>
              <w:br/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b.s.uecoez@gmail.com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LINKEDIN</w:t>
              <w:br/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〈Profil-URL ergänzen〉</w:t>
            </w:r>
          </w:p>
          <w:p>
            <w:pPr>
              <w:spacing w:before="280" w:after="100" w:line="240" w:lineRule="auto"/>
              <w:pBdr>
                <w:bottom w:val="single" w:sz="6" w:space="3" w:color="C9D2DC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1"/>
                <w:spacing w:val="24"/>
                <w:caps w:val="true"/>
              </w:rPr>
              <w:t>Persönliches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GEBURTSDATUM</w:t>
              <w:br/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29.03.1986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NATIONALITÄT</w:t>
              <w:br/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deutsch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AUFENTHALT CH</w:t>
              <w:br/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〈Ausweis C / B ergänzen〉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i w:val="0"/>
                <w:color w:val="2C5F8A"/>
                <w:sz w:val="17"/>
                <w:spacing w:val="8"/>
              </w:rPr>
              <w:t>FÜHRERAUSWEIS</w:t>
              <w:br/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Kat. B</w:t>
            </w:r>
          </w:p>
          <w:p>
            <w:pPr>
              <w:spacing w:before="280" w:after="100" w:line="240" w:lineRule="auto"/>
              <w:pBdr>
                <w:bottom w:val="single" w:sz="6" w:space="3" w:color="C9D2DC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1"/>
                <w:spacing w:val="24"/>
                <w:caps w:val="true"/>
              </w:rPr>
              <w:t>Sprachen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22262B"/>
                <w:sz w:val="19"/>
              </w:rPr>
              <w:t>Deutsch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Muttersprache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22262B"/>
                <w:sz w:val="19"/>
              </w:rPr>
              <w:t>Englisch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verhandlungssicher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22262B"/>
                <w:sz w:val="19"/>
              </w:rPr>
              <w:t>Französisch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gute Kenntnisse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22262B"/>
                <w:sz w:val="19"/>
              </w:rPr>
              <w:t>Türkisch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fliessend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22262B"/>
                <w:sz w:val="19"/>
              </w:rPr>
              <w:t>Schweizerdeutsch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gutes Verständnis</w:t>
            </w:r>
          </w:p>
          <w:p>
            <w:pPr>
              <w:spacing w:before="280" w:after="100" w:line="240" w:lineRule="auto"/>
              <w:pBdr>
                <w:bottom w:val="single" w:sz="6" w:space="3" w:color="C9D2DC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1"/>
                <w:spacing w:val="24"/>
                <w:caps w:val="true"/>
              </w:rPr>
              <w:t>Kompetenzen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Technischer Vertrieb Investitionsgüter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Aktive Neukundenakquise (Hunter)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Consultative / Beratungsverkauf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Angebots- &amp; Projektabwicklung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Verhandlung &amp; Abschluss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CRM · MS Office</w:t>
            </w:r>
          </w:p>
          <w:p>
            <w:pPr>
              <w:spacing w:before="280" w:after="100" w:line="240" w:lineRule="auto"/>
              <w:pBdr>
                <w:bottom w:val="single" w:sz="6" w:space="3" w:color="C9D2DC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1"/>
                <w:spacing w:val="24"/>
                <w:caps w:val="true"/>
              </w:rPr>
              <w:t>Zusatzqualifikationen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EMV-Fachkraft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Elektrofachkraft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BetrSichV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DGUV</w:t>
            </w:r>
          </w:p>
        </w:tc>
        <w:tc>
          <w:tcPr>
            <w:tcW w:type="dxa" w:w="7030"/>
            <w:vAlign w:val="top"/>
            <w:tcMar>
              <w:top w:w="240" w:type="dxa"/>
              <w:bottom w:w="240" w:type="dxa"/>
              <w:start w:w="360" w:type="dxa"/>
              <w:end w:w="200" w:type="dxa"/>
              <w:left w:w="360" w:type="dxa"/>
              <w:right w:w="200" w:type="dxa"/>
            </w:tcMar>
          </w:tcPr>
          <w:p/>
          <w:p>
            <w:pPr>
              <w:spacing w:before="0" w:after="100" w:line="240" w:lineRule="auto"/>
              <w:pBdr>
                <w:bottom w:val="single" w:sz="10" w:space="3" w:color="162A43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5"/>
                <w:spacing w:val="18"/>
                <w:caps w:val="true"/>
              </w:rPr>
              <w:t>Kurzprofil</w:t>
            </w:r>
          </w:p>
          <w:p>
            <w:pPr>
              <w:spacing w:before="0" w:after="40" w:line="283" w:lineRule="auto"/>
            </w:pP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 xml:space="preserve">Erfahrener Sales Engineer mit </w:t>
            </w:r>
            <w:r>
              <w:rPr>
                <w:rFonts w:ascii="Calibri" w:hAnsi="Calibri"/>
                <w:b/>
                <w:i w:val="0"/>
                <w:color w:val="162A43"/>
                <w:sz w:val="19"/>
              </w:rPr>
              <w:t>über 10 Jahren B2B-Erfahrung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 xml:space="preserve"> im technischen Vertrieb erklärungsbedürftiger Investitionsgüter. Fundierte technische Basis (Elektrotechnik B.Eng., EMV, Mess- &amp; Analysesysteme) kombiniert mit ausgeprägter Hunter-Mentalität in der aktiven Neukundenakquise. Stärken im consultativen Verkauf komplexer Systeme, in der Angebots- und Projektabwicklung bis zur Inbetriebnahme sowie im Aufbau langfristiger Kundenbeziehungen. Verlässlich, abschlussstark und gewohnt, Verkaufsgebiete eigenverantwortlich zu führen.</w:t>
            </w:r>
          </w:p>
          <w:p>
            <w:pPr>
              <w:spacing w:before="240" w:after="100" w:line="240" w:lineRule="auto"/>
              <w:pBdr>
                <w:bottom w:val="single" w:sz="10" w:space="3" w:color="162A43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5"/>
                <w:spacing w:val="18"/>
                <w:caps w:val="true"/>
              </w:rPr>
              <w:t>Berufserfahrung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Sales Engineer · Technischer Vertrieb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Camille Bauer Metrawatt AG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Wohlen AG</w:t>
            </w:r>
            <w:r>
              <w:rPr>
                <w:rFonts w:ascii="Calibri" w:hAnsi="Calibri"/>
                <w:b w:val="0"/>
                <w:i w:val="0"/>
                <w:color w:val="22262B"/>
                <w:sz w:val="16"/>
              </w:rPr>
              <w:t xml:space="preserve">    </w:t>
            </w:r>
            <w:r>
              <w:rPr>
                <w:rFonts w:ascii="Calibri" w:hAnsi="Calibri"/>
                <w:b/>
                <w:i w:val="0"/>
                <w:color w:val="FFFFFF"/>
                <w:sz w:val="15"/>
                <w:shd w:val="clear" w:color="auto" w:fill="2C5F8A"/>
              </w:rPr>
              <w:t xml:space="preserve"> Aktuellste Position 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Technischer Vertrieb von Mess- und Analysesystemen (u. a. Sineax, Messwandler / Signalumformer) im B2B-Umfeld.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Eigenverantwortliche Betreuung und Entwicklung von Kunden über mehrere Kantone.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Aktive Neukundenakquise und Ausbau bestehender Kundenbeziehungen.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〈Konkretes Ergebnis / Neukundenzahl einsetzen〉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Gebietsverkaufsleiter / Area Sales Manager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Cortexia SA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Westschweiz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 xml:space="preserve">Eigenverantwortliche Entwicklung des Verkaufsgebiets mit einem Budgetvolumen von rund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CHF 2,5 Mio.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Neukundenakquise und technische Beratung – von der Erstansprache bis zum Abschluss.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〈Konkretes Ergebnis / Projekt aus der Cortexia-Zeit ergänzen〉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Funktion / Titel ergänzen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MRK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Ort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 xml:space="preserve">Technischer Vertrieb / Aussendienst –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〈Kernaufgabe und ein messbares Ergebnis ergänzen〉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Funktion / Titel ergänzen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Manz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Ort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 xml:space="preserve">Technischer Vertrieb / Aussendienst –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〈Kernaufgabe und ein messbares Ergebnis ergänzen〉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Funktion / Titel ergänzen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Pflitsch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Ort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 xml:space="preserve">Technischer Vertrieb / Aussendienst –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〈Kernaufgabe und ein messbares Ergebnis ergänzen〉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Selbständige Ingenieur- &amp; Vertriebstätigkeit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Kabuu Engineering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Hagen (DE)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Selbständige Tätigkeit im technischen Engineering- und Vertriebsumfeld (Freelance).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〈Schwerpunkt / Projekte konkretisieren〉</w:t>
            </w:r>
          </w:p>
          <w:p>
            <w:pPr>
              <w:tabs>
                <w:tab w:pos="6712" w:val="right"/>
              </w:tabs>
              <w:spacing w:before="16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2"/>
              </w:rPr>
              <w:t>Mithilfe Familienbetrieb</w:t>
            </w: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〈MM.JJJJ – MM.JJJJ〉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i w:val="0"/>
                <w:color w:val="2C5F8A"/>
                <w:sz w:val="20"/>
              </w:rPr>
              <w:t>Anadolu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  ·  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Ort</w:t>
            </w:r>
          </w:p>
          <w:p>
            <w:pPr>
              <w:spacing w:before="0" w:after="40" w:line="264" w:lineRule="auto"/>
              <w:ind w:left="238" w:hanging="238"/>
            </w:pPr>
            <w:r>
              <w:rPr>
                <w:rFonts w:ascii="Calibri" w:hAnsi="Calibri"/>
                <w:b w:val="0"/>
                <w:i w:val="0"/>
                <w:color w:val="2C5F8A"/>
                <w:sz w:val="18"/>
              </w:rPr>
              <w:t xml:space="preserve">▪  </w:t>
            </w:r>
            <w:r>
              <w:rPr>
                <w:rFonts w:ascii="Calibri" w:hAnsi="Calibri"/>
                <w:b w:val="0"/>
                <w:i/>
                <w:color w:val="9A7A2E"/>
                <w:sz w:val="19"/>
                <w:shd w:val="clear" w:color="auto" w:fill="FBF1D8"/>
              </w:rPr>
              <w:t>〈Optional – nur aufnehmen, falls relevant; sonst diese Station löschen〉</w:t>
            </w:r>
          </w:p>
          <w:p>
            <w:pPr>
              <w:spacing w:before="240" w:after="100" w:line="240" w:lineRule="auto"/>
              <w:pBdr>
                <w:bottom w:val="single" w:sz="10" w:space="3" w:color="162A43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5"/>
                <w:spacing w:val="18"/>
                <w:caps w:val="true"/>
              </w:rPr>
              <w:t>Ausbildung</w:t>
            </w:r>
          </w:p>
          <w:p>
            <w:pPr>
              <w:tabs>
                <w:tab w:pos="6712" w:val="right"/>
              </w:tabs>
              <w:spacing w:before="40" w:after="0" w:line="252" w:lineRule="auto"/>
            </w:pPr>
            <w:r>
              <w:rPr>
                <w:rFonts w:ascii="Calibri" w:hAnsi="Calibri"/>
                <w:b/>
                <w:i w:val="0"/>
                <w:color w:val="22262B"/>
                <w:sz w:val="20"/>
              </w:rPr>
              <w:t>Bachelor of Engineering (B.Eng.) – Elektrotechnik</w:t>
            </w:r>
            <w:r>
              <w:rPr>
                <w:rFonts w:ascii="Calibri" w:hAnsi="Calibri"/>
                <w:b w:val="0"/>
                <w:i w:val="0"/>
                <w:color w:val="22262B"/>
                <w:sz w:val="21"/>
              </w:rPr>
              <w:tab/>
            </w:r>
            <w:r>
              <w:rPr>
                <w:rFonts w:ascii="Calibri" w:hAnsi="Calibri"/>
                <w:b w:val="0"/>
                <w:i/>
                <w:color w:val="9A7A2E"/>
                <w:sz w:val="18"/>
                <w:shd w:val="clear" w:color="auto" w:fill="FBF1D8"/>
              </w:rPr>
              <w:t>〈JJJJ – JJJJ〉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Hochschule Bochum, Deutschland</w:t>
            </w:r>
          </w:p>
          <w:p>
            <w:pPr>
              <w:spacing w:before="240" w:after="100" w:line="240" w:lineRule="auto"/>
              <w:pBdr>
                <w:bottom w:val="single" w:sz="10" w:space="3" w:color="162A43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5"/>
                <w:spacing w:val="18"/>
                <w:caps w:val="true"/>
              </w:rPr>
              <w:t>Weiterbildung &amp; Zertifikate</w:t>
            </w:r>
          </w:p>
          <w:p>
            <w:pPr>
              <w:spacing w:before="40" w:after="0" w:line="264" w:lineRule="auto"/>
            </w:pPr>
            <w:r>
              <w:rPr>
                <w:rFonts w:ascii="Calibri" w:hAnsi="Calibri"/>
                <w:b w:val="0"/>
                <w:i w:val="0"/>
                <w:color w:val="22262B"/>
                <w:sz w:val="19"/>
              </w:rPr>
              <w:t>EMV-Fachkraft · Elektrofachkraft · Betriebssicherheitsverordnung (BetrSichV) · DGUV</w:t>
            </w:r>
          </w:p>
          <w:p>
            <w:pPr>
              <w:spacing w:before="240" w:after="100" w:line="240" w:lineRule="auto"/>
              <w:pBdr>
                <w:bottom w:val="single" w:sz="10" w:space="3" w:color="162A43"/>
              </w:pBdr>
            </w:pPr>
            <w:r>
              <w:rPr>
                <w:rFonts w:ascii="Calibri" w:hAnsi="Calibri"/>
                <w:b/>
                <w:i w:val="0"/>
                <w:color w:val="162A43"/>
                <w:sz w:val="25"/>
                <w:spacing w:val="18"/>
                <w:caps w:val="true"/>
              </w:rPr>
              <w:t>Referenzen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Auf Anfrage gerne.</w:t>
            </w:r>
          </w:p>
        </w:tc>
      </w:tr>
    </w:tbl>
    <w:sectPr w:rsidR="00FC693F" w:rsidRPr="0006063C" w:rsidSect="00034616">
      <w:pgSz w:w="11906" w:h="16838"/>
      <w:pgMar w:top="0" w:right="737" w:bottom="624" w:left="737" w:header="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Calibri" w:hAnsi="Calibri"/>
      <w:color w:val="22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