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2E8F0" w:sz="4" w:space="2"/>
        </w:pBdr>
        <w:spacing w:after="40" w:before="100"/>
      </w:pPr>
      <w:r>
        <w:rPr>
          <w:rFonts w:ascii="Calibri" w:cs="Calibri" w:eastAsia="Calibri" w:hAnsi="Calibri"/>
          <w:color w:val="64748B"/>
          <w:sz w:val="14"/>
          <w:szCs w:val="14"/>
        </w:rPr>
        <w:t xml:space="preserve">kabuu  ·  Netzqualität &amp; EMV Messungen · Engineering  ·  Burak Ücöz  ·  </w:t>
      </w:r>
      <w:r>
        <w:rPr>
          <w:rFonts w:ascii="Calibri" w:cs="Calibri" w:eastAsia="Calibri" w:hAnsi="Calibri"/>
          <w:color w:val="64748B"/>
          <w:sz w:val="14"/>
          <w:szCs w:val="14"/>
        </w:rPr>
        <w:t xml:space="preserve">Im Abt 9 A, 8240 Thayngen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400"/>
        <w:gridCol w:w="3960"/>
      </w:tblGrid>
      <w:tr>
        <w:tc>
          <w:tcPr>
            <w:tcW w:type="dxa" w:w="5400"/>
            <w:tcMar>
              <w:top w:type="dxa" w:w="120"/>
              <w:left w:type="dxa" w:w="0"/>
              <w:bottom w:type="dxa" w:w="120"/>
              <w:right w:type="dxa" w:w="200"/>
            </w:tcMar>
          </w:tcPr>
          <w:p>
            <w:pPr>
              <w:spacing w:after="40"/>
            </w:pPr>
            <w:r>
              <w:rPr>
                <w:rFonts w:ascii="Calibri" w:cs="Calibri" w:eastAsia="Calibri" w:hAnsi="Calibri"/>
                <w:caps/>
                <w:color w:val="64748B"/>
                <w:spacing w:val="40"/>
                <w:sz w:val="14"/>
                <w:szCs w:val="14"/>
              </w:rPr>
              <w:t xml:space="preserve">An</w:t>
            </w:r>
          </w:p>
          <w:p>
            <w:pPr>
              <w:spacing w:after="40"/>
            </w:pPr>
            <w:r>
              <w:rPr>
                <w:rFonts w:ascii="Calibri" w:cs="Calibri" w:eastAsia="Calibri" w:hAnsi="Calibri"/>
                <w:b/>
                <w:bCs/>
                <w:color w:val="0F172A"/>
                <w:sz w:val="22"/>
                <w:szCs w:val="22"/>
              </w:rPr>
              <w:t xml:space="preserve">Baumann Elektrokontrollen GmbH</w:t>
            </w:r>
          </w:p>
          <w:p>
            <w:pPr>
              <w:spacing w:after="40"/>
            </w:pPr>
            <w:r>
              <w:rPr>
                <w:rFonts w:ascii="Calibri" w:cs="Calibri" w:eastAsia="Calibri" w:hAnsi="Calibri"/>
                <w:color w:val="0F172A"/>
                <w:sz w:val="20"/>
                <w:szCs w:val="20"/>
              </w:rPr>
              <w:t xml:space="preserve">Herr Sammy Baumann</w:t>
            </w:r>
          </w:p>
          <w:p>
            <w:pPr>
              <w:spacing w:after="40"/>
            </w:pPr>
            <w:r>
              <w:rPr>
                <w:rFonts w:ascii="Calibri" w:cs="Calibri" w:eastAsia="Calibri" w:hAnsi="Calibri"/>
                <w:color w:val="0F172A"/>
                <w:sz w:val="20"/>
                <w:szCs w:val="20"/>
              </w:rPr>
              <w:t xml:space="preserve">Hirschenstrasse 17</w:t>
            </w:r>
          </w:p>
          <w:p>
            <w:pPr>
              <w:spacing w:after="40"/>
            </w:pPr>
            <w:r>
              <w:rPr>
                <w:rFonts w:ascii="Calibri" w:cs="Calibri" w:eastAsia="Calibri" w:hAnsi="Calibri"/>
                <w:color w:val="0F172A"/>
                <w:sz w:val="20"/>
                <w:szCs w:val="20"/>
              </w:rPr>
              <w:t xml:space="preserve">9200 Gossau</w:t>
            </w:r>
          </w:p>
        </w:tc>
        <w:tc>
          <w:tcPr>
            <w:tcW w:type="dxa" w:w="3960"/>
            <w:tcBorders>
              <w:top w:val="single" w:color="E2E8F0" w:sz="4"/>
              <w:left w:val="single" w:color="00B8D9" w:sz="24"/>
              <w:bottom w:val="single" w:color="E2E8F0" w:sz="4"/>
              <w:right w:val="single" w:color="E2E8F0" w:sz="4"/>
            </w:tcBorders>
            <w:shd w:fill="F8FAFC" w:color="auto" w:val="clear"/>
            <w:tcMar>
              <w:top w:type="dxa" w:w="180"/>
              <w:left w:type="dxa" w:w="240"/>
              <w:bottom w:type="dxa" w:w="180"/>
              <w:right w:type="dxa" w:w="240"/>
            </w:tcMar>
          </w:tcPr>
          <w:p>
            <w:pPr>
              <w:spacing w:after="60"/>
            </w:pPr>
            <w:r>
              <w:rPr>
                <w:rFonts w:ascii="Calibri" w:cs="Calibri" w:eastAsia="Calibri" w:hAnsi="Calibri"/>
                <w:b/>
                <w:bCs/>
                <w:color w:val="0B2545"/>
                <w:spacing w:val="60"/>
                <w:sz w:val="16"/>
                <w:szCs w:val="16"/>
              </w:rPr>
              <w:t xml:space="preserve">NACHTRAGSRECHNUNG</w:t>
            </w:r>
          </w:p>
          <w:p>
            <w:pPr>
              <w:spacing w:after="40"/>
            </w:pPr>
            <w:r>
              <w:rPr>
                <w:rFonts w:ascii="Calibri" w:cs="Calibri" w:eastAsia="Calibri" w:hAnsi="Calibri"/>
                <w:color w:val="64748B"/>
                <w:sz w:val="18"/>
                <w:szCs w:val="18"/>
              </w:rPr>
              <w:t xml:space="preserve">Nr.  </w:t>
            </w:r>
            <w:r>
              <w:rPr>
                <w:rFonts w:ascii="Calibri" w:cs="Calibri" w:eastAsia="Calibri" w:hAnsi="Calibri"/>
                <w:b/>
                <w:bCs/>
                <w:color w:val="0F172A"/>
                <w:sz w:val="18"/>
                <w:szCs w:val="18"/>
              </w:rPr>
              <w:t xml:space="preserve">2026-0802</w:t>
            </w:r>
          </w:p>
          <w:p>
            <w:pPr>
              <w:spacing w:after="40"/>
            </w:pPr>
            <w:r>
              <w:rPr>
                <w:rFonts w:ascii="Calibri" w:cs="Calibri" w:eastAsia="Calibri" w:hAnsi="Calibri"/>
                <w:color w:val="64748B"/>
                <w:sz w:val="18"/>
                <w:szCs w:val="18"/>
              </w:rPr>
              <w:t xml:space="preserve">Datum  </w:t>
            </w:r>
            <w:r>
              <w:rPr>
                <w:rFonts w:ascii="Calibri" w:cs="Calibri" w:eastAsia="Calibri" w:hAnsi="Calibri"/>
                <w:b/>
                <w:bCs/>
                <w:color w:val="0F172A"/>
                <w:sz w:val="18"/>
                <w:szCs w:val="18"/>
              </w:rPr>
              <w:t xml:space="preserve">24.08.2026</w:t>
            </w:r>
          </w:p>
          <w:p>
            <w:pPr>
              <w:spacing w:after="40"/>
            </w:pPr>
            <w:r>
              <w:rPr>
                <w:rFonts w:ascii="Calibri" w:cs="Calibri" w:eastAsia="Calibri" w:hAnsi="Calibri"/>
                <w:color w:val="64748B"/>
                <w:sz w:val="18"/>
                <w:szCs w:val="18"/>
              </w:rPr>
              <w:t xml:space="preserve">Zahlbar bis  </w:t>
            </w:r>
            <w:r>
              <w:rPr>
                <w:rFonts w:ascii="Calibri" w:cs="Calibri" w:eastAsia="Calibri" w:hAnsi="Calibri"/>
                <w:b/>
                <w:bCs/>
                <w:color w:val="0F172A"/>
                <w:sz w:val="18"/>
                <w:szCs w:val="18"/>
              </w:rPr>
              <w:t xml:space="preserve">07.09.2026</w:t>
            </w:r>
          </w:p>
          <w:p>
            <w:pPr>
              <w:spacing w:after="0" w:before="60"/>
            </w:pPr>
            <w:r>
              <w:rPr>
                <w:rFonts w:ascii="Calibri" w:cs="Calibri" w:eastAsia="Calibri" w:hAnsi="Calibri"/>
                <w:caps/>
                <w:color w:val="64748B"/>
                <w:spacing w:val="40"/>
                <w:sz w:val="14"/>
                <w:szCs w:val="14"/>
              </w:rPr>
              <w:t xml:space="preserve">Sachbearbeiter</w:t>
            </w:r>
          </w:p>
          <w:p>
            <w:pPr>
              <w:spacing w:after="40"/>
            </w:pPr>
            <w:r>
              <w:rPr>
                <w:rFonts w:ascii="Calibri" w:cs="Calibri" w:eastAsia="Calibri" w:hAnsi="Calibri"/>
                <w:b/>
                <w:bCs/>
                <w:color w:val="0F172A"/>
                <w:sz w:val="18"/>
                <w:szCs w:val="18"/>
              </w:rPr>
              <w:t xml:space="preserve">Burak Ücöz</w:t>
            </w:r>
          </w:p>
          <w:p>
            <w:pPr>
              <w:spacing w:after="0"/>
            </w:pPr>
            <w:r>
              <w:rPr>
                <w:rFonts w:ascii="Calibri" w:cs="Calibri" w:eastAsia="Calibri" w:hAnsi="Calibri"/>
                <w:b/>
                <w:bCs/>
                <w:color w:val="0B2545"/>
                <w:sz w:val="16"/>
                <w:szCs w:val="16"/>
              </w:rPr>
              <w:t xml:space="preserve">Netzqualität &amp; EMV Messungen</w:t>
            </w:r>
          </w:p>
        </w:tc>
      </w:tr>
    </w:tbl>
    <w:p>
      <w:pPr>
        <w:spacing w:after="0" w:before="200"/>
        <w:jc w:val="right"/>
      </w:pPr>
      <w:r>
        <w:rPr>
          <w:rFonts w:ascii="Calibri" w:cs="Calibri" w:eastAsia="Calibri" w:hAnsi="Calibri"/>
          <w:color w:val="334155"/>
          <w:sz w:val="18"/>
          <w:szCs w:val="18"/>
        </w:rPr>
        <w:t xml:space="preserve">Thayngen, 24.08.2026</w:t>
      </w:r>
    </w:p>
    <w:p>
      <w:pPr>
        <w:spacing w:after="40" w:before="260"/>
      </w:pPr>
      <w:r>
        <w:rPr>
          <w:rFonts w:ascii="Calibri" w:cs="Calibri" w:eastAsia="Calibri" w:hAnsi="Calibri"/>
          <w:b/>
          <w:bCs/>
          <w:color w:val="00B8D9"/>
          <w:spacing w:val="80"/>
          <w:sz w:val="16"/>
          <w:szCs w:val="16"/>
        </w:rPr>
        <w:t xml:space="preserve">NACHTRAGSRECHNUNG · 2026-0802</w:t>
      </w:r>
    </w:p>
    <w:p>
      <w:pPr>
        <w:pBdr>
          <w:bottom w:val="single" w:color="0B2545" w:sz="8" w:space="8"/>
        </w:pBdr>
        <w:spacing w:after="240" w:before="0"/>
      </w:pPr>
      <w:r>
        <w:rPr>
          <w:rFonts w:ascii="Calibri" w:cs="Calibri" w:eastAsia="Calibri" w:hAnsi="Calibri"/>
          <w:b/>
          <w:bCs/>
          <w:color w:val="0B2545"/>
          <w:sz w:val="30"/>
          <w:szCs w:val="30"/>
        </w:rPr>
        <w:t xml:space="preserve">Verlängerte Messdauer — Netzqualitätsmessung Gasthaus Kreuz, Zuzwil SG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single" w:color="E2E8F0" w:sz="4"/>
              <w:left w:val="single" w:color="E2E8F0" w:sz="4"/>
              <w:bottom w:val="single" w:color="E2E8F0" w:sz="4"/>
              <w:right w:val="single" w:color="E2E8F0" w:sz="4"/>
            </w:tcBorders>
            <w:shd w:fill="F8FAFC" w:color="auto" w:val="clear"/>
            <w:tcMar>
              <w:top w:type="dxa" w:w="160"/>
              <w:left w:type="dxa" w:w="200"/>
              <w:bottom w:type="dxa" w:w="160"/>
              <w:right w:type="dxa" w:w="200"/>
            </w:tcMar>
          </w:tcPr>
          <w:p>
            <w:pPr>
              <w:spacing w:after="40"/>
            </w:pPr>
            <w:r>
              <w:rPr>
                <w:rFonts w:ascii="Calibri" w:cs="Calibri" w:eastAsia="Calibri" w:hAnsi="Calibri"/>
                <w:b/>
                <w:bCs/>
                <w:caps/>
                <w:color w:val="00B8D9"/>
                <w:spacing w:val="60"/>
                <w:sz w:val="14"/>
                <w:szCs w:val="14"/>
              </w:rPr>
              <w:t xml:space="preserve">BEZUG</w:t>
            </w:r>
          </w:p>
          <w:p>
            <w:r>
              <w:rPr>
                <w:rFonts w:ascii="Calibri" w:cs="Calibri" w:eastAsia="Calibri" w:hAnsi="Calibri"/>
                <w:color w:val="0F172A"/>
                <w:sz w:val="18"/>
                <w:szCs w:val="18"/>
              </w:rPr>
              <w:t xml:space="preserve">Rechnung 2026-0801 vom 04.08.2026 über CHF 1'850.00</w:t>
            </w:r>
          </w:p>
        </w:tc>
        <w:tc>
          <w:tcPr>
            <w:tcW w:type="dxa" w:w="3120"/>
            <w:tcBorders>
              <w:top w:val="single" w:color="E2E8F0" w:sz="4"/>
              <w:left w:val="single" w:color="E2E8F0" w:sz="4"/>
              <w:bottom w:val="single" w:color="E2E8F0" w:sz="4"/>
              <w:right w:val="single" w:color="E2E8F0" w:sz="4"/>
            </w:tcBorders>
            <w:shd w:fill="F8FAFC" w:color="auto" w:val="clear"/>
            <w:tcMar>
              <w:top w:type="dxa" w:w="160"/>
              <w:left w:type="dxa" w:w="200"/>
              <w:bottom w:type="dxa" w:w="160"/>
              <w:right w:type="dxa" w:w="200"/>
            </w:tcMar>
          </w:tcPr>
          <w:p>
            <w:pPr>
              <w:spacing w:after="40"/>
            </w:pPr>
            <w:r>
              <w:rPr>
                <w:rFonts w:ascii="Calibri" w:cs="Calibri" w:eastAsia="Calibri" w:hAnsi="Calibri"/>
                <w:b/>
                <w:bCs/>
                <w:caps/>
                <w:color w:val="00B8D9"/>
                <w:spacing w:val="60"/>
                <w:sz w:val="14"/>
                <w:szCs w:val="14"/>
              </w:rPr>
              <w:t xml:space="preserve">OBJEKT</w:t>
            </w:r>
          </w:p>
          <w:p>
            <w:r>
              <w:rPr>
                <w:rFonts w:ascii="Calibri" w:cs="Calibri" w:eastAsia="Calibri" w:hAnsi="Calibri"/>
                <w:color w:val="0F172A"/>
                <w:sz w:val="18"/>
                <w:szCs w:val="18"/>
              </w:rPr>
              <w:t xml:space="preserve">Gasthaus Kreuz, Oberdorfstrasse 16, 9524 Zuzwil SG</w:t>
            </w:r>
          </w:p>
        </w:tc>
        <w:tc>
          <w:tcPr>
            <w:tcW w:type="dxa" w:w="3120"/>
            <w:tcBorders>
              <w:top w:val="single" w:color="E2E8F0" w:sz="4"/>
              <w:left w:val="single" w:color="E2E8F0" w:sz="4"/>
              <w:bottom w:val="single" w:color="E2E8F0" w:sz="4"/>
              <w:right w:val="single" w:color="E2E8F0" w:sz="4"/>
            </w:tcBorders>
            <w:shd w:fill="F8FAFC" w:color="auto" w:val="clear"/>
            <w:tcMar>
              <w:top w:type="dxa" w:w="160"/>
              <w:left w:type="dxa" w:w="200"/>
              <w:bottom w:type="dxa" w:w="160"/>
              <w:right w:type="dxa" w:w="200"/>
            </w:tcMar>
          </w:tcPr>
          <w:p>
            <w:pPr>
              <w:spacing w:after="40"/>
            </w:pPr>
            <w:r>
              <w:rPr>
                <w:rFonts w:ascii="Calibri" w:cs="Calibri" w:eastAsia="Calibri" w:hAnsi="Calibri"/>
                <w:b/>
                <w:bCs/>
                <w:caps/>
                <w:color w:val="00B8D9"/>
                <w:spacing w:val="60"/>
                <w:sz w:val="14"/>
                <w:szCs w:val="14"/>
              </w:rPr>
              <w:t xml:space="preserve">LEISTUNGSZEITRAUM</w:t>
            </w:r>
          </w:p>
          <w:p>
            <w:r>
              <w:rPr>
                <w:rFonts w:ascii="Calibri" w:cs="Calibri" w:eastAsia="Calibri" w:hAnsi="Calibri"/>
                <w:color w:val="0F172A"/>
                <w:sz w:val="18"/>
                <w:szCs w:val="18"/>
              </w:rPr>
              <w:t xml:space="preserve">05.08.2026 bis 17.08.2026 (verlängerte Messdauer)</w:t>
            </w:r>
          </w:p>
        </w:tc>
      </w:tr>
    </w:tbl>
    <w:p>
      <w:pPr>
        <w:spacing w:after="140" w:before="280"/>
      </w:pPr>
      <w:r>
        <w:rPr>
          <w:rFonts w:ascii="Calibri" w:cs="Calibri" w:eastAsia="Calibri" w:hAnsi="Calibri"/>
          <w:color w:val="0F172A"/>
          <w:sz w:val="22"/>
          <w:szCs w:val="22"/>
        </w:rPr>
        <w:t xml:space="preserve">Sehr geehrter Herr Baumann, lieber Sammy</w:t>
      </w:r>
    </w:p>
    <w:p>
      <w:pPr>
        <w:spacing w:after="160" w:line="300" w:lineRule="auto"/>
      </w:pPr>
      <w:r>
        <w:rPr>
          <w:rFonts w:ascii="Calibri" w:cs="Calibri" w:eastAsia="Calibri" w:hAnsi="Calibri"/>
          <w:color w:val="0F172A"/>
          <w:sz w:val="20"/>
          <w:szCs w:val="20"/>
        </w:rPr>
        <w:t xml:space="preserve">Die Messkampagne im Gasthaus Kreuz lief vom 05.08. bis 17.08.2026 und damit über 12 statt der vereinbarten 7 Tage. Grund war die Ferienabwesenheit vor Ort; der Abbau war früher nicht möglich. Auf deinen Wunsch verrechne ich den daraus entstandenen Mehraufwand nach. Die Herleitung findest du auf der zweiten Seite, sie stützt sich ausschliesslich auf die Ansätze der bestehenden Rechnung.</w:t>
      </w:r>
    </w:p>
    <w:tbl>
      <w:tblPr>
        <w:tblW w:type="dxa" w:w="9360"/>
        <w:tblBorders>
          <w:top w:val="single" w:color="0B2545" w:sz="4"/>
          <w:left w:val="none" w:color="FFFFFF" w:sz="0"/>
          <w:bottom w:val="single" w:color="0B2545" w:sz="4"/>
          <w:right w:val="none" w:color="FFFFFF" w:sz="0"/>
          <w:insideH w:val="single" w:color="E2E8F0" w:sz="2"/>
          <w:insideV w:val="none" w:color="FFFFFF" w:sz="0"/>
        </w:tblBorders>
      </w:tblPr>
      <w:tblGrid>
        <w:gridCol w:w="700"/>
        <w:gridCol w:w="5200"/>
        <w:gridCol w:w="1800"/>
        <w:gridCol w:w="1660"/>
      </w:tblGrid>
      <w:tr>
        <w:trPr>
          <w:tblHeader/>
        </w:trPr>
        <w:tc>
          <w:tcPr>
            <w:tcW w:type="dxa" w:w="700"/>
            <w:shd w:fill="0B2545" w:color="auto" w:val="clear"/>
            <w:tcMar>
              <w:top w:type="dxa" w:w="120"/>
              <w:left w:type="dxa" w:w="140"/>
              <w:bottom w:type="dxa" w:w="120"/>
              <w:right w:type="dxa" w:w="140"/>
            </w:tcMar>
            <w:vAlign w:val="center"/>
          </w:tcPr>
          <w:p>
            <w:pPr>
              <w:jc w:val="center"/>
            </w:pPr>
            <w:r>
              <w:rPr>
                <w:rFonts w:ascii="Calibri" w:cs="Calibri" w:eastAsia="Calibri" w:hAnsi="Calibri"/>
                <w:b/>
                <w:bCs/>
                <w:color w:val="FFFFFF"/>
                <w:spacing w:val="40"/>
                <w:sz w:val="18"/>
                <w:szCs w:val="18"/>
              </w:rPr>
              <w:t xml:space="preserve">POS</w:t>
            </w:r>
          </w:p>
        </w:tc>
        <w:tc>
          <w:tcPr>
            <w:tcW w:type="dxa" w:w="520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LEISTUNG</w:t>
            </w:r>
          </w:p>
        </w:tc>
        <w:tc>
          <w:tcPr>
            <w:tcW w:type="dxa" w:w="1800"/>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pacing w:val="40"/>
                <w:sz w:val="18"/>
                <w:szCs w:val="18"/>
              </w:rPr>
              <w:t xml:space="preserve">ANSATZ</w:t>
            </w:r>
          </w:p>
        </w:tc>
        <w:tc>
          <w:tcPr>
            <w:tcW w:type="dxa" w:w="1660"/>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pacing w:val="40"/>
                <w:sz w:val="18"/>
                <w:szCs w:val="18"/>
              </w:rPr>
              <w:t xml:space="preserve">CHF</w:t>
            </w:r>
          </w:p>
        </w:tc>
      </w:tr>
      <w:tr>
        <w:tc>
          <w:tcPr>
            <w:tcW w:type="dxa" w:w="700"/>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1</w:t>
            </w:r>
          </w:p>
        </w:tc>
        <w:tc>
          <w:tcPr>
            <w:tcW w:type="dxa" w:w="5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Gerätebereitstellung 3× PQMobile5000 Class A, 5 zusätzliche Messtage</w:t>
            </w:r>
          </w:p>
        </w:tc>
        <w:tc>
          <w:tcPr>
            <w:tcW w:type="dxa" w:w="18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5 × 107.14</w:t>
            </w:r>
          </w:p>
        </w:tc>
        <w:tc>
          <w:tcPr>
            <w:tcW w:type="dxa" w:w="1660"/>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535.71</w:t>
            </w:r>
          </w:p>
        </w:tc>
      </w:tr>
      <w:tr>
        <w:tc>
          <w:tcPr>
            <w:tcW w:type="dxa" w:w="700"/>
            <w:shd w:fill="F8FAFC" w:color="auto" w:val="clear"/>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2</w:t>
            </w:r>
          </w:p>
        </w:tc>
        <w:tc>
          <w:tcPr>
            <w:tcW w:type="dxa" w:w="52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Fernüberwachung, 5 zusätzliche Tageskontrollen</w:t>
            </w:r>
          </w:p>
        </w:tc>
        <w:tc>
          <w:tcPr>
            <w:tcW w:type="dxa" w:w="180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0.15 Tag</w:t>
            </w:r>
          </w:p>
        </w:tc>
        <w:tc>
          <w:tcPr>
            <w:tcW w:type="dxa" w:w="1660"/>
            <w:shd w:fill="F8FAFC" w:color="auto" w:val="clear"/>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45.00</w:t>
            </w:r>
          </w:p>
        </w:tc>
      </w:tr>
      <w:tr>
        <w:tc>
          <w:tcPr>
            <w:tcW w:type="dxa" w:w="700"/>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3</w:t>
            </w:r>
          </w:p>
        </w:tc>
        <w:tc>
          <w:tcPr>
            <w:tcW w:type="dxa" w:w="5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Umdisposition und Koordination des verschobenen Abbautermins</w:t>
            </w:r>
          </w:p>
        </w:tc>
        <w:tc>
          <w:tcPr>
            <w:tcW w:type="dxa" w:w="18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0.25 Tag</w:t>
            </w:r>
          </w:p>
        </w:tc>
        <w:tc>
          <w:tcPr>
            <w:tcW w:type="dxa" w:w="1660"/>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75.00</w:t>
            </w:r>
          </w:p>
        </w:tc>
      </w:tr>
      <w:tr>
        <w:tc>
          <w:tcPr>
            <w:tcW w:type="dxa" w:w="700"/>
            <w:shd w:fill="F8FAFC" w:color="auto" w:val="clear"/>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4</w:t>
            </w:r>
          </w:p>
        </w:tc>
        <w:tc>
          <w:tcPr>
            <w:tcW w:type="dxa" w:w="52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Auswertung der beiden zusätzlichen Ereignisse vom 16.08.2026</w:t>
            </w:r>
          </w:p>
        </w:tc>
        <w:tc>
          <w:tcPr>
            <w:tcW w:type="dxa" w:w="180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0.25 Tag</w:t>
            </w:r>
          </w:p>
        </w:tc>
        <w:tc>
          <w:tcPr>
            <w:tcW w:type="dxa" w:w="1660"/>
            <w:shd w:fill="F8FAFC" w:color="auto" w:val="clear"/>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75.00</w:t>
            </w:r>
          </w:p>
        </w:tc>
      </w:tr>
      <w:tr>
        <w:tc>
          <w:tcPr>
            <w:tcW w:type="dxa" w:w="700"/>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5</w:t>
            </w:r>
          </w:p>
        </w:tc>
        <w:tc>
          <w:tcPr>
            <w:tcW w:type="dxa" w:w="5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Erweiterte Ereignis- und Zeitreihenprüfung über 12 statt 7 Tage</w:t>
            </w:r>
          </w:p>
        </w:tc>
        <w:tc>
          <w:tcPr>
            <w:tcW w:type="dxa" w:w="18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0.25 Tag</w:t>
            </w:r>
          </w:p>
        </w:tc>
        <w:tc>
          <w:tcPr>
            <w:tcW w:type="dxa" w:w="1660"/>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75.00</w:t>
            </w:r>
          </w:p>
        </w:tc>
      </w:tr>
      <w:tr>
        <w:tc>
          <w:tcPr>
            <w:tcW w:type="dxa" w:w="700"/>
            <w:tcBorders>
              <w:top w:val="single" w:color="00B8D9" w:sz="6"/>
              <w:left w:val="single" w:color="00B8D9" w:sz="4"/>
              <w:bottom w:val="single" w:color="00B8D9" w:sz="6"/>
              <w:right w:val="single" w:color="00B8D9" w:sz="4"/>
            </w:tcBorders>
            <w:shd w:fill="EAF7FB" w:color="auto" w:val="clear"/>
            <w:tcMar>
              <w:top w:type="dxa" w:w="120"/>
              <w:left w:type="dxa" w:w="140"/>
              <w:bottom w:type="dxa" w:w="120"/>
              <w:right w:type="dxa" w:w="140"/>
            </w:tcMar>
            <w:vAlign w:val="center"/>
          </w:tcPr>
          <w:p>
            <w:pPr>
              <w:jc w:val="left"/>
            </w:pPr>
            <w:r>
              <w:rPr>
                <w:rFonts w:ascii="Calibri" w:cs="Calibri" w:eastAsia="Calibri" w:hAnsi="Calibri"/>
                <w:b/>
                <w:bCs/>
                <w:color w:val="0B2545"/>
                <w:sz w:val="20"/>
                <w:szCs w:val="20"/>
              </w:rPr>
              <w:t xml:space="preserve"/>
            </w:r>
          </w:p>
        </w:tc>
        <w:tc>
          <w:tcPr>
            <w:tcW w:type="dxa" w:w="5200"/>
            <w:tcBorders>
              <w:top w:val="single" w:color="00B8D9" w:sz="6"/>
              <w:left w:val="single" w:color="00B8D9" w:sz="4"/>
              <w:bottom w:val="single" w:color="00B8D9" w:sz="6"/>
              <w:right w:val="single" w:color="00B8D9" w:sz="4"/>
            </w:tcBorders>
            <w:shd w:fill="EAF7FB" w:color="auto" w:val="clear"/>
            <w:tcMar>
              <w:top w:type="dxa" w:w="120"/>
              <w:left w:type="dxa" w:w="140"/>
              <w:bottom w:type="dxa" w:w="120"/>
              <w:right w:type="dxa" w:w="140"/>
            </w:tcMar>
            <w:vAlign w:val="center"/>
          </w:tcPr>
          <w:p>
            <w:pPr>
              <w:jc w:val="left"/>
            </w:pPr>
            <w:r>
              <w:rPr>
                <w:rFonts w:ascii="Calibri" w:cs="Calibri" w:eastAsia="Calibri" w:hAnsi="Calibri"/>
                <w:b/>
                <w:bCs/>
                <w:color w:val="0B2545"/>
                <w:sz w:val="20"/>
                <w:szCs w:val="20"/>
              </w:rPr>
              <w:t xml:space="preserve">Zwischensumme</w:t>
            </w:r>
          </w:p>
        </w:tc>
        <w:tc>
          <w:tcPr>
            <w:tcW w:type="dxa" w:w="1800"/>
            <w:tcBorders>
              <w:top w:val="single" w:color="00B8D9" w:sz="6"/>
              <w:left w:val="single" w:color="00B8D9" w:sz="4"/>
              <w:bottom w:val="single" w:color="00B8D9" w:sz="6"/>
              <w:right w:val="single" w:color="00B8D9" w:sz="4"/>
            </w:tcBorders>
            <w:shd w:fill="EAF7FB" w:color="auto" w:val="clear"/>
            <w:tcMar>
              <w:top w:type="dxa" w:w="120"/>
              <w:left w:type="dxa" w:w="140"/>
              <w:bottom w:type="dxa" w:w="120"/>
              <w:right w:type="dxa" w:w="140"/>
            </w:tcMar>
            <w:vAlign w:val="center"/>
          </w:tcPr>
          <w:p>
            <w:pPr>
              <w:jc w:val="left"/>
            </w:pPr>
            <w:r>
              <w:rPr>
                <w:rFonts w:ascii="Calibri" w:cs="Calibri" w:eastAsia="Calibri" w:hAnsi="Calibri"/>
                <w:b/>
                <w:bCs/>
                <w:color w:val="0B2545"/>
                <w:sz w:val="20"/>
                <w:szCs w:val="20"/>
              </w:rPr>
              <w:t xml:space="preserve"/>
            </w:r>
          </w:p>
        </w:tc>
        <w:tc>
          <w:tcPr>
            <w:tcW w:type="dxa" w:w="1660"/>
            <w:tcBorders>
              <w:top w:val="single" w:color="00B8D9" w:sz="6"/>
              <w:left w:val="single" w:color="00B8D9" w:sz="4"/>
              <w:bottom w:val="single" w:color="00B8D9" w:sz="6"/>
              <w:right w:val="single" w:color="00B8D9" w:sz="4"/>
            </w:tcBorders>
            <w:shd w:fill="EAF7FB" w:color="auto" w:val="clear"/>
            <w:tcMar>
              <w:top w:type="dxa" w:w="120"/>
              <w:left w:type="dxa" w:w="140"/>
              <w:bottom w:type="dxa" w:w="120"/>
              <w:right w:type="dxa" w:w="140"/>
            </w:tcMar>
            <w:vAlign w:val="center"/>
          </w:tcPr>
          <w:p>
            <w:pPr>
              <w:jc w:val="right"/>
            </w:pPr>
            <w:r>
              <w:rPr>
                <w:rFonts w:ascii="Calibri" w:cs="Calibri" w:eastAsia="Calibri" w:hAnsi="Calibri"/>
                <w:b/>
                <w:bCs/>
                <w:color w:val="0B2545"/>
                <w:sz w:val="20"/>
                <w:szCs w:val="20"/>
              </w:rPr>
              <w:t xml:space="preserve">805.71</w:t>
            </w:r>
          </w:p>
        </w:tc>
      </w:tr>
      <w:tr>
        <w:tc>
          <w:tcPr>
            <w:tcW w:type="dxa" w:w="7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
            </w:r>
          </w:p>
        </w:tc>
        <w:tc>
          <w:tcPr>
            <w:tcW w:type="dxa" w:w="5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334155"/>
                <w:sz w:val="20"/>
                <w:szCs w:val="20"/>
              </w:rPr>
              <w:t xml:space="preserve">Rundung</w:t>
            </w:r>
          </w:p>
        </w:tc>
        <w:tc>
          <w:tcPr>
            <w:tcW w:type="dxa" w:w="18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
            </w:r>
          </w:p>
        </w:tc>
        <w:tc>
          <w:tcPr>
            <w:tcW w:type="dxa" w:w="166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−5.71</w:t>
            </w:r>
          </w:p>
        </w:tc>
      </w:tr>
      <w:tr>
        <w:tc>
          <w:tcPr>
            <w:tcW w:type="dxa" w:w="700"/>
            <w:tcBorders>
              <w:top w:val="single" w:color="0B2545" w:sz="12"/>
              <w:left w:val="single" w:color="0B2545" w:sz="4"/>
              <w:bottom w:val="single" w:color="0B2545" w:sz="12"/>
              <w:right w:val="single" w:color="0B2545" w:sz="4"/>
            </w:tcBorders>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
            </w:r>
          </w:p>
        </w:tc>
        <w:tc>
          <w:tcPr>
            <w:tcW w:type="dxa" w:w="5200"/>
            <w:tcBorders>
              <w:top w:val="single" w:color="0B2545" w:sz="12"/>
              <w:left w:val="single" w:color="0B2545" w:sz="4"/>
              <w:bottom w:val="single" w:color="0B2545" w:sz="12"/>
              <w:right w:val="single" w:color="0B2545" w:sz="4"/>
            </w:tcBorders>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TOTAL OHNE MWST</w:t>
            </w:r>
          </w:p>
        </w:tc>
        <w:tc>
          <w:tcPr>
            <w:tcW w:type="dxa" w:w="1800"/>
            <w:tcBorders>
              <w:top w:val="single" w:color="0B2545" w:sz="12"/>
              <w:left w:val="single" w:color="0B2545" w:sz="4"/>
              <w:bottom w:val="single" w:color="0B2545" w:sz="12"/>
              <w:right w:val="single" w:color="0B2545" w:sz="4"/>
            </w:tcBorders>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
            </w:r>
          </w:p>
        </w:tc>
        <w:tc>
          <w:tcPr>
            <w:tcW w:type="dxa" w:w="1660"/>
            <w:tcBorders>
              <w:top w:val="single" w:color="0B2545" w:sz="12"/>
              <w:left w:val="single" w:color="0B2545" w:sz="4"/>
              <w:bottom w:val="single" w:color="0B2545" w:sz="12"/>
              <w:right w:val="single" w:color="0B2545" w:sz="4"/>
            </w:tcBorders>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z w:val="22"/>
                <w:szCs w:val="22"/>
              </w:rPr>
              <w:t xml:space="preserve">CHF  800.00</w:t>
            </w:r>
          </w:p>
        </w:tc>
      </w:tr>
    </w:tbl>
    <w:p>
      <w:pPr>
        <w:spacing w:before="220"/>
      </w:pPr>
      <w:r>
        <w:rPr>
          <w:rFonts w:ascii="Calibri" w:cs="Calibri" w:eastAsia="Calibri" w:hAnsi="Calibri"/>
          <w:b/>
          <w:bCs/>
          <w:caps/>
          <w:color w:val="00B8D9"/>
          <w:spacing w:val="80"/>
          <w:sz w:val="14"/>
          <w:szCs w:val="14"/>
        </w:rPr>
        <w:t xml:space="preserve">GESAMTSUMME PROJEKT</w:t>
      </w:r>
    </w:p>
    <w:p>
      <w:pPr>
        <w:spacing w:after="10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single" w:color="E2E8F0" w:sz="4"/>
              <w:left w:val="single" w:color="E2E8F0" w:sz="4"/>
              <w:bottom w:val="single" w:color="E2E8F0" w:sz="4"/>
              <w:right w:val="single" w:color="E2E8F0" w:sz="4"/>
            </w:tcBorders>
            <w:shd w:fill="F8FAFC" w:color="auto" w:val="clear"/>
            <w:tcMar>
              <w:top w:type="dxa" w:w="200"/>
              <w:left w:type="dxa" w:w="220"/>
              <w:bottom w:type="dxa" w:w="200"/>
              <w:right w:type="dxa" w:w="220"/>
            </w:tcMar>
          </w:tcPr>
          <w:p>
            <w:pPr>
              <w:spacing w:after="40"/>
            </w:pPr>
            <w:r>
              <w:rPr>
                <w:rFonts w:ascii="Calibri" w:cs="Calibri" w:eastAsia="Calibri" w:hAnsi="Calibri"/>
                <w:b/>
                <w:bCs/>
                <w:caps/>
                <w:color w:val="64748B"/>
                <w:spacing w:val="60"/>
                <w:sz w:val="14"/>
                <w:szCs w:val="14"/>
              </w:rPr>
              <w:t xml:space="preserve">Rechnung 2026-0801</w:t>
            </w:r>
          </w:p>
          <w:p>
            <w:r>
              <w:rPr>
                <w:rFonts w:ascii="Calibri" w:cs="Calibri" w:eastAsia="Calibri" w:hAnsi="Calibri"/>
                <w:b/>
                <w:bCs/>
                <w:color w:val="0B2545"/>
                <w:sz w:val="26"/>
                <w:szCs w:val="26"/>
              </w:rPr>
              <w:t xml:space="preserve">CHF 1'850.00</w:t>
            </w:r>
          </w:p>
        </w:tc>
        <w:tc>
          <w:tcPr>
            <w:tcW w:type="dxa" w:w="3120"/>
            <w:tcBorders>
              <w:top w:val="single" w:color="E2E8F0" w:sz="4"/>
              <w:left w:val="single" w:color="E2E8F0" w:sz="4"/>
              <w:bottom w:val="single" w:color="E2E8F0" w:sz="4"/>
              <w:right w:val="single" w:color="E2E8F0" w:sz="4"/>
            </w:tcBorders>
            <w:shd w:fill="F8FAFC" w:color="auto" w:val="clear"/>
            <w:tcMar>
              <w:top w:type="dxa" w:w="200"/>
              <w:left w:type="dxa" w:w="220"/>
              <w:bottom w:type="dxa" w:w="200"/>
              <w:right w:type="dxa" w:w="220"/>
            </w:tcMar>
          </w:tcPr>
          <w:p>
            <w:pPr>
              <w:spacing w:after="40"/>
            </w:pPr>
            <w:r>
              <w:rPr>
                <w:rFonts w:ascii="Calibri" w:cs="Calibri" w:eastAsia="Calibri" w:hAnsi="Calibri"/>
                <w:b/>
                <w:bCs/>
                <w:caps/>
                <w:color w:val="64748B"/>
                <w:spacing w:val="60"/>
                <w:sz w:val="14"/>
                <w:szCs w:val="14"/>
              </w:rPr>
              <w:t xml:space="preserve">Nachtrag 2026-0802</w:t>
            </w:r>
          </w:p>
          <w:p>
            <w:r>
              <w:rPr>
                <w:rFonts w:ascii="Calibri" w:cs="Calibri" w:eastAsia="Calibri" w:hAnsi="Calibri"/>
                <w:b/>
                <w:bCs/>
                <w:color w:val="0B2545"/>
                <w:sz w:val="26"/>
                <w:szCs w:val="26"/>
              </w:rPr>
              <w:t xml:space="preserve">CHF 800.00</w:t>
            </w:r>
          </w:p>
        </w:tc>
        <w:tc>
          <w:tcPr>
            <w:tcW w:type="dxa" w:w="3120"/>
            <w:tcBorders>
              <w:top w:val="single" w:color="0B2545" w:sz="12"/>
              <w:left w:val="single" w:color="0B2545" w:sz="12"/>
              <w:bottom w:val="single" w:color="0B2545" w:sz="12"/>
              <w:right w:val="single" w:color="0B2545" w:sz="12"/>
            </w:tcBorders>
            <w:shd w:fill="0B2545" w:color="auto" w:val="clear"/>
            <w:tcMar>
              <w:top w:type="dxa" w:w="200"/>
              <w:left w:type="dxa" w:w="220"/>
              <w:bottom w:type="dxa" w:w="200"/>
              <w:right w:type="dxa" w:w="220"/>
            </w:tcMar>
          </w:tcPr>
          <w:p>
            <w:pPr>
              <w:spacing w:after="40"/>
            </w:pPr>
            <w:r>
              <w:rPr>
                <w:rFonts w:ascii="Calibri" w:cs="Calibri" w:eastAsia="Calibri" w:hAnsi="Calibri"/>
                <w:b/>
                <w:bCs/>
                <w:caps/>
                <w:color w:val="B5D5E0"/>
                <w:spacing w:val="60"/>
                <w:sz w:val="14"/>
                <w:szCs w:val="14"/>
              </w:rPr>
              <w:t xml:space="preserve">Gesamtsumme Projekt</w:t>
            </w:r>
          </w:p>
          <w:p>
            <w:r>
              <w:rPr>
                <w:rFonts w:ascii="Calibri" w:cs="Calibri" w:eastAsia="Calibri" w:hAnsi="Calibri"/>
                <w:b/>
                <w:bCs/>
                <w:color w:val="FFFFFF"/>
                <w:sz w:val="26"/>
                <w:szCs w:val="26"/>
              </w:rPr>
              <w:t xml:space="preserve">CHF 2'650.00</w:t>
            </w:r>
          </w:p>
        </w:tc>
      </w:tr>
    </w:tbl>
    <w:p>
      <w:pPr>
        <w:spacing w:after="60" w:before="200"/>
      </w:pPr>
      <w:r>
        <w:rPr>
          <w:rFonts w:ascii="Calibri" w:cs="Calibri" w:eastAsia="Calibri" w:hAnsi="Calibri"/>
          <w:b/>
          <w:bCs/>
          <w:color w:val="0B2545"/>
          <w:sz w:val="18"/>
          <w:szCs w:val="18"/>
        </w:rPr>
        <w:t xml:space="preserve">Nicht MWST-pflichtig </w:t>
      </w:r>
      <w:r>
        <w:rPr>
          <w:rFonts w:ascii="Calibri" w:cs="Calibri" w:eastAsia="Calibri" w:hAnsi="Calibri"/>
          <w:color w:val="334155"/>
          <w:sz w:val="18"/>
          <w:szCs w:val="18"/>
        </w:rPr>
        <w:t xml:space="preserve">gemäss Art. 10 Abs. 2 MWSTG.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E2E8F0" w:sz="4"/>
              <w:left w:val="single" w:color="0B2545" w:sz="24"/>
              <w:bottom w:val="single" w:color="E2E8F0" w:sz="4"/>
              <w:right w:val="single" w:color="E2E8F0" w:sz="4"/>
            </w:tcBorders>
            <w:shd w:fill="F8FAFC" w:color="auto" w:val="clear"/>
            <w:tcMar>
              <w:top w:type="dxa" w:w="220"/>
              <w:left w:type="dxa" w:w="260"/>
              <w:bottom w:type="dxa" w:w="220"/>
              <w:right w:type="dxa" w:w="260"/>
            </w:tcMar>
          </w:tcPr>
          <w:p>
            <w:pPr>
              <w:spacing w:after="60"/>
            </w:pPr>
            <w:r>
              <w:rPr>
                <w:rFonts w:ascii="Calibri" w:cs="Calibri" w:eastAsia="Calibri" w:hAnsi="Calibri"/>
                <w:b/>
                <w:bCs/>
                <w:caps/>
                <w:color w:val="0B2545"/>
                <w:spacing w:val="60"/>
                <w:sz w:val="14"/>
                <w:szCs w:val="14"/>
              </w:rPr>
              <w:t xml:space="preserve">ZAHLUNG</w:t>
            </w:r>
          </w:p>
          <w:p>
            <w:pPr>
              <w:spacing w:after="40"/>
            </w:pPr>
            <w:r>
              <w:rPr>
                <w:rFonts w:ascii="Calibri" w:cs="Calibri" w:eastAsia="Calibri" w:hAnsi="Calibri"/>
                <w:color w:val="0F172A"/>
                <w:sz w:val="18"/>
                <w:szCs w:val="18"/>
              </w:rPr>
              <w:t xml:space="preserve">Zahlbar innert 14 Tagen auf </w:t>
            </w:r>
            <w:r>
              <w:rPr>
                <w:rFonts w:ascii="Calibri" w:cs="Calibri" w:eastAsia="Calibri" w:hAnsi="Calibri"/>
                <w:b/>
                <w:bCs/>
                <w:color w:val="0B2545"/>
                <w:sz w:val="18"/>
                <w:szCs w:val="18"/>
              </w:rPr>
              <w:t xml:space="preserve">IBAN CH33 0840 1000 0693 4279 2</w:t>
            </w:r>
            <w:r>
              <w:rPr>
                <w:rFonts w:ascii="Calibri" w:cs="Calibri" w:eastAsia="Calibri" w:hAnsi="Calibri"/>
                <w:color w:val="0F172A"/>
                <w:sz w:val="18"/>
                <w:szCs w:val="18"/>
              </w:rPr>
              <w:t xml:space="preserve">, lautend auf Burak Ücöz, 8240 Thayngen.</w:t>
            </w:r>
          </w:p>
          <w:p>
            <w:r>
              <w:rPr>
                <w:rFonts w:ascii="Calibri" w:cs="Calibri" w:eastAsia="Calibri" w:hAnsi="Calibri"/>
                <w:i/>
                <w:iCs/>
                <w:color w:val="334155"/>
                <w:sz w:val="16"/>
                <w:szCs w:val="16"/>
              </w:rPr>
              <w:t xml:space="preserve">Der Zahlteil auf der letzten Seite kann im E-Banking gescannt werden.</w:t>
            </w:r>
          </w:p>
        </w:tc>
      </w:tr>
    </w:tbl>
    <w:p>
      <w:pPr>
        <w:spacing w:after="120" w:before="260" w:line="300" w:lineRule="auto"/>
      </w:pPr>
      <w:r>
        <w:rPr>
          <w:rFonts w:ascii="Calibri" w:cs="Calibri" w:eastAsia="Calibri" w:hAnsi="Calibri"/>
          <w:color w:val="0F172A"/>
          <w:sz w:val="20"/>
          <w:szCs w:val="20"/>
        </w:rPr>
        <w:t xml:space="preserve">Besten Dank für das Vertrauen und die unkomplizierte Zusammenarbeit. Freundliche Grüsse</w:t>
      </w:r>
    </w:p>
    <w:p>
      <w:pPr>
        <w:spacing w:after="0" w:before="240"/>
      </w:pPr>
      <w:r>
        <w:rPr>
          <w:rFonts w:ascii="Calibri" w:cs="Calibri" w:eastAsia="Calibri" w:hAnsi="Calibri"/>
          <w:b/>
          <w:bCs/>
          <w:color w:val="0B2545"/>
          <w:sz w:val="22"/>
          <w:szCs w:val="22"/>
        </w:rPr>
        <w:t xml:space="preserve">Burak Ücöz</w:t>
      </w:r>
    </w:p>
    <w:p>
      <w:pPr>
        <w:spacing w:after="100" w:before="0"/>
      </w:pPr>
      <w:r>
        <w:rPr>
          <w:rFonts w:ascii="Calibri" w:cs="Calibri" w:eastAsia="Calibri" w:hAnsi="Calibri"/>
          <w:b/>
          <w:bCs/>
          <w:color w:val="0B2545"/>
          <w:sz w:val="18"/>
          <w:szCs w:val="18"/>
        </w:rPr>
        <w:t xml:space="preserve">kabuu — Netzqualität &amp; EMV Messungen · Engineering</w:t>
      </w:r>
    </w:p>
    <w:p>
      <w:r>
        <w:br w:type="page"/>
      </w:r>
    </w:p>
    <w:p>
      <w:pPr>
        <w:pStyle w:val="Heading1"/>
        <w:pBdr>
          <w:bottom w:val="single" w:color="00B8D9" w:sz="12" w:space="6"/>
        </w:pBdr>
        <w:spacing w:after="160" w:before="300"/>
      </w:pPr>
      <w:r>
        <w:rPr>
          <w:rFonts w:ascii="Calibri" w:cs="Calibri" w:eastAsia="Calibri" w:hAnsi="Calibri"/>
          <w:b/>
          <w:bCs/>
          <w:color w:val="0B2545"/>
          <w:sz w:val="34"/>
          <w:szCs w:val="34"/>
        </w:rPr>
        <w:t xml:space="preserve">Herleitung des Mehraufwands</w:t>
      </w:r>
    </w:p>
    <w:p>
      <w:pPr>
        <w:spacing w:after="200" w:line="300" w:lineRule="auto"/>
      </w:pPr>
      <w:r>
        <w:rPr>
          <w:rFonts w:ascii="Calibri" w:cs="Calibri" w:eastAsia="Calibri" w:hAnsi="Calibri"/>
          <w:color w:val="0F172A"/>
          <w:sz w:val="20"/>
          <w:szCs w:val="20"/>
        </w:rPr>
        <w:t xml:space="preserve">Damit die Nachforderung nachvollziehbar bleibt, ist sie nicht neu kalkuliert, sondern vollständig aus den Ansätzen der Rechnung 2026-0801 abgeleitet.</w:t>
      </w:r>
    </w:p>
    <w:p>
      <w:pPr>
        <w:pStyle w:val="Heading2"/>
        <w:spacing w:after="100" w:before="260"/>
      </w:pPr>
      <w:r>
        <w:rPr>
          <w:rFonts w:ascii="Calibri" w:cs="Calibri" w:eastAsia="Calibri" w:hAnsi="Calibri"/>
          <w:b/>
          <w:bCs/>
          <w:color w:val="0B2545"/>
          <w:sz w:val="24"/>
          <w:szCs w:val="24"/>
        </w:rPr>
        <w:t xml:space="preserve">1  Sachverhalt</w:t>
      </w:r>
    </w:p>
    <w:tbl>
      <w:tblPr>
        <w:tblW w:type="dxa" w:w="9360"/>
        <w:tblBorders>
          <w:top w:val="single" w:color="0B2545" w:sz="4"/>
          <w:left w:val="none" w:color="FFFFFF" w:sz="0"/>
          <w:bottom w:val="single" w:color="0B2545" w:sz="4"/>
          <w:right w:val="none" w:color="FFFFFF" w:sz="0"/>
          <w:insideH w:val="single" w:color="E2E8F0" w:sz="2"/>
          <w:insideV w:val="none" w:color="FFFFFF" w:sz="0"/>
        </w:tblBorders>
      </w:tblPr>
      <w:tblGrid>
        <w:gridCol w:w="2600"/>
        <w:gridCol w:w="3200"/>
        <w:gridCol w:w="3560"/>
      </w:tblGrid>
      <w:tr>
        <w:trPr>
          <w:tblHeader/>
        </w:trPr>
        <w:tc>
          <w:tcPr>
            <w:tcW w:type="dxa" w:w="260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ANGABE</w:t>
            </w:r>
          </w:p>
        </w:tc>
        <w:tc>
          <w:tcPr>
            <w:tcW w:type="dxa" w:w="320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VEREINBART</w:t>
            </w:r>
          </w:p>
        </w:tc>
        <w:tc>
          <w:tcPr>
            <w:tcW w:type="dxa" w:w="356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TATSÄCHLICH</w:t>
            </w:r>
          </w:p>
        </w:tc>
      </w:tr>
      <w:tr>
        <w:tc>
          <w:tcPr>
            <w:tcW w:type="dxa" w:w="2600"/>
            <w:tcMar>
              <w:top w:type="dxa" w:w="90"/>
              <w:left w:type="dxa" w:w="140"/>
              <w:bottom w:type="dxa" w:w="90"/>
              <w:right w:type="dxa" w:w="140"/>
            </w:tcMar>
            <w:vAlign w:val="center"/>
          </w:tcPr>
          <w:p>
            <w:pPr>
              <w:jc w:val="left"/>
            </w:pPr>
            <w:r>
              <w:rPr>
                <w:rFonts w:ascii="Calibri" w:cs="Calibri" w:eastAsia="Calibri" w:hAnsi="Calibri"/>
                <w:b/>
                <w:bCs/>
                <w:i w:val="false"/>
                <w:iCs w:val="false"/>
                <w:color w:val="0F172A"/>
                <w:sz w:val="20"/>
                <w:szCs w:val="20"/>
              </w:rPr>
              <w:t xml:space="preserve">Messdauer</w:t>
            </w:r>
          </w:p>
        </w:tc>
        <w:tc>
          <w:tcPr>
            <w:tcW w:type="dxa" w:w="3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7 Tage</w:t>
            </w:r>
          </w:p>
        </w:tc>
        <w:tc>
          <w:tcPr>
            <w:tcW w:type="dxa" w:w="35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12 Tage</w:t>
            </w:r>
          </w:p>
        </w:tc>
      </w:tr>
      <w:tr>
        <w:tc>
          <w:tcPr>
            <w:tcW w:type="dxa" w:w="2600"/>
            <w:shd w:fill="F8FAFC" w:color="auto" w:val="clear"/>
            <w:tcMar>
              <w:top w:type="dxa" w:w="90"/>
              <w:left w:type="dxa" w:w="140"/>
              <w:bottom w:type="dxa" w:w="90"/>
              <w:right w:type="dxa" w:w="140"/>
            </w:tcMar>
            <w:vAlign w:val="center"/>
          </w:tcPr>
          <w:p>
            <w:pPr>
              <w:jc w:val="left"/>
            </w:pPr>
            <w:r>
              <w:rPr>
                <w:rFonts w:ascii="Calibri" w:cs="Calibri" w:eastAsia="Calibri" w:hAnsi="Calibri"/>
                <w:b/>
                <w:bCs/>
                <w:i w:val="false"/>
                <w:iCs w:val="false"/>
                <w:color w:val="0F172A"/>
                <w:sz w:val="20"/>
                <w:szCs w:val="20"/>
              </w:rPr>
              <w:t xml:space="preserve">Zeitraum</w:t>
            </w:r>
          </w:p>
        </w:tc>
        <w:tc>
          <w:tcPr>
            <w:tcW w:type="dxa" w:w="32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64748B"/>
                <w:sz w:val="20"/>
                <w:szCs w:val="20"/>
              </w:rPr>
              <w:t xml:space="preserve">—</w:t>
            </w:r>
          </w:p>
        </w:tc>
        <w:tc>
          <w:tcPr>
            <w:tcW w:type="dxa" w:w="35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05.08. bis 17.08.2026</w:t>
            </w:r>
          </w:p>
        </w:tc>
      </w:tr>
      <w:tr>
        <w:tc>
          <w:tcPr>
            <w:tcW w:type="dxa" w:w="2600"/>
            <w:tcMar>
              <w:top w:type="dxa" w:w="90"/>
              <w:left w:type="dxa" w:w="140"/>
              <w:bottom w:type="dxa" w:w="90"/>
              <w:right w:type="dxa" w:w="140"/>
            </w:tcMar>
            <w:vAlign w:val="center"/>
          </w:tcPr>
          <w:p>
            <w:pPr>
              <w:jc w:val="left"/>
            </w:pPr>
            <w:r>
              <w:rPr>
                <w:rFonts w:ascii="Calibri" w:cs="Calibri" w:eastAsia="Calibri" w:hAnsi="Calibri"/>
                <w:b/>
                <w:bCs/>
                <w:i w:val="false"/>
                <w:iCs w:val="false"/>
                <w:color w:val="0F172A"/>
                <w:sz w:val="20"/>
                <w:szCs w:val="20"/>
              </w:rPr>
              <w:t xml:space="preserve">Mehrdauer</w:t>
            </w:r>
          </w:p>
        </w:tc>
        <w:tc>
          <w:tcPr>
            <w:tcW w:type="dxa" w:w="3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64748B"/>
                <w:sz w:val="20"/>
                <w:szCs w:val="20"/>
              </w:rPr>
              <w:t xml:space="preserve">—</w:t>
            </w:r>
          </w:p>
        </w:tc>
        <w:tc>
          <w:tcPr>
            <w:tcW w:type="dxa" w:w="35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5 Tage (entspricht 71 %)</w:t>
            </w:r>
          </w:p>
        </w:tc>
      </w:tr>
      <w:tr>
        <w:tc>
          <w:tcPr>
            <w:tcW w:type="dxa" w:w="2600"/>
            <w:shd w:fill="F8FAFC" w:color="auto" w:val="clear"/>
            <w:tcMar>
              <w:top w:type="dxa" w:w="90"/>
              <w:left w:type="dxa" w:w="140"/>
              <w:bottom w:type="dxa" w:w="90"/>
              <w:right w:type="dxa" w:w="140"/>
            </w:tcMar>
            <w:vAlign w:val="center"/>
          </w:tcPr>
          <w:p>
            <w:pPr>
              <w:jc w:val="left"/>
            </w:pPr>
            <w:r>
              <w:rPr>
                <w:rFonts w:ascii="Calibri" w:cs="Calibri" w:eastAsia="Calibri" w:hAnsi="Calibri"/>
                <w:b/>
                <w:bCs/>
                <w:i w:val="false"/>
                <w:iCs w:val="false"/>
                <w:color w:val="0F172A"/>
                <w:sz w:val="20"/>
                <w:szCs w:val="20"/>
              </w:rPr>
              <w:t xml:space="preserve">Grund</w:t>
            </w:r>
          </w:p>
        </w:tc>
        <w:tc>
          <w:tcPr>
            <w:tcW w:type="dxa" w:w="32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64748B"/>
                <w:sz w:val="20"/>
                <w:szCs w:val="20"/>
              </w:rPr>
              <w:t xml:space="preserve">—</w:t>
            </w:r>
          </w:p>
        </w:tc>
        <w:tc>
          <w:tcPr>
            <w:tcW w:type="dxa" w:w="35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Ferienabwesenheit vor Ort, Abbau früher nicht möglich</w:t>
            </w:r>
          </w:p>
        </w:tc>
      </w:tr>
      <w:tr>
        <w:tc>
          <w:tcPr>
            <w:tcW w:type="dxa" w:w="2600"/>
            <w:tcMar>
              <w:top w:type="dxa" w:w="90"/>
              <w:left w:type="dxa" w:w="140"/>
              <w:bottom w:type="dxa" w:w="90"/>
              <w:right w:type="dxa" w:w="140"/>
            </w:tcMar>
            <w:vAlign w:val="center"/>
          </w:tcPr>
          <w:p>
            <w:pPr>
              <w:jc w:val="left"/>
            </w:pPr>
            <w:r>
              <w:rPr>
                <w:rFonts w:ascii="Calibri" w:cs="Calibri" w:eastAsia="Calibri" w:hAnsi="Calibri"/>
                <w:b/>
                <w:bCs/>
                <w:i w:val="false"/>
                <w:iCs w:val="false"/>
                <w:color w:val="0F172A"/>
                <w:sz w:val="20"/>
                <w:szCs w:val="20"/>
              </w:rPr>
              <w:t xml:space="preserve">Veranlassung</w:t>
            </w:r>
          </w:p>
        </w:tc>
        <w:tc>
          <w:tcPr>
            <w:tcW w:type="dxa" w:w="3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64748B"/>
                <w:sz w:val="20"/>
                <w:szCs w:val="20"/>
              </w:rPr>
              <w:t xml:space="preserve">—</w:t>
            </w:r>
          </w:p>
        </w:tc>
        <w:tc>
          <w:tcPr>
            <w:tcW w:type="dxa" w:w="35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nicht durch den Auftraggeber</w:t>
            </w:r>
          </w:p>
        </w:tc>
      </w:tr>
    </w:tbl>
    <w:p>
      <w:pPr>
        <w:pStyle w:val="Heading2"/>
        <w:spacing w:after="100" w:before="260"/>
      </w:pPr>
      <w:r>
        <w:rPr>
          <w:rFonts w:ascii="Calibri" w:cs="Calibri" w:eastAsia="Calibri" w:hAnsi="Calibri"/>
          <w:b/>
          <w:bCs/>
          <w:color w:val="0B2545"/>
          <w:sz w:val="24"/>
          <w:szCs w:val="24"/>
        </w:rPr>
        <w:t xml:space="preserve">2  Welche Positionen betroffen sind</w:t>
      </w:r>
    </w:p>
    <w:tbl>
      <w:tblPr>
        <w:tblW w:type="dxa" w:w="9360"/>
        <w:tblBorders>
          <w:top w:val="single" w:color="0B2545" w:sz="4"/>
          <w:left w:val="none" w:color="FFFFFF" w:sz="0"/>
          <w:bottom w:val="single" w:color="0B2545" w:sz="4"/>
          <w:right w:val="none" w:color="FFFFFF" w:sz="0"/>
          <w:insideH w:val="single" w:color="E2E8F0" w:sz="2"/>
          <w:insideV w:val="none" w:color="FFFFFF" w:sz="0"/>
        </w:tblBorders>
      </w:tblPr>
      <w:tblGrid>
        <w:gridCol w:w="700"/>
        <w:gridCol w:w="4200"/>
        <w:gridCol w:w="1400"/>
        <w:gridCol w:w="3060"/>
      </w:tblGrid>
      <w:tr>
        <w:trPr>
          <w:tblHeader/>
        </w:trPr>
        <w:tc>
          <w:tcPr>
            <w:tcW w:type="dxa" w:w="700"/>
            <w:shd w:fill="0B2545" w:color="auto" w:val="clear"/>
            <w:tcMar>
              <w:top w:type="dxa" w:w="120"/>
              <w:left w:type="dxa" w:w="140"/>
              <w:bottom w:type="dxa" w:w="120"/>
              <w:right w:type="dxa" w:w="140"/>
            </w:tcMar>
            <w:vAlign w:val="center"/>
          </w:tcPr>
          <w:p>
            <w:pPr>
              <w:jc w:val="center"/>
            </w:pPr>
            <w:r>
              <w:rPr>
                <w:rFonts w:ascii="Calibri" w:cs="Calibri" w:eastAsia="Calibri" w:hAnsi="Calibri"/>
                <w:b/>
                <w:bCs/>
                <w:color w:val="FFFFFF"/>
                <w:spacing w:val="40"/>
                <w:sz w:val="18"/>
                <w:szCs w:val="18"/>
              </w:rPr>
              <w:t xml:space="preserve">POS</w:t>
            </w:r>
          </w:p>
        </w:tc>
        <w:tc>
          <w:tcPr>
            <w:tcW w:type="dxa" w:w="420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LEISTUNG AUS RECHNUNG 2026-0801</w:t>
            </w:r>
          </w:p>
        </w:tc>
        <w:tc>
          <w:tcPr>
            <w:tcW w:type="dxa" w:w="1400"/>
            <w:shd w:fill="0B2545" w:color="auto" w:val="clear"/>
            <w:tcMar>
              <w:top w:type="dxa" w:w="120"/>
              <w:left w:type="dxa" w:w="140"/>
              <w:bottom w:type="dxa" w:w="120"/>
              <w:right w:type="dxa" w:w="140"/>
            </w:tcMar>
            <w:vAlign w:val="center"/>
          </w:tcPr>
          <w:p>
            <w:pPr>
              <w:jc w:val="center"/>
            </w:pPr>
            <w:r>
              <w:rPr>
                <w:rFonts w:ascii="Calibri" w:cs="Calibri" w:eastAsia="Calibri" w:hAnsi="Calibri"/>
                <w:b/>
                <w:bCs/>
                <w:color w:val="FFFFFF"/>
                <w:spacing w:val="40"/>
                <w:sz w:val="18"/>
                <w:szCs w:val="18"/>
              </w:rPr>
              <w:t xml:space="preserve">BETROFFEN</w:t>
            </w:r>
          </w:p>
        </w:tc>
        <w:tc>
          <w:tcPr>
            <w:tcW w:type="dxa" w:w="306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BEGRÜNDUNG</w:t>
            </w:r>
          </w:p>
        </w:tc>
      </w:tr>
      <w:tr>
        <w:tc>
          <w:tcPr>
            <w:tcW w:type="dxa" w:w="700"/>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1</w:t>
            </w:r>
          </w:p>
        </w:tc>
        <w:tc>
          <w:tcPr>
            <w:tcW w:type="dxa" w:w="4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Augenschein vom 24.06.2026</w:t>
            </w:r>
          </w:p>
        </w:tc>
        <w:tc>
          <w:tcPr>
            <w:tcW w:type="dxa" w:w="1400"/>
            <w:tcMar>
              <w:top w:type="dxa" w:w="90"/>
              <w:left w:type="dxa" w:w="140"/>
              <w:bottom w:type="dxa" w:w="90"/>
              <w:right w:type="dxa" w:w="140"/>
            </w:tcMar>
            <w:vAlign w:val="center"/>
          </w:tcPr>
          <w:p>
            <w:pPr>
              <w:jc w:val="center"/>
            </w:pPr>
            <w:r>
              <w:rPr>
                <w:rFonts w:ascii="Calibri" w:cs="Calibri" w:eastAsia="Calibri" w:hAnsi="Calibri"/>
                <w:b w:val="false"/>
                <w:bCs w:val="false"/>
                <w:i w:val="false"/>
                <w:iCs w:val="false"/>
                <w:color w:val="334155"/>
                <w:sz w:val="20"/>
                <w:szCs w:val="20"/>
              </w:rPr>
              <w:t xml:space="preserve">nein</w:t>
            </w:r>
          </w:p>
        </w:tc>
        <w:tc>
          <w:tcPr>
            <w:tcW w:type="dxa" w:w="30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fand vor der Messung statt</w:t>
            </w:r>
          </w:p>
        </w:tc>
      </w:tr>
      <w:tr>
        <w:tc>
          <w:tcPr>
            <w:tcW w:type="dxa" w:w="700"/>
            <w:shd w:fill="F8FAFC" w:color="auto" w:val="clear"/>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2</w:t>
            </w:r>
          </w:p>
        </w:tc>
        <w:tc>
          <w:tcPr>
            <w:tcW w:type="dxa" w:w="42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Messplanung und Konfiguration</w:t>
            </w:r>
          </w:p>
        </w:tc>
        <w:tc>
          <w:tcPr>
            <w:tcW w:type="dxa" w:w="1400"/>
            <w:shd w:fill="F8FAFC" w:color="auto" w:val="clear"/>
            <w:tcMar>
              <w:top w:type="dxa" w:w="90"/>
              <w:left w:type="dxa" w:w="140"/>
              <w:bottom w:type="dxa" w:w="90"/>
              <w:right w:type="dxa" w:w="140"/>
            </w:tcMar>
            <w:vAlign w:val="center"/>
          </w:tcPr>
          <w:p>
            <w:pPr>
              <w:jc w:val="center"/>
            </w:pPr>
            <w:r>
              <w:rPr>
                <w:rFonts w:ascii="Calibri" w:cs="Calibri" w:eastAsia="Calibri" w:hAnsi="Calibri"/>
                <w:b w:val="false"/>
                <w:bCs w:val="false"/>
                <w:i w:val="false"/>
                <w:iCs w:val="false"/>
                <w:color w:val="334155"/>
                <w:sz w:val="20"/>
                <w:szCs w:val="20"/>
              </w:rPr>
              <w:t xml:space="preserve">nein</w:t>
            </w:r>
          </w:p>
        </w:tc>
        <w:tc>
          <w:tcPr>
            <w:tcW w:type="dxa" w:w="30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einmalig vor Messbeginn</w:t>
            </w:r>
          </w:p>
        </w:tc>
      </w:tr>
      <w:tr>
        <w:tc>
          <w:tcPr>
            <w:tcW w:type="dxa" w:w="700"/>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3</w:t>
            </w:r>
          </w:p>
        </w:tc>
        <w:tc>
          <w:tcPr>
            <w:tcW w:type="dxa" w:w="4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Installation an drei Messpunkten</w:t>
            </w:r>
          </w:p>
        </w:tc>
        <w:tc>
          <w:tcPr>
            <w:tcW w:type="dxa" w:w="1400"/>
            <w:tcMar>
              <w:top w:type="dxa" w:w="90"/>
              <w:left w:type="dxa" w:w="140"/>
              <w:bottom w:type="dxa" w:w="90"/>
              <w:right w:type="dxa" w:w="140"/>
            </w:tcMar>
            <w:vAlign w:val="center"/>
          </w:tcPr>
          <w:p>
            <w:pPr>
              <w:jc w:val="center"/>
            </w:pPr>
            <w:r>
              <w:rPr>
                <w:rFonts w:ascii="Calibri" w:cs="Calibri" w:eastAsia="Calibri" w:hAnsi="Calibri"/>
                <w:b w:val="false"/>
                <w:bCs w:val="false"/>
                <w:i w:val="false"/>
                <w:iCs w:val="false"/>
                <w:color w:val="334155"/>
                <w:sz w:val="20"/>
                <w:szCs w:val="20"/>
              </w:rPr>
              <w:t xml:space="preserve">nein</w:t>
            </w:r>
          </w:p>
        </w:tc>
        <w:tc>
          <w:tcPr>
            <w:tcW w:type="dxa" w:w="30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einmalig, unverändert</w:t>
            </w:r>
          </w:p>
        </w:tc>
      </w:tr>
      <w:tr>
        <w:tc>
          <w:tcPr>
            <w:tcW w:type="dxa" w:w="700"/>
            <w:shd w:fill="F8FAFC" w:color="auto" w:val="clear"/>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4</w:t>
            </w:r>
          </w:p>
        </w:tc>
        <w:tc>
          <w:tcPr>
            <w:tcW w:type="dxa" w:w="42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Messkampagne 7 Tage, 3 Geräte, inkl. Fernüberwachung</w:t>
            </w:r>
          </w:p>
        </w:tc>
        <w:tc>
          <w:tcPr>
            <w:tcW w:type="dxa" w:w="1400"/>
            <w:shd w:fill="F8FAFC" w:color="auto" w:val="clear"/>
            <w:tcMar>
              <w:top w:type="dxa" w:w="90"/>
              <w:left w:type="dxa" w:w="140"/>
              <w:bottom w:type="dxa" w:w="90"/>
              <w:right w:type="dxa" w:w="140"/>
            </w:tcMar>
            <w:vAlign w:val="center"/>
          </w:tcPr>
          <w:p>
            <w:pPr>
              <w:jc w:val="center"/>
            </w:pPr>
            <w:r>
              <w:rPr>
                <w:rFonts w:ascii="Calibri" w:cs="Calibri" w:eastAsia="Calibri" w:hAnsi="Calibri"/>
                <w:b/>
                <w:bCs/>
                <w:i w:val="false"/>
                <w:iCs w:val="false"/>
                <w:color w:val="0B2545"/>
                <w:sz w:val="20"/>
                <w:szCs w:val="20"/>
              </w:rPr>
              <w:t xml:space="preserve">ja</w:t>
            </w:r>
          </w:p>
        </w:tc>
        <w:tc>
          <w:tcPr>
            <w:tcW w:type="dxa" w:w="30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12 statt 7 Tage</w:t>
            </w:r>
          </w:p>
        </w:tc>
      </w:tr>
      <w:tr>
        <w:tc>
          <w:tcPr>
            <w:tcW w:type="dxa" w:w="700"/>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5</w:t>
            </w:r>
          </w:p>
        </w:tc>
        <w:tc>
          <w:tcPr>
            <w:tcW w:type="dxa" w:w="4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Abbau der Messtechnik</w:t>
            </w:r>
          </w:p>
        </w:tc>
        <w:tc>
          <w:tcPr>
            <w:tcW w:type="dxa" w:w="1400"/>
            <w:tcMar>
              <w:top w:type="dxa" w:w="90"/>
              <w:left w:type="dxa" w:w="140"/>
              <w:bottom w:type="dxa" w:w="90"/>
              <w:right w:type="dxa" w:w="140"/>
            </w:tcMar>
            <w:vAlign w:val="center"/>
          </w:tcPr>
          <w:p>
            <w:pPr>
              <w:jc w:val="center"/>
            </w:pPr>
            <w:r>
              <w:rPr>
                <w:rFonts w:ascii="Calibri" w:cs="Calibri" w:eastAsia="Calibri" w:hAnsi="Calibri"/>
                <w:b w:val="false"/>
                <w:bCs w:val="false"/>
                <w:i w:val="false"/>
                <w:iCs w:val="false"/>
                <w:color w:val="334155"/>
                <w:sz w:val="20"/>
                <w:szCs w:val="20"/>
              </w:rPr>
              <w:t xml:space="preserve">nein</w:t>
            </w:r>
          </w:p>
        </w:tc>
        <w:tc>
          <w:tcPr>
            <w:tcW w:type="dxa" w:w="30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einmalig, nur später ausgeführt</w:t>
            </w:r>
          </w:p>
        </w:tc>
      </w:tr>
      <w:tr>
        <w:tc>
          <w:tcPr>
            <w:tcW w:type="dxa" w:w="700"/>
            <w:shd w:fill="F8FAFC" w:color="auto" w:val="clear"/>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6</w:t>
            </w:r>
          </w:p>
        </w:tc>
        <w:tc>
          <w:tcPr>
            <w:tcW w:type="dxa" w:w="42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Auswertung und Bericht</w:t>
            </w:r>
          </w:p>
        </w:tc>
        <w:tc>
          <w:tcPr>
            <w:tcW w:type="dxa" w:w="1400"/>
            <w:shd w:fill="F8FAFC" w:color="auto" w:val="clear"/>
            <w:tcMar>
              <w:top w:type="dxa" w:w="90"/>
              <w:left w:type="dxa" w:w="140"/>
              <w:bottom w:type="dxa" w:w="90"/>
              <w:right w:type="dxa" w:w="140"/>
            </w:tcMar>
            <w:vAlign w:val="center"/>
          </w:tcPr>
          <w:p>
            <w:pPr>
              <w:jc w:val="center"/>
            </w:pPr>
            <w:r>
              <w:rPr>
                <w:rFonts w:ascii="Calibri" w:cs="Calibri" w:eastAsia="Calibri" w:hAnsi="Calibri"/>
                <w:b/>
                <w:bCs/>
                <w:i w:val="false"/>
                <w:iCs w:val="false"/>
                <w:color w:val="0B2545"/>
                <w:sz w:val="20"/>
                <w:szCs w:val="20"/>
              </w:rPr>
              <w:t xml:space="preserve">ja</w:t>
            </w:r>
          </w:p>
        </w:tc>
        <w:tc>
          <w:tcPr>
            <w:tcW w:type="dxa" w:w="30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12 statt 7 Tage Datenbasis</w:t>
            </w:r>
          </w:p>
        </w:tc>
      </w:tr>
      <w:tr>
        <w:tc>
          <w:tcPr>
            <w:tcW w:type="dxa" w:w="700"/>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7</w:t>
            </w:r>
          </w:p>
        </w:tc>
        <w:tc>
          <w:tcPr>
            <w:tcW w:type="dxa" w:w="42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Besprechung der Ergebnisse</w:t>
            </w:r>
          </w:p>
        </w:tc>
        <w:tc>
          <w:tcPr>
            <w:tcW w:type="dxa" w:w="1400"/>
            <w:tcMar>
              <w:top w:type="dxa" w:w="90"/>
              <w:left w:type="dxa" w:w="140"/>
              <w:bottom w:type="dxa" w:w="90"/>
              <w:right w:type="dxa" w:w="140"/>
            </w:tcMar>
            <w:vAlign w:val="center"/>
          </w:tcPr>
          <w:p>
            <w:pPr>
              <w:jc w:val="center"/>
            </w:pPr>
            <w:r>
              <w:rPr>
                <w:rFonts w:ascii="Calibri" w:cs="Calibri" w:eastAsia="Calibri" w:hAnsi="Calibri"/>
                <w:b w:val="false"/>
                <w:bCs w:val="false"/>
                <w:i w:val="false"/>
                <w:iCs w:val="false"/>
                <w:color w:val="334155"/>
                <w:sz w:val="20"/>
                <w:szCs w:val="20"/>
              </w:rPr>
              <w:t xml:space="preserve">nein</w:t>
            </w:r>
          </w:p>
        </w:tc>
        <w:tc>
          <w:tcPr>
            <w:tcW w:type="dxa" w:w="30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unverändert</w:t>
            </w:r>
          </w:p>
        </w:tc>
      </w:tr>
      <w:tr>
        <w:tc>
          <w:tcPr>
            <w:tcW w:type="dxa" w:w="700"/>
            <w:shd w:fill="F8FAFC" w:color="auto" w:val="clear"/>
            <w:tcMar>
              <w:top w:type="dxa" w:w="90"/>
              <w:left w:type="dxa" w:w="140"/>
              <w:bottom w:type="dxa" w:w="90"/>
              <w:right w:type="dxa" w:w="140"/>
            </w:tcMar>
            <w:vAlign w:val="center"/>
          </w:tcPr>
          <w:p>
            <w:pPr>
              <w:jc w:val="center"/>
            </w:pPr>
            <w:r>
              <w:rPr>
                <w:rFonts w:ascii="Calibri" w:cs="Calibri" w:eastAsia="Calibri" w:hAnsi="Calibri"/>
                <w:b/>
                <w:bCs/>
                <w:i w:val="false"/>
                <w:iCs w:val="false"/>
                <w:color w:val="64748B"/>
                <w:sz w:val="20"/>
                <w:szCs w:val="20"/>
              </w:rPr>
              <w:t xml:space="preserve">8</w:t>
            </w:r>
          </w:p>
        </w:tc>
        <w:tc>
          <w:tcPr>
            <w:tcW w:type="dxa" w:w="42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Anfahrten Pauschale</w:t>
            </w:r>
          </w:p>
        </w:tc>
        <w:tc>
          <w:tcPr>
            <w:tcW w:type="dxa" w:w="1400"/>
            <w:shd w:fill="F8FAFC" w:color="auto" w:val="clear"/>
            <w:tcMar>
              <w:top w:type="dxa" w:w="90"/>
              <w:left w:type="dxa" w:w="140"/>
              <w:bottom w:type="dxa" w:w="90"/>
              <w:right w:type="dxa" w:w="140"/>
            </w:tcMar>
            <w:vAlign w:val="center"/>
          </w:tcPr>
          <w:p>
            <w:pPr>
              <w:jc w:val="center"/>
            </w:pPr>
            <w:r>
              <w:rPr>
                <w:rFonts w:ascii="Calibri" w:cs="Calibri" w:eastAsia="Calibri" w:hAnsi="Calibri"/>
                <w:b w:val="false"/>
                <w:bCs w:val="false"/>
                <w:i w:val="false"/>
                <w:iCs w:val="false"/>
                <w:color w:val="334155"/>
                <w:sz w:val="20"/>
                <w:szCs w:val="20"/>
              </w:rPr>
              <w:t xml:space="preserve">nein</w:t>
            </w:r>
          </w:p>
        </w:tc>
        <w:tc>
          <w:tcPr>
            <w:tcW w:type="dxa" w:w="30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keine zusätzliche Fahrt erforderlich</w:t>
            </w:r>
          </w:p>
        </w:tc>
      </w:tr>
    </w:tbl>
    <w:p>
      <w:pPr>
        <w:pStyle w:val="Heading2"/>
        <w:spacing w:after="100" w:before="260"/>
      </w:pPr>
      <w:r>
        <w:rPr>
          <w:rFonts w:ascii="Calibri" w:cs="Calibri" w:eastAsia="Calibri" w:hAnsi="Calibri"/>
          <w:b/>
          <w:bCs/>
          <w:color w:val="0B2545"/>
          <w:sz w:val="24"/>
          <w:szCs w:val="24"/>
        </w:rPr>
        <w:t xml:space="preserve">3  Gerätebereitstellung, 5 zusätzliche Tage</w:t>
      </w:r>
    </w:p>
    <w:tbl>
      <w:tblPr>
        <w:tblW w:type="dxa" w:w="9360"/>
        <w:tblBorders>
          <w:top w:val="single" w:color="0B2545" w:sz="4"/>
          <w:left w:val="none" w:color="FFFFFF" w:sz="0"/>
          <w:bottom w:val="single" w:color="0B2545" w:sz="4"/>
          <w:right w:val="none" w:color="FFFFFF" w:sz="0"/>
          <w:insideH w:val="single" w:color="E2E8F0" w:sz="2"/>
          <w:insideV w:val="none" w:color="FFFFFF" w:sz="0"/>
        </w:tblBorders>
      </w:tblPr>
      <w:tblGrid>
        <w:gridCol w:w="4400"/>
        <w:gridCol w:w="2500"/>
        <w:gridCol w:w="2460"/>
      </w:tblGrid>
      <w:tr>
        <w:trPr>
          <w:tblHeader/>
        </w:trPr>
        <w:tc>
          <w:tcPr>
            <w:tcW w:type="dxa" w:w="440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SCHRITT</w:t>
            </w:r>
          </w:p>
        </w:tc>
        <w:tc>
          <w:tcPr>
            <w:tcW w:type="dxa" w:w="2500"/>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pacing w:val="40"/>
                <w:sz w:val="18"/>
                <w:szCs w:val="18"/>
              </w:rPr>
              <w:t xml:space="preserve">RECHNUNG</w:t>
            </w:r>
          </w:p>
        </w:tc>
        <w:tc>
          <w:tcPr>
            <w:tcW w:type="dxa" w:w="2460"/>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pacing w:val="40"/>
                <w:sz w:val="18"/>
                <w:szCs w:val="18"/>
              </w:rPr>
              <w:t xml:space="preserve">ERGEBNIS</w:t>
            </w:r>
          </w:p>
        </w:tc>
      </w:tr>
      <w:tr>
        <w:tc>
          <w:tcPr>
            <w:tcW w:type="dxa" w:w="44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Ansatz aus Rechnung 2026-0801, Pos. 4</w:t>
            </w:r>
          </w:p>
        </w:tc>
        <w:tc>
          <w:tcPr>
            <w:tcW w:type="dxa" w:w="25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7 Tage, 3 Geräte</w:t>
            </w:r>
          </w:p>
        </w:tc>
        <w:tc>
          <w:tcPr>
            <w:tcW w:type="dxa" w:w="2460"/>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CHF 750.00</w:t>
            </w:r>
          </w:p>
        </w:tc>
      </w:tr>
      <w:tr>
        <w:tc>
          <w:tcPr>
            <w:tcW w:type="dxa" w:w="44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Daraus abgeleiteter Tagessatz (alle 3 Geräte)</w:t>
            </w:r>
          </w:p>
        </w:tc>
        <w:tc>
          <w:tcPr>
            <w:tcW w:type="dxa" w:w="250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750 ÷ 7</w:t>
            </w:r>
          </w:p>
        </w:tc>
        <w:tc>
          <w:tcPr>
            <w:tcW w:type="dxa" w:w="2460"/>
            <w:shd w:fill="F8FAFC" w:color="auto" w:val="clear"/>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CHF 107.14</w:t>
            </w:r>
          </w:p>
        </w:tc>
      </w:tr>
      <w:tr>
        <w:tc>
          <w:tcPr>
            <w:tcW w:type="dxa" w:w="44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Je Gerät und Tag</w:t>
            </w:r>
          </w:p>
        </w:tc>
        <w:tc>
          <w:tcPr>
            <w:tcW w:type="dxa" w:w="25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107.14 ÷ 3</w:t>
            </w:r>
          </w:p>
        </w:tc>
        <w:tc>
          <w:tcPr>
            <w:tcW w:type="dxa" w:w="2460"/>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CHF 35.71</w:t>
            </w:r>
          </w:p>
        </w:tc>
      </w:tr>
      <w:tr>
        <w:tc>
          <w:tcPr>
            <w:tcW w:type="dxa" w:w="44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Mehrdauer</w:t>
            </w:r>
          </w:p>
        </w:tc>
        <w:tc>
          <w:tcPr>
            <w:tcW w:type="dxa" w:w="250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5 Tage</w:t>
            </w:r>
          </w:p>
        </w:tc>
        <w:tc>
          <w:tcPr>
            <w:tcW w:type="dxa" w:w="246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64748B"/>
                <w:sz w:val="20"/>
                <w:szCs w:val="20"/>
              </w:rPr>
              <w:t xml:space="preserve">—</w:t>
            </w:r>
          </w:p>
        </w:tc>
      </w:tr>
      <w:tr>
        <w:tc>
          <w:tcPr>
            <w:tcW w:type="dxa" w:w="4400"/>
            <w:tcMar>
              <w:top w:type="dxa" w:w="90"/>
              <w:left w:type="dxa" w:w="140"/>
              <w:bottom w:type="dxa" w:w="90"/>
              <w:right w:type="dxa" w:w="140"/>
            </w:tcMar>
            <w:vAlign w:val="center"/>
          </w:tcPr>
          <w:p>
            <w:pPr>
              <w:jc w:val="left"/>
            </w:pPr>
            <w:r>
              <w:rPr>
                <w:rFonts w:ascii="Calibri" w:cs="Calibri" w:eastAsia="Calibri" w:hAnsi="Calibri"/>
                <w:b/>
                <w:bCs/>
                <w:i w:val="false"/>
                <w:iCs w:val="false"/>
                <w:color w:val="0B2545"/>
                <w:sz w:val="20"/>
                <w:szCs w:val="20"/>
              </w:rPr>
              <w:t xml:space="preserve">Mehraufwand Gerätebereitstellung</w:t>
            </w:r>
          </w:p>
        </w:tc>
        <w:tc>
          <w:tcPr>
            <w:tcW w:type="dxa" w:w="2500"/>
            <w:tcMar>
              <w:top w:type="dxa" w:w="90"/>
              <w:left w:type="dxa" w:w="140"/>
              <w:bottom w:type="dxa" w:w="90"/>
              <w:right w:type="dxa" w:w="140"/>
            </w:tcMar>
            <w:vAlign w:val="center"/>
          </w:tcPr>
          <w:p>
            <w:pPr>
              <w:jc w:val="right"/>
            </w:pPr>
            <w:r>
              <w:rPr>
                <w:rFonts w:ascii="Calibri" w:cs="Calibri" w:eastAsia="Calibri" w:hAnsi="Calibri"/>
                <w:b/>
                <w:bCs/>
                <w:i w:val="false"/>
                <w:iCs w:val="false"/>
                <w:color w:val="0B2545"/>
                <w:sz w:val="20"/>
                <w:szCs w:val="20"/>
              </w:rPr>
              <w:t xml:space="preserve">5 × 107.14</w:t>
            </w:r>
          </w:p>
        </w:tc>
        <w:tc>
          <w:tcPr>
            <w:tcW w:type="dxa" w:w="2460"/>
            <w:tcMar>
              <w:top w:type="dxa" w:w="90"/>
              <w:left w:type="dxa" w:w="140"/>
              <w:bottom w:type="dxa" w:w="90"/>
              <w:right w:type="dxa" w:w="140"/>
            </w:tcMar>
            <w:vAlign w:val="center"/>
          </w:tcPr>
          <w:p>
            <w:pPr>
              <w:jc w:val="right"/>
            </w:pPr>
            <w:r>
              <w:rPr>
                <w:rFonts w:ascii="Calibri" w:cs="Calibri" w:eastAsia="Calibri" w:hAnsi="Calibri"/>
                <w:b/>
                <w:bCs/>
                <w:i w:val="false"/>
                <w:iCs w:val="false"/>
                <w:color w:val="0B2545"/>
                <w:sz w:val="20"/>
                <w:szCs w:val="20"/>
              </w:rPr>
              <w:t xml:space="preserve">CHF 535.71</w:t>
            </w:r>
          </w:p>
        </w:tc>
      </w:tr>
    </w:tbl>
    <w:p>
      <w:pPr>
        <w:spacing w:before="20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E2E8F0" w:sz="4"/>
              <w:left w:val="single" w:color="00B8D9" w:sz="24"/>
              <w:bottom w:val="single" w:color="E2E8F0" w:sz="4"/>
              <w:right w:val="single" w:color="E2E8F0" w:sz="4"/>
            </w:tcBorders>
            <w:shd w:fill="F8FAFC" w:color="auto" w:val="clear"/>
            <w:tcMar>
              <w:top w:type="dxa" w:w="200"/>
              <w:left w:type="dxa" w:w="260"/>
              <w:bottom w:type="dxa" w:w="200"/>
              <w:right w:type="dxa" w:w="260"/>
            </w:tcMar>
          </w:tcPr>
          <w:p>
            <w:pPr>
              <w:spacing w:after="60"/>
            </w:pPr>
            <w:r>
              <w:rPr>
                <w:rFonts w:ascii="Calibri" w:cs="Calibri" w:eastAsia="Calibri" w:hAnsi="Calibri"/>
                <w:b/>
                <w:bCs/>
                <w:caps/>
                <w:color w:val="0B2545"/>
                <w:spacing w:val="60"/>
                <w:sz w:val="14"/>
                <w:szCs w:val="14"/>
              </w:rPr>
              <w:t xml:space="preserve">BEWUSST ZURÜCKHALTEND ANGESETZT</w:t>
            </w:r>
          </w:p>
          <w:p>
            <w:pPr>
              <w:spacing w:after="80" w:line="300" w:lineRule="auto"/>
            </w:pPr>
            <w:r>
              <w:rPr>
                <w:rFonts w:ascii="Calibri" w:cs="Calibri" w:eastAsia="Calibri" w:hAnsi="Calibri"/>
                <w:color w:val="0F172A"/>
                <w:sz w:val="20"/>
                <w:szCs w:val="20"/>
              </w:rPr>
              <w:t xml:space="preserve">Verwendet wird der Tagessatz aus der bestehenden Rechnung, obwohl es sich dort um einen Paketpreis für eine Sieben-Tage-Kampagne handelt.</w:t>
            </w:r>
          </w:p>
          <w:p>
            <w:pPr>
              <w:spacing w:after="80" w:line="300" w:lineRule="auto"/>
            </w:pPr>
            <w:r>
              <w:rPr>
                <w:rFonts w:ascii="Calibri" w:cs="Calibri" w:eastAsia="Calibri" w:hAnsi="Calibri"/>
                <w:color w:val="0F172A"/>
                <w:sz w:val="20"/>
                <w:szCs w:val="20"/>
              </w:rPr>
              <w:t xml:space="preserve">Ein Paketpreis enthält Rüstzeit, Kalibrierhaltung und Ausfallreserve, verteilt auf sieben Tage. Für zusätzliche Bindungstage ohne Deckungsbeitrag wäre ein höherer Ansatz begründbar.</w:t>
            </w:r>
          </w:p>
          <w:p>
            <w:pPr>
              <w:spacing w:line="300" w:lineRule="auto"/>
            </w:pPr>
            <w:r>
              <w:rPr>
                <w:rFonts w:ascii="Calibri" w:cs="Calibri" w:eastAsia="Calibri" w:hAnsi="Calibri"/>
                <w:color w:val="0F172A"/>
                <w:sz w:val="20"/>
                <w:szCs w:val="20"/>
              </w:rPr>
              <w:t xml:space="preserve">Darauf wird bewusst verzichtet, </w:t>
            </w:r>
            <w:r>
              <w:rPr>
                <w:rFonts w:ascii="Calibri" w:cs="Calibri" w:eastAsia="Calibri" w:hAnsi="Calibri"/>
                <w:b/>
                <w:bCs/>
                <w:color w:val="0B2545"/>
                <w:sz w:val="20"/>
                <w:szCs w:val="20"/>
              </w:rPr>
              <w:t xml:space="preserve">damit die Nachforderung an keiner Stelle über den Ansatz der eigenen Rechnung hinausgeht.</w:t>
            </w:r>
          </w:p>
        </w:tc>
      </w:tr>
    </w:tbl>
    <w:p>
      <w:pPr>
        <w:pStyle w:val="Heading2"/>
        <w:spacing w:after="100" w:before="260"/>
      </w:pPr>
      <w:r>
        <w:rPr>
          <w:rFonts w:ascii="Calibri" w:cs="Calibri" w:eastAsia="Calibri" w:hAnsi="Calibri"/>
          <w:b/>
          <w:bCs/>
          <w:color w:val="0B2545"/>
          <w:sz w:val="24"/>
          <w:szCs w:val="24"/>
        </w:rPr>
        <w:t xml:space="preserve">4  Position 6 · Auswertung</w:t>
      </w:r>
    </w:p>
    <w:p>
      <w:pPr>
        <w:spacing w:after="140" w:before="100" w:line="300" w:lineRule="auto"/>
      </w:pPr>
      <w:r>
        <w:rPr>
          <w:rFonts w:ascii="Calibri" w:cs="Calibri" w:eastAsia="Calibri" w:hAnsi="Calibri"/>
          <w:color w:val="0F172A"/>
          <w:sz w:val="20"/>
          <w:szCs w:val="20"/>
        </w:rPr>
        <w:t xml:space="preserve">Der Auswertungsaufwand steigt nicht proportional zur Datenmenge. Ein Teil der Arbeit ist von der Messdauer unabhängig.</w:t>
      </w:r>
    </w:p>
    <w:tbl>
      <w:tblPr>
        <w:tblW w:type="dxa" w:w="9360"/>
        <w:tblBorders>
          <w:top w:val="single" w:color="0B2545" w:sz="4"/>
          <w:left w:val="none" w:color="FFFFFF" w:sz="0"/>
          <w:bottom w:val="single" w:color="0B2545" w:sz="4"/>
          <w:right w:val="none" w:color="FFFFFF" w:sz="0"/>
          <w:insideH w:val="single" w:color="E2E8F0" w:sz="2"/>
          <w:insideV w:val="none" w:color="FFFFFF" w:sz="0"/>
        </w:tblBorders>
      </w:tblPr>
      <w:tblGrid>
        <w:gridCol w:w="4680"/>
        <w:gridCol w:w="4680"/>
      </w:tblGrid>
      <w:tr>
        <w:trPr>
          <w:tblHeader/>
        </w:trPr>
        <w:tc>
          <w:tcPr>
            <w:tcW w:type="dxa" w:w="468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VON DER DAUER UNABHÄNGIG</w:t>
            </w:r>
          </w:p>
        </w:tc>
        <w:tc>
          <w:tcPr>
            <w:tcW w:type="dxa" w:w="468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MIT DER DAUER WACHSEND</w:t>
            </w:r>
          </w:p>
        </w:tc>
      </w:tr>
      <w:tr>
        <w:tc>
          <w:tcPr>
            <w:tcW w:type="dxa" w:w="468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Gerätekonfiguration einlesen</w:t>
            </w:r>
          </w:p>
        </w:tc>
        <w:tc>
          <w:tcPr>
            <w:tcW w:type="dxa" w:w="468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Sichtung der Zeitreihen, 12 statt 7 Tage</w:t>
            </w:r>
          </w:p>
        </w:tc>
      </w:tr>
      <w:tr>
        <w:tc>
          <w:tcPr>
            <w:tcW w:type="dxa" w:w="468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95-Perzentil-Lauf je Bewertungsgrösse</w:t>
            </w:r>
          </w:p>
        </w:tc>
        <w:tc>
          <w:tcPr>
            <w:tcW w:type="dxa" w:w="468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Prüfung und Zuordnung der Ereignisse</w:t>
            </w:r>
          </w:p>
        </w:tc>
      </w:tr>
      <w:tr>
        <w:tc>
          <w:tcPr>
            <w:tcW w:type="dxa" w:w="468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Normvergleich nach EN 50160</w:t>
            </w:r>
          </w:p>
        </w:tc>
        <w:tc>
          <w:tcPr>
            <w:tcW w:type="dxa" w:w="468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Plausibilisierung je Messpunkt</w:t>
            </w:r>
          </w:p>
        </w:tc>
      </w:tr>
      <w:tr>
        <w:tc>
          <w:tcPr>
            <w:tcW w:type="dxa" w:w="468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Berichtsstruktur, Kapitel, Grafiken</w:t>
            </w:r>
          </w:p>
        </w:tc>
        <w:tc>
          <w:tcPr>
            <w:tcW w:type="dxa" w:w="468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Datenexport und Aufbereitung</w:t>
            </w:r>
          </w:p>
        </w:tc>
      </w:tr>
      <w:tr>
        <w:tc>
          <w:tcPr>
            <w:tcW w:type="dxa" w:w="468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Anlagenbeschreibung und Schema</w:t>
            </w:r>
          </w:p>
        </w:tc>
        <w:tc>
          <w:tcPr>
            <w:tcW w:type="dxa" w:w="468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64748B"/>
                <w:sz w:val="20"/>
                <w:szCs w:val="20"/>
              </w:rPr>
              <w:t xml:space="preserve">—</w:t>
            </w:r>
          </w:p>
        </w:tc>
      </w:tr>
    </w:tbl>
    <w:p>
      <w:pPr>
        <w:spacing w:after="140" w:before="200" w:line="300" w:lineRule="auto"/>
      </w:pPr>
      <w:r>
        <w:rPr>
          <w:rFonts w:ascii="Calibri" w:cs="Calibri" w:eastAsia="Calibri" w:hAnsi="Calibri"/>
          <w:color w:val="0F172A"/>
          <w:sz w:val="20"/>
          <w:szCs w:val="20"/>
        </w:rPr>
        <w:t xml:space="preserve">Statt einer pauschalen Fortschreibung der Position 6 wird der tatsächlich angefallene Zusatzaufwand einzeln ausgewiesen — das ist genauer und für dich nachprüfbar.</w:t>
      </w:r>
    </w:p>
    <w:tbl>
      <w:tblPr>
        <w:tblW w:type="dxa" w:w="9360"/>
        <w:tblBorders>
          <w:top w:val="single" w:color="0B2545" w:sz="4"/>
          <w:left w:val="none" w:color="FFFFFF" w:sz="0"/>
          <w:bottom w:val="single" w:color="0B2545" w:sz="4"/>
          <w:right w:val="none" w:color="FFFFFF" w:sz="0"/>
          <w:insideH w:val="single" w:color="E2E8F0" w:sz="2"/>
          <w:insideV w:val="none" w:color="FFFFFF" w:sz="0"/>
        </w:tblBorders>
      </w:tblPr>
      <w:tblGrid>
        <w:gridCol w:w="5000"/>
        <w:gridCol w:w="2500"/>
        <w:gridCol w:w="1860"/>
      </w:tblGrid>
      <w:tr>
        <w:trPr>
          <w:tblHeader/>
        </w:trPr>
        <w:tc>
          <w:tcPr>
            <w:tcW w:type="dxa" w:w="500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LEISTUNG</w:t>
            </w:r>
          </w:p>
        </w:tc>
        <w:tc>
          <w:tcPr>
            <w:tcW w:type="dxa" w:w="2500"/>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pacing w:val="40"/>
                <w:sz w:val="18"/>
                <w:szCs w:val="18"/>
              </w:rPr>
              <w:t xml:space="preserve">AUFWAND</w:t>
            </w:r>
          </w:p>
        </w:tc>
        <w:tc>
          <w:tcPr>
            <w:tcW w:type="dxa" w:w="1860"/>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pacing w:val="40"/>
                <w:sz w:val="18"/>
                <w:szCs w:val="18"/>
              </w:rPr>
              <w:t xml:space="preserve">BETRAG</w:t>
            </w:r>
          </w:p>
        </w:tc>
      </w:tr>
      <w:tr>
        <w:tc>
          <w:tcPr>
            <w:tcW w:type="dxa" w:w="50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Fernüberwachung, 5 zusätzliche Tageskontrollen</w:t>
            </w:r>
          </w:p>
        </w:tc>
        <w:tc>
          <w:tcPr>
            <w:tcW w:type="dxa" w:w="25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0.15 Tag</w:t>
            </w:r>
          </w:p>
        </w:tc>
        <w:tc>
          <w:tcPr>
            <w:tcW w:type="dxa" w:w="1860"/>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CHF 45.00</w:t>
            </w:r>
          </w:p>
        </w:tc>
      </w:tr>
      <w:tr>
        <w:tc>
          <w:tcPr>
            <w:tcW w:type="dxa" w:w="50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Umdisposition und Koordination des Abbautermins</w:t>
            </w:r>
          </w:p>
        </w:tc>
        <w:tc>
          <w:tcPr>
            <w:tcW w:type="dxa" w:w="250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0.25 Tag</w:t>
            </w:r>
          </w:p>
        </w:tc>
        <w:tc>
          <w:tcPr>
            <w:tcW w:type="dxa" w:w="1860"/>
            <w:shd w:fill="F8FAFC" w:color="auto" w:val="clear"/>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CHF 75.00</w:t>
            </w:r>
          </w:p>
        </w:tc>
      </w:tr>
      <w:tr>
        <w:tc>
          <w:tcPr>
            <w:tcW w:type="dxa" w:w="50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Auswertung der beiden Zusatzereignisse vom 16.08.2026</w:t>
            </w:r>
          </w:p>
        </w:tc>
        <w:tc>
          <w:tcPr>
            <w:tcW w:type="dxa" w:w="25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0.25 Tag</w:t>
            </w:r>
          </w:p>
        </w:tc>
        <w:tc>
          <w:tcPr>
            <w:tcW w:type="dxa" w:w="1860"/>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CHF 75.00</w:t>
            </w:r>
          </w:p>
        </w:tc>
      </w:tr>
      <w:tr>
        <w:tc>
          <w:tcPr>
            <w:tcW w:type="dxa" w:w="50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Erweiterte Ereignis- und Zeitreihenprüfung, 12 statt 7 Tage</w:t>
            </w:r>
          </w:p>
        </w:tc>
        <w:tc>
          <w:tcPr>
            <w:tcW w:type="dxa" w:w="250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0.25 Tag</w:t>
            </w:r>
          </w:p>
        </w:tc>
        <w:tc>
          <w:tcPr>
            <w:tcW w:type="dxa" w:w="1860"/>
            <w:shd w:fill="F8FAFC" w:color="auto" w:val="clear"/>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CHF 75.00</w:t>
            </w:r>
          </w:p>
        </w:tc>
      </w:tr>
    </w:tbl>
    <w:p>
      <w:pPr>
        <w:spacing w:before="4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000"/>
        <w:gridCol w:w="2500"/>
        <w:gridCol w:w="1860"/>
      </w:tblGrid>
      <w:tr>
        <w:tc>
          <w:tcPr>
            <w:tcW w:type="dxa" w:w="5000"/>
            <w:tcBorders>
              <w:top w:val="single" w:color="0B2545" w:sz="12"/>
              <w:left w:val="single" w:color="0B2545" w:sz="4"/>
              <w:bottom w:val="single" w:color="0B2545" w:sz="12"/>
              <w:right w:val="single" w:color="0B2545" w:sz="4"/>
            </w:tcBorders>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Summe Eigenaufwand</w:t>
            </w:r>
          </w:p>
        </w:tc>
        <w:tc>
          <w:tcPr>
            <w:tcW w:type="dxa" w:w="2500"/>
            <w:tcBorders>
              <w:top w:val="single" w:color="0B2545" w:sz="12"/>
              <w:left w:val="single" w:color="0B2545" w:sz="4"/>
              <w:bottom w:val="single" w:color="0B2545" w:sz="12"/>
              <w:right w:val="single" w:color="0B2545" w:sz="4"/>
            </w:tcBorders>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z w:val="22"/>
                <w:szCs w:val="22"/>
              </w:rPr>
              <w:t xml:space="preserve">0.90 Tag</w:t>
            </w:r>
          </w:p>
        </w:tc>
        <w:tc>
          <w:tcPr>
            <w:tcW w:type="dxa" w:w="1860"/>
            <w:tcBorders>
              <w:top w:val="single" w:color="0B2545" w:sz="12"/>
              <w:left w:val="single" w:color="0B2545" w:sz="4"/>
              <w:bottom w:val="single" w:color="0B2545" w:sz="12"/>
              <w:right w:val="single" w:color="0B2545" w:sz="4"/>
            </w:tcBorders>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z w:val="22"/>
                <w:szCs w:val="22"/>
              </w:rPr>
              <w:t xml:space="preserve">CHF 270.00</w:t>
            </w:r>
          </w:p>
        </w:tc>
      </w:tr>
    </w:tbl>
    <w:p>
      <w:pPr>
        <w:spacing w:after="0" w:before="160" w:line="300" w:lineRule="auto"/>
      </w:pPr>
      <w:r>
        <w:rPr>
          <w:rFonts w:ascii="Calibri" w:cs="Calibri" w:eastAsia="Calibri" w:hAnsi="Calibri"/>
          <w:color w:val="0F172A"/>
          <w:sz w:val="20"/>
          <w:szCs w:val="20"/>
        </w:rPr>
        <w:t xml:space="preserve">Angesetzter Tagessatz: </w:t>
      </w:r>
      <w:r>
        <w:rPr>
          <w:rFonts w:ascii="Calibri" w:cs="Calibri" w:eastAsia="Calibri" w:hAnsi="Calibri"/>
          <w:b/>
          <w:bCs/>
          <w:color w:val="0B2545"/>
          <w:sz w:val="20"/>
          <w:szCs w:val="20"/>
        </w:rPr>
        <w:t xml:space="preserve">CHF 300.00. </w:t>
      </w:r>
      <w:r>
        <w:rPr>
          <w:rFonts w:ascii="Calibri" w:cs="Calibri" w:eastAsia="Calibri" w:hAnsi="Calibri"/>
          <w:color w:val="334155"/>
          <w:sz w:val="20"/>
          <w:szCs w:val="20"/>
        </w:rPr>
        <w:t xml:space="preserve">Dieser Ansatz gilt für die Verlängerung, weil der Einstiegspreis der Rechnung 2026-0801 ausdrücklich für den vereinbarten Umfang von sieben Tagen kalkuliert war. Die Verlängerung war nicht Teil dieser Vereinbarung.</w:t>
      </w:r>
    </w:p>
    <w:p>
      <w:pPr>
        <w:pStyle w:val="Heading2"/>
        <w:spacing w:after="100" w:before="260"/>
      </w:pPr>
      <w:r>
        <w:rPr>
          <w:rFonts w:ascii="Calibri" w:cs="Calibri" w:eastAsia="Calibri" w:hAnsi="Calibri"/>
          <w:b/>
          <w:bCs/>
          <w:color w:val="0B2545"/>
          <w:sz w:val="24"/>
          <w:szCs w:val="24"/>
        </w:rPr>
        <w:t xml:space="preserve">5  Warum nicht einfach proportional gerechnet wird</w:t>
      </w:r>
    </w:p>
    <w:p>
      <w:pPr>
        <w:spacing w:before="4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E2E8F0" w:sz="4"/>
              <w:left w:val="single" w:color="00B8D9" w:sz="24"/>
              <w:bottom w:val="single" w:color="E2E8F0" w:sz="4"/>
              <w:right w:val="single" w:color="E2E8F0" w:sz="4"/>
            </w:tcBorders>
            <w:shd w:fill="F8FAFC" w:color="auto" w:val="clear"/>
            <w:tcMar>
              <w:top w:type="dxa" w:w="200"/>
              <w:left w:type="dxa" w:w="260"/>
              <w:bottom w:type="dxa" w:w="200"/>
              <w:right w:type="dxa" w:w="260"/>
            </w:tcMar>
          </w:tcPr>
          <w:p>
            <w:pPr>
              <w:spacing w:after="60"/>
            </w:pPr>
            <w:r>
              <w:rPr>
                <w:rFonts w:ascii="Calibri" w:cs="Calibri" w:eastAsia="Calibri" w:hAnsi="Calibri"/>
                <w:b/>
                <w:bCs/>
                <w:caps/>
                <w:color w:val="0B2545"/>
                <w:spacing w:val="60"/>
                <w:sz w:val="14"/>
                <w:szCs w:val="14"/>
              </w:rPr>
              <w:t xml:space="preserve">DIE EINFACHE RECHNUNG WÄRE TEURER GEWESEN</w:t>
            </w:r>
          </w:p>
          <w:p>
            <w:pPr>
              <w:spacing w:after="80" w:line="300" w:lineRule="auto"/>
            </w:pPr>
            <w:r>
              <w:rPr>
                <w:rFonts w:ascii="Calibri" w:cs="Calibri" w:eastAsia="Calibri" w:hAnsi="Calibri"/>
                <w:color w:val="0F172A"/>
                <w:sz w:val="20"/>
                <w:szCs w:val="20"/>
              </w:rPr>
              <w:t xml:space="preserve">Die Datenmenge wuchs um 71 %, von rund 201'600 auf rund 345'600 Drei-Sekunden-Werte je Gerät.</w:t>
            </w:r>
          </w:p>
          <w:p>
            <w:pPr>
              <w:spacing w:after="80" w:line="300" w:lineRule="auto"/>
            </w:pPr>
            <w:r>
              <w:rPr>
                <w:rFonts w:ascii="Calibri" w:cs="Calibri" w:eastAsia="Calibri" w:hAnsi="Calibri"/>
                <w:color w:val="0F172A"/>
                <w:sz w:val="20"/>
                <w:szCs w:val="20"/>
              </w:rPr>
              <w:t xml:space="preserve">Eine proportionale Fortschreibung der gesamten Rechnung ergäbe einen Nachtrag von rund </w:t>
            </w:r>
            <w:r>
              <w:rPr>
                <w:rFonts w:ascii="Calibri" w:cs="Calibri" w:eastAsia="Calibri" w:hAnsi="Calibri"/>
                <w:b/>
                <w:bCs/>
                <w:color w:val="334155"/>
                <w:sz w:val="20"/>
                <w:szCs w:val="20"/>
              </w:rPr>
              <w:t xml:space="preserve">CHF 1'320.</w:t>
            </w:r>
          </w:p>
          <w:p>
            <w:pPr>
              <w:spacing w:line="300" w:lineRule="auto"/>
            </w:pPr>
            <w:r>
              <w:rPr>
                <w:rFonts w:ascii="Calibri" w:cs="Calibri" w:eastAsia="Calibri" w:hAnsi="Calibri"/>
                <w:color w:val="0F172A"/>
                <w:sz w:val="20"/>
                <w:szCs w:val="20"/>
              </w:rPr>
              <w:t xml:space="preserve">Verrechnet werden stattdessen nur die tatsächlich betroffenen Positionen und der real angefallene Zusatzaufwand: </w:t>
            </w:r>
            <w:r>
              <w:rPr>
                <w:rFonts w:ascii="Calibri" w:cs="Calibri" w:eastAsia="Calibri" w:hAnsi="Calibri"/>
                <w:b/>
                <w:bCs/>
                <w:color w:val="0B2545"/>
                <w:sz w:val="20"/>
                <w:szCs w:val="20"/>
              </w:rPr>
              <w:t xml:space="preserve">CHF 800.00 statt CHF 1'320.</w:t>
            </w:r>
          </w:p>
        </w:tc>
      </w:tr>
    </w:tbl>
    <w:p>
      <w:pPr>
        <w:pStyle w:val="Heading2"/>
        <w:spacing w:after="100" w:before="260"/>
      </w:pPr>
      <w:r>
        <w:rPr>
          <w:rFonts w:ascii="Calibri" w:cs="Calibri" w:eastAsia="Calibri" w:hAnsi="Calibri"/>
          <w:b/>
          <w:bCs/>
          <w:color w:val="0B2545"/>
          <w:sz w:val="24"/>
          <w:szCs w:val="24"/>
        </w:rPr>
        <w:t xml:space="preserve">6  Was die Verlängerung fachlich erbracht hat</w:t>
      </w:r>
    </w:p>
    <w:p>
      <w:pPr>
        <w:spacing w:after="140" w:before="100" w:line="300" w:lineRule="auto"/>
      </w:pPr>
      <w:r>
        <w:rPr>
          <w:rFonts w:ascii="Calibri" w:cs="Calibri" w:eastAsia="Calibri" w:hAnsi="Calibri"/>
          <w:color w:val="0F172A"/>
          <w:sz w:val="20"/>
          <w:szCs w:val="20"/>
        </w:rPr>
        <w:t xml:space="preserve">Dieser Punkt ist für die Beurteilung wesentlich. Die Verlängerung hat nicht nur Zeit gekostet — sie hat den Beweiswert der Kampagne substanziell erhöht.</w:t>
      </w:r>
    </w:p>
    <w:tbl>
      <w:tblPr>
        <w:tblW w:type="dxa" w:w="9360"/>
        <w:tblBorders>
          <w:top w:val="single" w:color="0B2545" w:sz="4"/>
          <w:left w:val="none" w:color="FFFFFF" w:sz="0"/>
          <w:bottom w:val="single" w:color="0B2545" w:sz="4"/>
          <w:right w:val="none" w:color="FFFFFF" w:sz="0"/>
          <w:insideH w:val="single" w:color="E2E8F0" w:sz="2"/>
          <w:insideV w:val="none" w:color="FFFFFF" w:sz="0"/>
        </w:tblBorders>
      </w:tblPr>
      <w:tblGrid>
        <w:gridCol w:w="4200"/>
        <w:gridCol w:w="5160"/>
      </w:tblGrid>
      <w:tr>
        <w:trPr>
          <w:tblHeader/>
        </w:trPr>
        <w:tc>
          <w:tcPr>
            <w:tcW w:type="dxa" w:w="420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FESTSTELLUNG</w:t>
            </w:r>
          </w:p>
        </w:tc>
        <w:tc>
          <w:tcPr>
            <w:tcW w:type="dxa" w:w="516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BEDEUTUNG</w:t>
            </w:r>
          </w:p>
        </w:tc>
      </w:tr>
      <w:tr>
        <w:tc>
          <w:tcPr>
            <w:tcW w:type="dxa" w:w="4200"/>
            <w:tcMar>
              <w:top w:type="dxa" w:w="90"/>
              <w:left w:type="dxa" w:w="140"/>
              <w:bottom w:type="dxa" w:w="90"/>
              <w:right w:type="dxa" w:w="140"/>
            </w:tcMar>
            <w:vAlign w:val="center"/>
          </w:tcPr>
          <w:p>
            <w:pPr>
              <w:jc w:val="left"/>
            </w:pPr>
            <w:r>
              <w:rPr>
                <w:rFonts w:ascii="Calibri" w:cs="Calibri" w:eastAsia="Calibri" w:hAnsi="Calibri"/>
                <w:b/>
                <w:bCs/>
                <w:i w:val="false"/>
                <w:iCs w:val="false"/>
                <w:color w:val="0F172A"/>
                <w:sz w:val="20"/>
                <w:szCs w:val="20"/>
              </w:rPr>
              <w:t xml:space="preserve">2 der 5 tragenden Ereignisse stammen aus der Verlängerung</w:t>
            </w:r>
          </w:p>
        </w:tc>
        <w:tc>
          <w:tcPr>
            <w:tcW w:type="dxa" w:w="51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Die Ereignisse vom 16.08.2026 an MP-1 und MP-3 fielen in die Zusatzzeit. Der geplante Zeitraum endete am 12.08.2026.</w:t>
            </w:r>
          </w:p>
        </w:tc>
      </w:tr>
      <w:tr>
        <w:tc>
          <w:tcPr>
            <w:tcW w:type="dxa" w:w="4200"/>
            <w:shd w:fill="F8FAFC" w:color="auto" w:val="clear"/>
            <w:tcMar>
              <w:top w:type="dxa" w:w="90"/>
              <w:left w:type="dxa" w:w="140"/>
              <w:bottom w:type="dxa" w:w="90"/>
              <w:right w:type="dxa" w:w="140"/>
            </w:tcMar>
            <w:vAlign w:val="center"/>
          </w:tcPr>
          <w:p>
            <w:pPr>
              <w:jc w:val="left"/>
            </w:pPr>
            <w:r>
              <w:rPr>
                <w:rFonts w:ascii="Calibri" w:cs="Calibri" w:eastAsia="Calibri" w:hAnsi="Calibri"/>
                <w:b/>
                <w:bCs/>
                <w:i w:val="false"/>
                <w:iCs w:val="false"/>
                <w:color w:val="0F172A"/>
                <w:sz w:val="20"/>
                <w:szCs w:val="20"/>
              </w:rPr>
              <w:t xml:space="preserve">Bestätigung des Phasenmusters an einem zweiten Datum</w:t>
            </w:r>
          </w:p>
        </w:tc>
        <w:tc>
          <w:tcPr>
            <w:tcW w:type="dxa" w:w="51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Ohne die Verlängerung wäre die Reihenfolge L2 vor L3 vor L1 nur an einem einzigen Tag belegt gewesen.</w:t>
            </w:r>
          </w:p>
        </w:tc>
      </w:tr>
      <w:tr>
        <w:tc>
          <w:tcPr>
            <w:tcW w:type="dxa" w:w="4200"/>
            <w:tcMar>
              <w:top w:type="dxa" w:w="90"/>
              <w:left w:type="dxa" w:w="140"/>
              <w:bottom w:type="dxa" w:w="90"/>
              <w:right w:type="dxa" w:w="140"/>
            </w:tcMar>
            <w:vAlign w:val="center"/>
          </w:tcPr>
          <w:p>
            <w:pPr>
              <w:jc w:val="left"/>
            </w:pPr>
            <w:r>
              <w:rPr>
                <w:rFonts w:ascii="Calibri" w:cs="Calibri" w:eastAsia="Calibri" w:hAnsi="Calibri"/>
                <w:b/>
                <w:bCs/>
                <w:i w:val="false"/>
                <w:iCs w:val="false"/>
                <w:color w:val="0F172A"/>
                <w:sz w:val="20"/>
                <w:szCs w:val="20"/>
              </w:rPr>
              <w:t xml:space="preserve">Entlastungsbeweis für die Photovoltaikanlage</w:t>
            </w:r>
          </w:p>
        </w:tc>
        <w:tc>
          <w:tcPr>
            <w:tcW w:type="dxa" w:w="51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Der Konstantleistungs-Test, der die PV-Anlage als Verursacherin ausschliesst, stützt sich auf das Ereignis vom 16.08.2026. Ohne die Verlängerung wäre dieser Nachweis nicht möglich gewesen.</w:t>
            </w:r>
          </w:p>
        </w:tc>
      </w:tr>
      <w:tr>
        <w:tc>
          <w:tcPr>
            <w:tcW w:type="dxa" w:w="4200"/>
            <w:shd w:fill="F8FAFC" w:color="auto" w:val="clear"/>
            <w:tcMar>
              <w:top w:type="dxa" w:w="90"/>
              <w:left w:type="dxa" w:w="140"/>
              <w:bottom w:type="dxa" w:w="90"/>
              <w:right w:type="dxa" w:w="140"/>
            </w:tcMar>
            <w:vAlign w:val="center"/>
          </w:tcPr>
          <w:p>
            <w:pPr>
              <w:jc w:val="left"/>
            </w:pPr>
            <w:r>
              <w:rPr>
                <w:rFonts w:ascii="Calibri" w:cs="Calibri" w:eastAsia="Calibri" w:hAnsi="Calibri"/>
                <w:b/>
                <w:bCs/>
                <w:i w:val="false"/>
                <w:iCs w:val="false"/>
                <w:color w:val="0F172A"/>
                <w:sz w:val="20"/>
                <w:szCs w:val="20"/>
              </w:rPr>
              <w:t xml:space="preserve">Zweite Ereignisserie als Muster</w:t>
            </w:r>
          </w:p>
        </w:tc>
        <w:tc>
          <w:tcPr>
            <w:tcW w:type="dxa" w:w="51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Erst zwei Serien an zwei verschiedenen Tagen belegen wiederkehrende Schaltvorgänge statt eines Einzelfalls.</w:t>
            </w:r>
          </w:p>
        </w:tc>
      </w:tr>
      <w:tr>
        <w:tc>
          <w:tcPr>
            <w:tcW w:type="dxa" w:w="4200"/>
            <w:tcMar>
              <w:top w:type="dxa" w:w="90"/>
              <w:left w:type="dxa" w:w="140"/>
              <w:bottom w:type="dxa" w:w="90"/>
              <w:right w:type="dxa" w:w="140"/>
            </w:tcMar>
            <w:vAlign w:val="center"/>
          </w:tcPr>
          <w:p>
            <w:pPr>
              <w:jc w:val="left"/>
            </w:pPr>
            <w:r>
              <w:rPr>
                <w:rFonts w:ascii="Calibri" w:cs="Calibri" w:eastAsia="Calibri" w:hAnsi="Calibri"/>
                <w:b/>
                <w:bCs/>
                <w:i w:val="false"/>
                <w:iCs w:val="false"/>
                <w:color w:val="0F172A"/>
                <w:sz w:val="20"/>
                <w:szCs w:val="20"/>
              </w:rPr>
              <w:t xml:space="preserve">Robustere normative Basis</w:t>
            </w:r>
          </w:p>
        </w:tc>
        <w:tc>
          <w:tcPr>
            <w:tcW w:type="dxa" w:w="51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EN-50160-Bewertung über 1.71 statt 1.0 Wochen.</w:t>
            </w:r>
          </w:p>
        </w:tc>
      </w:tr>
    </w:tbl>
    <w:p>
      <w:pPr>
        <w:spacing w:after="0" w:before="160" w:line="300" w:lineRule="auto"/>
      </w:pPr>
      <w:r>
        <w:rPr>
          <w:rFonts w:ascii="Calibri" w:cs="Calibri" w:eastAsia="Calibri" w:hAnsi="Calibri"/>
          <w:color w:val="0F172A"/>
          <w:sz w:val="20"/>
          <w:szCs w:val="20"/>
        </w:rPr>
        <w:t xml:space="preserve">Ohne diese fünf Tage stünde im Schlussbericht bei mehreren Kernaussagen ein </w:t>
      </w:r>
      <w:r>
        <w:rPr>
          <w:rFonts w:ascii="Calibri" w:cs="Calibri" w:eastAsia="Calibri" w:hAnsi="Calibri"/>
          <w:b/>
          <w:bCs/>
          <w:color w:val="0B2545"/>
          <w:sz w:val="20"/>
          <w:szCs w:val="20"/>
        </w:rPr>
        <w:t xml:space="preserve">Vorbehalt statt eines Nachweises.</w:t>
      </w:r>
    </w:p>
    <w:p>
      <w:pPr>
        <w:spacing w:after="60" w:before="220"/>
      </w:pPr>
      <w:r>
        <w:rPr>
          <w:rFonts w:ascii="Calibri" w:cs="Calibri" w:eastAsia="Calibri" w:hAnsi="Calibri"/>
          <w:b/>
          <w:bCs/>
          <w:caps/>
          <w:color w:val="00B8D9"/>
          <w:spacing w:val="60"/>
          <w:sz w:val="14"/>
          <w:szCs w:val="14"/>
        </w:rPr>
        <w:t xml:space="preserve">NICHT VERRECHNET</w:t>
      </w:r>
    </w:p>
    <w:p>
      <w:pPr>
        <w:pStyle w:val="ListParagraph"/>
        <w:numPr>
          <w:ilvl w:val="0"/>
          <w:numId w:val="2"/>
        </w:numPr>
        <w:spacing w:after="40"/>
      </w:pPr>
      <w:r>
        <w:rPr>
          <w:rFonts w:ascii="Calibri" w:cs="Calibri" w:eastAsia="Calibri" w:hAnsi="Calibri"/>
          <w:color w:val="0F172A"/>
          <w:sz w:val="20"/>
          <w:szCs w:val="20"/>
        </w:rPr>
        <w:t xml:space="preserve">Zusätzliche Anfahrt für den späteren Abbau — es war keine zusätzliche Fahrt nötig.</w:t>
      </w:r>
    </w:p>
    <w:p>
      <w:pPr>
        <w:pStyle w:val="ListParagraph"/>
        <w:numPr>
          <w:ilvl w:val="0"/>
          <w:numId w:val="2"/>
        </w:numPr>
        <w:spacing w:after="40"/>
      </w:pPr>
      <w:r>
        <w:rPr>
          <w:rFonts w:ascii="Calibri" w:cs="Calibri" w:eastAsia="Calibri" w:hAnsi="Calibri"/>
          <w:color w:val="0F172A"/>
          <w:sz w:val="20"/>
          <w:szCs w:val="20"/>
        </w:rPr>
        <w:t xml:space="preserve">Mehraufwand für die drei Geräteauswertungen, die drei Übereinstimmungsberichte und die Bilddokumentation.</w:t>
      </w:r>
    </w:p>
    <w:p>
      <w:pPr>
        <w:pStyle w:val="ListParagraph"/>
        <w:numPr>
          <w:ilvl w:val="0"/>
          <w:numId w:val="2"/>
        </w:numPr>
        <w:spacing w:after="40"/>
      </w:pPr>
      <w:r>
        <w:rPr>
          <w:rFonts w:ascii="Calibri" w:cs="Calibri" w:eastAsia="Calibri" w:hAnsi="Calibri"/>
          <w:color w:val="0F172A"/>
          <w:sz w:val="20"/>
          <w:szCs w:val="20"/>
        </w:rPr>
        <w:t xml:space="preserve">Die Positionen 1 bis 3, 5, 7 und 8 der Rechnung 2026-0801 bleiben unverändert.</w:t>
      </w:r>
    </w:p>
    <w:p>
      <w:pPr>
        <w:pStyle w:val="Heading2"/>
        <w:spacing w:after="100" w:before="260"/>
      </w:pPr>
      <w:r>
        <w:rPr>
          <w:rFonts w:ascii="Calibri" w:cs="Calibri" w:eastAsia="Calibri" w:hAnsi="Calibri"/>
          <w:b/>
          <w:bCs/>
          <w:color w:val="0B2545"/>
          <w:sz w:val="24"/>
          <w:szCs w:val="24"/>
        </w:rPr>
        <w:t xml:space="preserve">7  Zusammenzug</w:t>
      </w:r>
    </w:p>
    <w:tbl>
      <w:tblPr>
        <w:tblW w:type="dxa" w:w="9360"/>
        <w:tblBorders>
          <w:top w:val="single" w:color="0B2545" w:sz="4"/>
          <w:left w:val="none" w:color="FFFFFF" w:sz="0"/>
          <w:bottom w:val="single" w:color="0B2545" w:sz="4"/>
          <w:right w:val="none" w:color="FFFFFF" w:sz="0"/>
          <w:insideH w:val="single" w:color="E2E8F0" w:sz="2"/>
          <w:insideV w:val="none" w:color="FFFFFF" w:sz="0"/>
        </w:tblBorders>
      </w:tblPr>
      <w:tblGrid>
        <w:gridCol w:w="5000"/>
        <w:gridCol w:w="2500"/>
        <w:gridCol w:w="1860"/>
      </w:tblGrid>
      <w:tr>
        <w:trPr>
          <w:tblHeader/>
        </w:trPr>
        <w:tc>
          <w:tcPr>
            <w:tcW w:type="dxa" w:w="500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POSITION</w:t>
            </w:r>
          </w:p>
        </w:tc>
        <w:tc>
          <w:tcPr>
            <w:tcW w:type="dxa" w:w="2500"/>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pacing w:val="40"/>
                <w:sz w:val="18"/>
                <w:szCs w:val="18"/>
              </w:rPr>
              <w:t xml:space="preserve">ANSATZ</w:t>
            </w:r>
          </w:p>
        </w:tc>
        <w:tc>
          <w:tcPr>
            <w:tcW w:type="dxa" w:w="1860"/>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pacing w:val="40"/>
                <w:sz w:val="18"/>
                <w:szCs w:val="18"/>
              </w:rPr>
              <w:t xml:space="preserve">CHF</w:t>
            </w:r>
          </w:p>
        </w:tc>
      </w:tr>
      <w:tr>
        <w:tc>
          <w:tcPr>
            <w:tcW w:type="dxa" w:w="50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Gerätebereitstellung, 5 zusätzliche Tage</w:t>
            </w:r>
          </w:p>
        </w:tc>
        <w:tc>
          <w:tcPr>
            <w:tcW w:type="dxa" w:w="25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5 × 107.14</w:t>
            </w:r>
          </w:p>
        </w:tc>
        <w:tc>
          <w:tcPr>
            <w:tcW w:type="dxa" w:w="1860"/>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535.71</w:t>
            </w:r>
          </w:p>
        </w:tc>
      </w:tr>
      <w:tr>
        <w:tc>
          <w:tcPr>
            <w:tcW w:type="dxa" w:w="50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Fernüberwachung, 5 Zusatzkontrollen</w:t>
            </w:r>
          </w:p>
        </w:tc>
        <w:tc>
          <w:tcPr>
            <w:tcW w:type="dxa" w:w="250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0.15 Tag × 300</w:t>
            </w:r>
          </w:p>
        </w:tc>
        <w:tc>
          <w:tcPr>
            <w:tcW w:type="dxa" w:w="1860"/>
            <w:shd w:fill="F8FAFC" w:color="auto" w:val="clear"/>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45.00</w:t>
            </w:r>
          </w:p>
        </w:tc>
      </w:tr>
      <w:tr>
        <w:tc>
          <w:tcPr>
            <w:tcW w:type="dxa" w:w="50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Umdisposition Abbautermin</w:t>
            </w:r>
          </w:p>
        </w:tc>
        <w:tc>
          <w:tcPr>
            <w:tcW w:type="dxa" w:w="25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0.25 Tag × 300</w:t>
            </w:r>
          </w:p>
        </w:tc>
        <w:tc>
          <w:tcPr>
            <w:tcW w:type="dxa" w:w="1860"/>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75.00</w:t>
            </w:r>
          </w:p>
        </w:tc>
      </w:tr>
      <w:tr>
        <w:tc>
          <w:tcPr>
            <w:tcW w:type="dxa" w:w="50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Auswertung Zusatzereignisse 16.08.2026</w:t>
            </w:r>
          </w:p>
        </w:tc>
        <w:tc>
          <w:tcPr>
            <w:tcW w:type="dxa" w:w="250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0.25 Tag × 300</w:t>
            </w:r>
          </w:p>
        </w:tc>
        <w:tc>
          <w:tcPr>
            <w:tcW w:type="dxa" w:w="1860"/>
            <w:shd w:fill="F8FAFC" w:color="auto" w:val="clear"/>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75.00</w:t>
            </w:r>
          </w:p>
        </w:tc>
      </w:tr>
      <w:tr>
        <w:tc>
          <w:tcPr>
            <w:tcW w:type="dxa" w:w="50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Erweiterte Ereignisprüfung 12 statt 7 Tage</w:t>
            </w:r>
          </w:p>
        </w:tc>
        <w:tc>
          <w:tcPr>
            <w:tcW w:type="dxa" w:w="25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0.25 Tag × 300</w:t>
            </w:r>
          </w:p>
        </w:tc>
        <w:tc>
          <w:tcPr>
            <w:tcW w:type="dxa" w:w="1860"/>
            <w:tcMar>
              <w:top w:type="dxa" w:w="90"/>
              <w:left w:type="dxa" w:w="140"/>
              <w:bottom w:type="dxa" w:w="90"/>
              <w:right w:type="dxa" w:w="140"/>
            </w:tcMar>
            <w:vAlign w:val="center"/>
          </w:tcPr>
          <w:p>
            <w:pPr>
              <w:jc w:val="right"/>
            </w:pPr>
            <w:r>
              <w:rPr>
                <w:rFonts w:ascii="Calibri" w:cs="Calibri" w:eastAsia="Calibri" w:hAnsi="Calibri"/>
                <w:b/>
                <w:bCs/>
                <w:i w:val="false"/>
                <w:iCs w:val="false"/>
                <w:color w:val="0F172A"/>
                <w:sz w:val="20"/>
                <w:szCs w:val="20"/>
              </w:rPr>
              <w:t xml:space="preserve">75.00</w:t>
            </w:r>
          </w:p>
        </w:tc>
      </w:tr>
    </w:tbl>
    <w:p>
      <w:pPr>
        <w:spacing w:before="4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000"/>
        <w:gridCol w:w="2500"/>
        <w:gridCol w:w="1860"/>
      </w:tblGrid>
      <w:tr>
        <w:tc>
          <w:tcPr>
            <w:tcW w:type="dxa" w:w="5000"/>
            <w:tcBorders>
              <w:top w:val="single" w:color="00B8D9" w:sz="6"/>
              <w:left w:val="single" w:color="00B8D9" w:sz="4"/>
              <w:bottom w:val="single" w:color="00B8D9" w:sz="6"/>
              <w:right w:val="single" w:color="00B8D9" w:sz="4"/>
            </w:tcBorders>
            <w:shd w:fill="EAF7FB" w:color="auto" w:val="clear"/>
            <w:tcMar>
              <w:top w:type="dxa" w:w="120"/>
              <w:left w:type="dxa" w:w="140"/>
              <w:bottom w:type="dxa" w:w="120"/>
              <w:right w:type="dxa" w:w="140"/>
            </w:tcMar>
            <w:vAlign w:val="center"/>
          </w:tcPr>
          <w:p>
            <w:pPr>
              <w:jc w:val="left"/>
            </w:pPr>
            <w:r>
              <w:rPr>
                <w:rFonts w:ascii="Calibri" w:cs="Calibri" w:eastAsia="Calibri" w:hAnsi="Calibri"/>
                <w:b/>
                <w:bCs/>
                <w:color w:val="0B2545"/>
                <w:sz w:val="20"/>
                <w:szCs w:val="20"/>
              </w:rPr>
              <w:t xml:space="preserve">Zwischensumme</w:t>
            </w:r>
          </w:p>
        </w:tc>
        <w:tc>
          <w:tcPr>
            <w:tcW w:type="dxa" w:w="2500"/>
            <w:tcBorders>
              <w:top w:val="single" w:color="00B8D9" w:sz="6"/>
              <w:left w:val="single" w:color="00B8D9" w:sz="4"/>
              <w:bottom w:val="single" w:color="00B8D9" w:sz="6"/>
              <w:right w:val="single" w:color="00B8D9" w:sz="4"/>
            </w:tcBorders>
            <w:shd w:fill="EAF7FB" w:color="auto" w:val="clear"/>
            <w:tcMar>
              <w:top w:type="dxa" w:w="120"/>
              <w:left w:type="dxa" w:w="140"/>
              <w:bottom w:type="dxa" w:w="120"/>
              <w:right w:type="dxa" w:w="140"/>
            </w:tcMar>
            <w:vAlign w:val="center"/>
          </w:tcPr>
          <w:p>
            <w:pPr>
              <w:jc w:val="left"/>
            </w:pPr>
            <w:r>
              <w:rPr>
                <w:rFonts w:ascii="Calibri" w:cs="Calibri" w:eastAsia="Calibri" w:hAnsi="Calibri"/>
                <w:b/>
                <w:bCs/>
                <w:color w:val="0B2545"/>
                <w:sz w:val="20"/>
                <w:szCs w:val="20"/>
              </w:rPr>
              <w:t xml:space="preserve"/>
            </w:r>
          </w:p>
        </w:tc>
        <w:tc>
          <w:tcPr>
            <w:tcW w:type="dxa" w:w="1860"/>
            <w:tcBorders>
              <w:top w:val="single" w:color="00B8D9" w:sz="6"/>
              <w:left w:val="single" w:color="00B8D9" w:sz="4"/>
              <w:bottom w:val="single" w:color="00B8D9" w:sz="6"/>
              <w:right w:val="single" w:color="00B8D9" w:sz="4"/>
            </w:tcBorders>
            <w:shd w:fill="EAF7FB" w:color="auto" w:val="clear"/>
            <w:tcMar>
              <w:top w:type="dxa" w:w="120"/>
              <w:left w:type="dxa" w:w="140"/>
              <w:bottom w:type="dxa" w:w="120"/>
              <w:right w:type="dxa" w:w="140"/>
            </w:tcMar>
            <w:vAlign w:val="center"/>
          </w:tcPr>
          <w:p>
            <w:pPr>
              <w:jc w:val="right"/>
            </w:pPr>
            <w:r>
              <w:rPr>
                <w:rFonts w:ascii="Calibri" w:cs="Calibri" w:eastAsia="Calibri" w:hAnsi="Calibri"/>
                <w:b/>
                <w:bCs/>
                <w:color w:val="0B2545"/>
                <w:sz w:val="20"/>
                <w:szCs w:val="20"/>
              </w:rPr>
              <w:t xml:space="preserve">805.71</w:t>
            </w:r>
          </w:p>
        </w:tc>
      </w:tr>
      <w:tr>
        <w:tc>
          <w:tcPr>
            <w:tcW w:type="dxa" w:w="50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334155"/>
                <w:sz w:val="20"/>
                <w:szCs w:val="20"/>
              </w:rPr>
              <w:t xml:space="preserve">Rundung</w:t>
            </w:r>
          </w:p>
        </w:tc>
        <w:tc>
          <w:tcPr>
            <w:tcW w:type="dxa" w:w="25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
            </w:r>
          </w:p>
        </w:tc>
        <w:tc>
          <w:tcPr>
            <w:tcW w:type="dxa" w:w="186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−5.71</w:t>
            </w:r>
          </w:p>
        </w:tc>
      </w:tr>
      <w:tr>
        <w:tc>
          <w:tcPr>
            <w:tcW w:type="dxa" w:w="5000"/>
            <w:tcBorders>
              <w:top w:val="single" w:color="0B2545" w:sz="12"/>
              <w:left w:val="single" w:color="0B2545" w:sz="4"/>
              <w:bottom w:val="single" w:color="0B2545" w:sz="12"/>
              <w:right w:val="single" w:color="0B2545" w:sz="4"/>
            </w:tcBorders>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TOTAL NACHTRAG OHNE MWST</w:t>
            </w:r>
          </w:p>
        </w:tc>
        <w:tc>
          <w:tcPr>
            <w:tcW w:type="dxa" w:w="2500"/>
            <w:tcBorders>
              <w:top w:val="single" w:color="0B2545" w:sz="12"/>
              <w:left w:val="single" w:color="0B2545" w:sz="4"/>
              <w:bottom w:val="single" w:color="0B2545" w:sz="12"/>
              <w:right w:val="single" w:color="0B2545" w:sz="4"/>
            </w:tcBorders>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z w:val="22"/>
                <w:szCs w:val="22"/>
              </w:rPr>
              <w:t xml:space="preserve"/>
            </w:r>
          </w:p>
        </w:tc>
        <w:tc>
          <w:tcPr>
            <w:tcW w:type="dxa" w:w="1860"/>
            <w:tcBorders>
              <w:top w:val="single" w:color="0B2545" w:sz="12"/>
              <w:left w:val="single" w:color="0B2545" w:sz="4"/>
              <w:bottom w:val="single" w:color="0B2545" w:sz="12"/>
              <w:right w:val="single" w:color="0B2545" w:sz="4"/>
            </w:tcBorders>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z w:val="22"/>
                <w:szCs w:val="22"/>
              </w:rPr>
              <w:t xml:space="preserve">CHF 800.00</w:t>
            </w:r>
          </w:p>
        </w:tc>
      </w:tr>
    </w:tbl>
    <w:p>
      <w:pPr>
        <w:pStyle w:val="Heading2"/>
        <w:spacing w:after="100" w:before="260"/>
      </w:pPr>
      <w:r>
        <w:rPr>
          <w:rFonts w:ascii="Calibri" w:cs="Calibri" w:eastAsia="Calibri" w:hAnsi="Calibri"/>
          <w:b/>
          <w:bCs/>
          <w:color w:val="0B2545"/>
          <w:sz w:val="24"/>
          <w:szCs w:val="24"/>
        </w:rPr>
        <w:t xml:space="preserve">8  Einordnung</w:t>
      </w:r>
    </w:p>
    <w:tbl>
      <w:tblPr>
        <w:tblW w:type="dxa" w:w="9360"/>
        <w:tblBorders>
          <w:top w:val="single" w:color="0B2545" w:sz="4"/>
          <w:left w:val="none" w:color="FFFFFF" w:sz="0"/>
          <w:bottom w:val="single" w:color="0B2545" w:sz="4"/>
          <w:right w:val="none" w:color="FFFFFF" w:sz="0"/>
          <w:insideH w:val="single" w:color="E2E8F0" w:sz="2"/>
          <w:insideV w:val="none" w:color="FFFFFF" w:sz="0"/>
        </w:tblBorders>
      </w:tblPr>
      <w:tblGrid>
        <w:gridCol w:w="4400"/>
        <w:gridCol w:w="2800"/>
        <w:gridCol w:w="2160"/>
      </w:tblGrid>
      <w:tr>
        <w:trPr>
          <w:tblHeader/>
        </w:trPr>
        <w:tc>
          <w:tcPr>
            <w:tcW w:type="dxa" w:w="440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GRÖSSE</w:t>
            </w:r>
          </w:p>
        </w:tc>
        <w:tc>
          <w:tcPr>
            <w:tcW w:type="dxa" w:w="2800"/>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pacing w:val="40"/>
                <w:sz w:val="18"/>
                <w:szCs w:val="18"/>
              </w:rPr>
              <w:t xml:space="preserve">BETRAG</w:t>
            </w:r>
          </w:p>
        </w:tc>
        <w:tc>
          <w:tcPr>
            <w:tcW w:type="dxa" w:w="2160"/>
            <w:shd w:fill="0B2545" w:color="auto" w:val="clear"/>
            <w:tcMar>
              <w:top w:type="dxa" w:w="120"/>
              <w:left w:type="dxa" w:w="140"/>
              <w:bottom w:type="dxa" w:w="120"/>
              <w:right w:type="dxa" w:w="140"/>
            </w:tcMar>
            <w:vAlign w:val="center"/>
          </w:tcPr>
          <w:p>
            <w:pPr>
              <w:jc w:val="right"/>
            </w:pPr>
            <w:r>
              <w:rPr>
                <w:rFonts w:ascii="Calibri" w:cs="Calibri" w:eastAsia="Calibri" w:hAnsi="Calibri"/>
                <w:b/>
                <w:bCs/>
                <w:color w:val="FFFFFF"/>
                <w:spacing w:val="40"/>
                <w:sz w:val="18"/>
                <w:szCs w:val="18"/>
              </w:rPr>
              <w:t xml:space="preserve">ANTEIL</w:t>
            </w:r>
          </w:p>
        </w:tc>
      </w:tr>
      <w:tr>
        <w:tc>
          <w:tcPr>
            <w:tcW w:type="dxa" w:w="44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Rechnung 2026-0801</w:t>
            </w:r>
          </w:p>
        </w:tc>
        <w:tc>
          <w:tcPr>
            <w:tcW w:type="dxa" w:w="280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0F172A"/>
                <w:sz w:val="20"/>
                <w:szCs w:val="20"/>
              </w:rPr>
              <w:t xml:space="preserve">CHF 1'850.00</w:t>
            </w:r>
          </w:p>
        </w:tc>
        <w:tc>
          <w:tcPr>
            <w:tcW w:type="dxa" w:w="2160"/>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100 %</w:t>
            </w:r>
          </w:p>
        </w:tc>
      </w:tr>
      <w:tr>
        <w:tc>
          <w:tcPr>
            <w:tcW w:type="dxa" w:w="44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Nachtrag 2026-0802</w:t>
            </w:r>
          </w:p>
        </w:tc>
        <w:tc>
          <w:tcPr>
            <w:tcW w:type="dxa" w:w="280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0F172A"/>
                <w:sz w:val="20"/>
                <w:szCs w:val="20"/>
              </w:rPr>
              <w:t xml:space="preserve">CHF 800.00</w:t>
            </w:r>
          </w:p>
        </w:tc>
        <w:tc>
          <w:tcPr>
            <w:tcW w:type="dxa" w:w="2160"/>
            <w:shd w:fill="F8FAFC" w:color="auto" w:val="clear"/>
            <w:tcMar>
              <w:top w:type="dxa" w:w="90"/>
              <w:left w:type="dxa" w:w="140"/>
              <w:bottom w:type="dxa" w:w="90"/>
              <w:right w:type="dxa" w:w="140"/>
            </w:tcMar>
            <w:vAlign w:val="center"/>
          </w:tcPr>
          <w:p>
            <w:pPr>
              <w:jc w:val="right"/>
            </w:pPr>
            <w:r>
              <w:rPr>
                <w:rFonts w:ascii="Calibri" w:cs="Calibri" w:eastAsia="Calibri" w:hAnsi="Calibri"/>
                <w:b w:val="false"/>
                <w:bCs w:val="false"/>
                <w:i w:val="false"/>
                <w:iCs w:val="false"/>
                <w:color w:val="334155"/>
                <w:sz w:val="20"/>
                <w:szCs w:val="20"/>
              </w:rPr>
              <w:t xml:space="preserve">43.2 %</w:t>
            </w:r>
          </w:p>
        </w:tc>
      </w:tr>
      <w:tr>
        <w:tc>
          <w:tcPr>
            <w:tcW w:type="dxa" w:w="4400"/>
            <w:tcMar>
              <w:top w:type="dxa" w:w="90"/>
              <w:left w:type="dxa" w:w="140"/>
              <w:bottom w:type="dxa" w:w="90"/>
              <w:right w:type="dxa" w:w="140"/>
            </w:tcMar>
            <w:vAlign w:val="center"/>
          </w:tcPr>
          <w:p>
            <w:pPr>
              <w:jc w:val="left"/>
            </w:pPr>
            <w:r>
              <w:rPr>
                <w:rFonts w:ascii="Calibri" w:cs="Calibri" w:eastAsia="Calibri" w:hAnsi="Calibri"/>
                <w:b/>
                <w:bCs/>
                <w:i w:val="false"/>
                <w:iCs w:val="false"/>
                <w:color w:val="0B2545"/>
                <w:sz w:val="20"/>
                <w:szCs w:val="20"/>
              </w:rPr>
              <w:t xml:space="preserve">Gesamtsumme Projekt</w:t>
            </w:r>
          </w:p>
        </w:tc>
        <w:tc>
          <w:tcPr>
            <w:tcW w:type="dxa" w:w="2800"/>
            <w:tcMar>
              <w:top w:type="dxa" w:w="90"/>
              <w:left w:type="dxa" w:w="140"/>
              <w:bottom w:type="dxa" w:w="90"/>
              <w:right w:type="dxa" w:w="140"/>
            </w:tcMar>
            <w:vAlign w:val="center"/>
          </w:tcPr>
          <w:p>
            <w:pPr>
              <w:jc w:val="right"/>
            </w:pPr>
            <w:r>
              <w:rPr>
                <w:rFonts w:ascii="Calibri" w:cs="Calibri" w:eastAsia="Calibri" w:hAnsi="Calibri"/>
                <w:b/>
                <w:bCs/>
                <w:i w:val="false"/>
                <w:iCs w:val="false"/>
                <w:color w:val="0B2545"/>
                <w:sz w:val="20"/>
                <w:szCs w:val="20"/>
              </w:rPr>
              <w:t xml:space="preserve">CHF 2'650.00</w:t>
            </w:r>
          </w:p>
        </w:tc>
        <w:tc>
          <w:tcPr>
            <w:tcW w:type="dxa" w:w="2160"/>
            <w:tcMar>
              <w:top w:type="dxa" w:w="90"/>
              <w:left w:type="dxa" w:w="140"/>
              <w:bottom w:type="dxa" w:w="90"/>
              <w:right w:type="dxa" w:w="140"/>
            </w:tcMar>
            <w:vAlign w:val="center"/>
          </w:tcPr>
          <w:p>
            <w:pPr>
              <w:jc w:val="right"/>
            </w:pPr>
            <w:r>
              <w:rPr>
                <w:rFonts w:ascii="Calibri" w:cs="Calibri" w:eastAsia="Calibri" w:hAnsi="Calibri"/>
                <w:b/>
                <w:bCs/>
                <w:i w:val="false"/>
                <w:iCs w:val="false"/>
                <w:color w:val="0B2545"/>
                <w:sz w:val="20"/>
                <w:szCs w:val="20"/>
              </w:rPr>
              <w:t xml:space="preserve">143.2 %</w:t>
            </w:r>
          </w:p>
        </w:tc>
      </w:tr>
    </w:tbl>
    <w:p>
      <w:pPr>
        <w:spacing w:after="0" w:before="120" w:line="300" w:lineRule="auto"/>
      </w:pPr>
      <w:r>
        <w:rPr>
          <w:rFonts w:ascii="Calibri" w:cs="Calibri" w:eastAsia="Calibri" w:hAnsi="Calibri"/>
          <w:color w:val="334155"/>
          <w:sz w:val="20"/>
          <w:szCs w:val="20"/>
        </w:rPr>
        <w:t xml:space="preserve">Die Messdauer stieg um 71 %, die Rechnungssumme um 43.2 %. Der Nachtrag liegt damit deutlich unter einer proportionalen Fortschreibung. Der Grund: sechs von acht Positionen der Grundrechnung sind von der Verlängerung nicht betroffen und bleiben unverändert.</w:t>
      </w:r>
    </w:p>
    <w:p>
      <w:pPr>
        <w:pStyle w:val="Heading2"/>
        <w:spacing w:after="100" w:before="260"/>
      </w:pPr>
      <w:r>
        <w:rPr>
          <w:rFonts w:ascii="Calibri" w:cs="Calibri" w:eastAsia="Calibri" w:hAnsi="Calibri"/>
          <w:b/>
          <w:bCs/>
          <w:color w:val="0B2545"/>
          <w:sz w:val="24"/>
          <w:szCs w:val="24"/>
        </w:rPr>
        <w:t xml:space="preserve">9  Was zusätzlich geleistet und nicht verrechnet wurde</w:t>
      </w:r>
    </w:p>
    <w:p>
      <w:pPr>
        <w:spacing w:after="160" w:line="300" w:lineRule="auto"/>
      </w:pPr>
      <w:r>
        <w:rPr>
          <w:rFonts w:ascii="Calibri" w:cs="Calibri" w:eastAsia="Calibri" w:hAnsi="Calibri"/>
          <w:color w:val="0F172A"/>
          <w:sz w:val="20"/>
          <w:szCs w:val="20"/>
        </w:rPr>
        <w:t xml:space="preserve">Zur Transparenz, ohne Forderung: Im Rahmen der Auswertung sind Dokumente entstanden, die über die Position 6 der ursprünglichen Rechnung hinausgehen.</w:t>
      </w:r>
    </w:p>
    <w:tbl>
      <w:tblPr>
        <w:tblW w:type="dxa" w:w="9360"/>
        <w:tblBorders>
          <w:top w:val="single" w:color="0B2545" w:sz="4"/>
          <w:left w:val="none" w:color="FFFFFF" w:sz="0"/>
          <w:bottom w:val="single" w:color="0B2545" w:sz="4"/>
          <w:right w:val="none" w:color="FFFFFF" w:sz="0"/>
          <w:insideH w:val="single" w:color="E2E8F0" w:sz="2"/>
          <w:insideV w:val="none" w:color="FFFFFF" w:sz="0"/>
        </w:tblBorders>
      </w:tblPr>
      <w:tblGrid>
        <w:gridCol w:w="5600"/>
        <w:gridCol w:w="3760"/>
      </w:tblGrid>
      <w:tr>
        <w:trPr>
          <w:tblHeader/>
        </w:trPr>
        <w:tc>
          <w:tcPr>
            <w:tcW w:type="dxa" w:w="560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DOKUMENT</w:t>
            </w:r>
          </w:p>
        </w:tc>
        <w:tc>
          <w:tcPr>
            <w:tcW w:type="dxa" w:w="3760"/>
            <w:shd w:fill="0B2545" w:color="auto" w:val="clear"/>
            <w:tcMar>
              <w:top w:type="dxa" w:w="120"/>
              <w:left w:type="dxa" w:w="140"/>
              <w:bottom w:type="dxa" w:w="120"/>
              <w:right w:type="dxa" w:w="140"/>
            </w:tcMar>
            <w:vAlign w:val="center"/>
          </w:tcPr>
          <w:p>
            <w:pPr>
              <w:jc w:val="left"/>
            </w:pPr>
            <w:r>
              <w:rPr>
                <w:rFonts w:ascii="Calibri" w:cs="Calibri" w:eastAsia="Calibri" w:hAnsi="Calibri"/>
                <w:b/>
                <w:bCs/>
                <w:color w:val="FFFFFF"/>
                <w:spacing w:val="40"/>
                <w:sz w:val="18"/>
                <w:szCs w:val="18"/>
              </w:rPr>
              <w:t xml:space="preserve">UMFANG</w:t>
            </w:r>
          </w:p>
        </w:tc>
      </w:tr>
      <w:tr>
        <w:tc>
          <w:tcPr>
            <w:tcW w:type="dxa" w:w="56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Schlussbericht mit Massnahmenkatalog</w:t>
            </w:r>
          </w:p>
        </w:tc>
        <w:tc>
          <w:tcPr>
            <w:tcW w:type="dxa" w:w="37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61 Seiten, 15 Kapitel, 20 Massnahmen</w:t>
            </w:r>
          </w:p>
        </w:tc>
      </w:tr>
      <w:tr>
        <w:tc>
          <w:tcPr>
            <w:tcW w:type="dxa" w:w="56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Einzelauswertungen der drei Messpunkte</w:t>
            </w:r>
          </w:p>
        </w:tc>
        <w:tc>
          <w:tcPr>
            <w:tcW w:type="dxa" w:w="37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3 Dokumente</w:t>
            </w:r>
          </w:p>
        </w:tc>
      </w:tr>
      <w:tr>
        <w:tc>
          <w:tcPr>
            <w:tcW w:type="dxa" w:w="56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Auswertung der drei Übereinstimmungsberichte</w:t>
            </w:r>
          </w:p>
        </w:tc>
        <w:tc>
          <w:tcPr>
            <w:tcW w:type="dxa" w:w="37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3 Dokumente</w:t>
            </w:r>
          </w:p>
        </w:tc>
      </w:tr>
      <w:tr>
        <w:tc>
          <w:tcPr>
            <w:tcW w:type="dxa" w:w="56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Bilddokumentation</w:t>
            </w:r>
          </w:p>
        </w:tc>
        <w:tc>
          <w:tcPr>
            <w:tcW w:type="dxa" w:w="37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19 Seiten, 14 Bilder</w:t>
            </w:r>
          </w:p>
        </w:tc>
      </w:tr>
      <w:tr>
        <w:tc>
          <w:tcPr>
            <w:tcW w:type="dxa" w:w="560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Massnahmen-Kurzfassung und Vollständigkeitsbericht</w:t>
            </w:r>
          </w:p>
        </w:tc>
        <w:tc>
          <w:tcPr>
            <w:tcW w:type="dxa" w:w="3760"/>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2 Dokumente</w:t>
            </w:r>
          </w:p>
        </w:tc>
      </w:tr>
      <w:tr>
        <w:tc>
          <w:tcPr>
            <w:tcW w:type="dxa" w:w="560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Kundenpräsentation</w:t>
            </w:r>
          </w:p>
        </w:tc>
        <w:tc>
          <w:tcPr>
            <w:tcW w:type="dxa" w:w="3760"/>
            <w:shd w:fill="F8FAFC" w:color="auto" w:val="clear"/>
            <w:tcMar>
              <w:top w:type="dxa" w:w="90"/>
              <w:left w:type="dxa" w:w="140"/>
              <w:bottom w:type="dxa" w:w="90"/>
              <w:right w:type="dxa" w:w="140"/>
            </w:tcMar>
            <w:vAlign w:val="center"/>
          </w:tcPr>
          <w:p>
            <w:pPr>
              <w:jc w:val="left"/>
            </w:pPr>
            <w:r>
              <w:rPr>
                <w:rFonts w:ascii="Calibri" w:cs="Calibri" w:eastAsia="Calibri" w:hAnsi="Calibri"/>
                <w:b w:val="false"/>
                <w:bCs w:val="false"/>
                <w:i w:val="false"/>
                <w:iCs w:val="false"/>
                <w:color w:val="0F172A"/>
                <w:sz w:val="20"/>
                <w:szCs w:val="20"/>
              </w:rPr>
              <w:t xml:space="preserve">12 Folien mit Sprechernotizen</w:t>
            </w:r>
          </w:p>
        </w:tc>
      </w:tr>
    </w:tbl>
    <w:p>
      <w:pPr>
        <w:spacing w:before="2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00B8D9" w:sz="4"/>
              <w:left w:val="single" w:color="00B8D9" w:sz="24"/>
              <w:bottom w:val="single" w:color="00B8D9" w:sz="4"/>
              <w:right w:val="single" w:color="00B8D9" w:sz="4"/>
            </w:tcBorders>
            <w:shd w:fill="EAF7FB" w:color="auto" w:val="clear"/>
            <w:tcMar>
              <w:top w:type="dxa" w:w="200"/>
              <w:left w:type="dxa" w:w="260"/>
              <w:bottom w:type="dxa" w:w="200"/>
              <w:right w:type="dxa" w:w="260"/>
            </w:tcMar>
          </w:tcPr>
          <w:p>
            <w:pPr>
              <w:spacing w:after="40"/>
            </w:pPr>
            <w:r>
              <w:rPr>
                <w:rFonts w:ascii="Calibri" w:cs="Calibri" w:eastAsia="Calibri" w:hAnsi="Calibri"/>
                <w:b/>
                <w:bCs/>
                <w:caps/>
                <w:color w:val="0B2545"/>
                <w:spacing w:val="60"/>
                <w:sz w:val="14"/>
                <w:szCs w:val="14"/>
              </w:rPr>
              <w:t xml:space="preserve">HINWEIS</w:t>
            </w:r>
          </w:p>
          <w:p>
            <w:r>
              <w:rPr>
                <w:rFonts w:ascii="Calibri" w:cs="Calibri" w:eastAsia="Calibri" w:hAnsi="Calibri"/>
                <w:color w:val="0F172A"/>
                <w:sz w:val="20"/>
                <w:szCs w:val="20"/>
              </w:rPr>
              <w:t xml:space="preserve">Diese Leistungen sind mit der Position 6 der Rechnung 2026-0801 abgegolten und werden nicht nachverrechnet. Sie sind hier nur aufgeführt, damit der Umfang der erbrachten Arbeit erkennbar ist.</w:t>
            </w:r>
          </w:p>
        </w:tc>
      </w:tr>
    </w:tbl>
    <w:sectPr>
      <w:headerReference w:type="default" r:id="rId7"/>
      <w:footerReference w:type="default" r:id="rId8"/>
      <w:pgSz w:w="11905" w:h="16837" w:orient="portrait"/>
      <w:pgMar w:top="2154" w:right="1247" w:bottom="1360" w:left="1247" w:header="566" w:footer="56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spacing w:after="40" w:before="0"/>
    </w:pPr>
    <w:r>
      <w:rPr>
        <w:sz w:val="2"/>
        <w:szCs w:val="2"/>
      </w:rPr>
      <w:t xml:space="preserve"/>
    </w:r>
  </w:p>
  <w:p>
    <w:pPr>
      <w:tabs>
        <w:tab w:val="center" w:pos="4536"/>
        <w:tab w:val="right" w:pos="9072"/>
      </w:tabs>
      <w:jc w:val="left"/>
    </w:pPr>
    <w:r>
      <w:rPr>
        <w:rFonts w:ascii="Calibri" w:cs="Calibri" w:eastAsia="Calibri" w:hAnsi="Calibri"/>
        <w:b/>
        <w:bCs/>
        <w:color w:val="0B2545"/>
        <w:sz w:val="16"/>
        <w:szCs w:val="16"/>
      </w:rPr>
      <w:t xml:space="preserve">kabuu  ·  Netzqualität &amp; EMV Messungen · Engineering</w:t>
    </w:r>
    <w:r>
      <w:rPr>
        <w:rFonts w:ascii="Calibri" w:cs="Calibri" w:eastAsia="Calibri" w:hAnsi="Calibri"/>
        <w:color w:val="64748B"/>
        <w:sz w:val="16"/>
        <w:szCs w:val="16"/>
      </w:rPr>
      <w:t xml:space="preserve">	Im Abt 9 A · 8240 Thayngen · +41 79 512 98 07 · engineering.kabuu@gmail.com</w:t>
    </w:r>
    <w:r>
      <w:rPr>
        <w:rFonts w:ascii="Calibri" w:cs="Calibri" w:eastAsia="Calibri" w:hAnsi="Calibri"/>
        <w:color w:val="64748B"/>
        <w:sz w:val="16"/>
        <w:szCs w:val="16"/>
      </w:rPr>
      <w:t xml:space="preserve">	Seite </w:t>
    </w:r>
    <w:r>
      <w:rPr>
        <w:rFonts w:ascii="Calibri" w:cs="Calibri" w:eastAsia="Calibri" w:hAnsi="Calibri"/>
        <w:b/>
        <w:bCs/>
        <w:color w:val="0B2545"/>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 </w:t>
    </w:r>
    <w:r>
      <w:rPr>
        <w:rFonts w:ascii="Calibri" w:cs="Calibri" w:eastAsia="Calibri" w:hAnsi="Calibri"/>
        <w:b/>
        <w:bCs/>
        <w:color w:val="0B254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80975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1162050"/>
                  </a:xfrm>
                  <a:prstGeom prst="rect">
                    <a:avLst/>
                  </a:prstGeom>
                </pic:spPr>
              </pic:pic>
            </a:graphicData>
          </a:graphic>
        </wp:inline>
      </w:drawing>
    </w:r>
  </w:p>
  <w:p>
    <w:pPr>
      <w:pBdr>
        <w:bottom w:val="single" w:color="00B8D9" w:sz="8" w:space="1"/>
      </w:pBdr>
      <w:spacing w:after="0"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b/>
        <w:bCs/>
        <w:color w:val="00B8D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c44321a6356b0ec7a52e90719e35c302f7f7b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Nachtragsrechnung 2026-0802 · Baumann Elektrokontrollen GmbH</dc:title>
  <dc:creator>Burak Ücöz</dc:creator>
  <dc:description>Nachtragsrechnung · kabuu · Netzqualität &amp; EMV Messungen · Engineering</dc:description>
  <cp:lastModifiedBy>Un-named</cp:lastModifiedBy>
  <cp:revision>1</cp:revision>
  <dcterms:created xsi:type="dcterms:W3CDTF">2026-08-24T08:13:44.878Z</dcterms:created>
  <dcterms:modified xsi:type="dcterms:W3CDTF">2026-08-24T08:13:44.890Z</dcterms:modified>
</cp:coreProperties>
</file>

<file path=docProps/custom.xml><?xml version="1.0" encoding="utf-8"?>
<Properties xmlns="http://schemas.openxmlformats.org/officeDocument/2006/custom-properties" xmlns:vt="http://schemas.openxmlformats.org/officeDocument/2006/docPropsVTypes"/>
</file>