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rPr>
          <w:b/>
          <w:bCs/>
          <w:color w:val="231F20"/>
          <w:sz w:val="56"/>
          <w:szCs w:val="56"/>
        </w:rPr>
        <w:t xml:space="preserve">SMART LS</w:t>
      </w:r>
    </w:p>
    <w:p>
      <w:pPr>
        <w:pBdr>
          <w:bottom w:val="single" w:color="0F6E8C" w:sz="18" w:space="6"/>
        </w:pBdr>
        <w:spacing w:after="30"/>
      </w:pPr>
      <w:r>
        <w:rPr>
          <w:b/>
          <w:bCs/>
          <w:color w:val="0F6E8C"/>
          <w:sz w:val="26"/>
          <w:szCs w:val="26"/>
        </w:rPr>
        <w:t xml:space="preserve">Logistics &amp; Freight Management Platform</w:t>
      </w:r>
    </w:p>
    <w:p>
      <w:pPr>
        <w:spacing w:after="60" w:before="220"/>
      </w:pPr>
      <w:r>
        <w:rPr>
          <w:b/>
          <w:bCs/>
          <w:color w:val="231F20"/>
          <w:sz w:val="40"/>
          <w:szCs w:val="40"/>
        </w:rPr>
        <w:t xml:space="preserve">Codebase Audit, Gap Analysis &amp; Revamp Brief</w:t>
      </w:r>
    </w:p>
    <w:p>
      <w:pPr>
        <w:spacing w:after="240"/>
      </w:pPr>
      <w:r>
        <w:rPr>
          <w:i/>
          <w:iCs/>
          <w:color w:val="6B7280"/>
          <w:sz w:val="22"/>
          <w:szCs w:val="22"/>
        </w:rPr>
        <w:t xml:space="preserve">A plain-language review of the current system, a full catalogue of its flaws, the operational gaps it already closes, and what the new product must put right.</w:t>
      </w:r>
    </w:p>
    <w:tbl>
      <w:tblPr>
        <w:tblW w:type="dxa" w:w="9026"/>
        <w:tblBorders>
          <w:top w:val="single" w:color="D6DEE3" w:sz="1"/>
          <w:left w:val="single" w:color="D6DEE3" w:sz="1"/>
          <w:bottom w:val="single" w:color="D6DEE3" w:sz="1"/>
          <w:right w:val="single" w:color="D6DEE3" w:sz="1"/>
          <w:insideH w:val="single" w:color="D6DEE3" w:sz="1"/>
          <w:insideV w:val="single" w:color="D6DEE3" w:sz="1"/>
        </w:tblBorders>
      </w:tblPr>
      <w:tblGrid>
        <w:gridCol w:w="2300"/>
        <w:gridCol w:w="6726"/>
      </w:tblGrid>
      <w:tr>
        <w:trPr>
          <w:tblHeader/>
        </w:trPr>
        <w:tc>
          <w:tcPr>
            <w:tcW w:type="dxa" w:w="2300"/>
            <w:shd w:fill="0F6E8C" w:color="auto" w:val="clear"/>
            <w:tcMar>
              <w:top w:type="dxa" w:w="70"/>
              <w:left w:type="dxa" w:w="110"/>
              <w:bottom w:type="dxa" w:w="70"/>
              <w:right w:type="dxa" w:w="110"/>
            </w:tcMar>
          </w:tcPr>
          <w:p>
            <w:r>
              <w:rPr>
                <w:b/>
                <w:bCs/>
                <w:color w:val="FFFFFF"/>
                <w:sz w:val="19"/>
                <w:szCs w:val="19"/>
              </w:rPr>
              <w:t xml:space="preserve">Field</w:t>
            </w:r>
          </w:p>
        </w:tc>
        <w:tc>
          <w:tcPr>
            <w:tcW w:type="dxa" w:w="6726"/>
            <w:shd w:fill="0F6E8C" w:color="auto" w:val="clear"/>
            <w:tcMar>
              <w:top w:type="dxa" w:w="70"/>
              <w:left w:type="dxa" w:w="110"/>
              <w:bottom w:type="dxa" w:w="70"/>
              <w:right w:type="dxa" w:w="110"/>
            </w:tcMar>
          </w:tcPr>
          <w:p>
            <w:r>
              <w:rPr>
                <w:b/>
                <w:bCs/>
                <w:color w:val="FFFFFF"/>
                <w:sz w:val="19"/>
                <w:szCs w:val="19"/>
              </w:rPr>
              <w:t xml:space="preserve">Detail</w:t>
            </w:r>
          </w:p>
        </w:tc>
      </w:tr>
      <w:tr>
        <w:tc>
          <w:tcPr>
            <w:tcW w:type="dxa" w:w="2300"/>
            <w:tcMar>
              <w:top w:type="dxa" w:w="70"/>
              <w:left w:type="dxa" w:w="110"/>
              <w:bottom w:type="dxa" w:w="70"/>
              <w:right w:type="dxa" w:w="110"/>
            </w:tcMar>
          </w:tcPr>
          <w:p>
            <w:r>
              <w:rPr>
                <w:b w:val="false"/>
                <w:bCs w:val="false"/>
                <w:color w:val="231F20"/>
                <w:sz w:val="19"/>
                <w:szCs w:val="19"/>
              </w:rPr>
              <w:t xml:space="preserve">Prepared for</w:t>
            </w:r>
          </w:p>
        </w:tc>
        <w:tc>
          <w:tcPr>
            <w:tcW w:type="dxa" w:w="6726"/>
            <w:tcMar>
              <w:top w:type="dxa" w:w="70"/>
              <w:left w:type="dxa" w:w="110"/>
              <w:bottom w:type="dxa" w:w="70"/>
              <w:right w:type="dxa" w:w="110"/>
            </w:tcMar>
          </w:tcPr>
          <w:p>
            <w:r>
              <w:rPr>
                <w:b/>
                <w:bCs/>
                <w:color w:val="231F20"/>
                <w:sz w:val="19"/>
                <w:szCs w:val="19"/>
              </w:rPr>
              <w:t xml:space="preserve">Tom Blake — SmartLS</w:t>
            </w:r>
          </w:p>
        </w:tc>
      </w:tr>
      <w:tr>
        <w:tc>
          <w:tcPr>
            <w:tcW w:type="dxa" w:w="2300"/>
            <w:shd w:fill="F6F9FB" w:color="auto" w:val="clear"/>
            <w:tcMar>
              <w:top w:type="dxa" w:w="70"/>
              <w:left w:type="dxa" w:w="110"/>
              <w:bottom w:type="dxa" w:w="70"/>
              <w:right w:type="dxa" w:w="110"/>
            </w:tcMar>
          </w:tcPr>
          <w:p>
            <w:r>
              <w:rPr>
                <w:b w:val="false"/>
                <w:bCs w:val="false"/>
                <w:color w:val="231F20"/>
                <w:sz w:val="19"/>
                <w:szCs w:val="19"/>
              </w:rPr>
              <w:t xml:space="preserve">Scope</w:t>
            </w:r>
          </w:p>
        </w:tc>
        <w:tc>
          <w:tcPr>
            <w:tcW w:type="dxa" w:w="6726"/>
            <w:shd w:fill="F6F9FB" w:color="auto" w:val="clear"/>
            <w:tcMar>
              <w:top w:type="dxa" w:w="70"/>
              <w:left w:type="dxa" w:w="110"/>
              <w:bottom w:type="dxa" w:w="70"/>
              <w:right w:type="dxa" w:w="110"/>
            </w:tcMar>
          </w:tcPr>
          <w:p>
            <w:r>
              <w:rPr>
                <w:b w:val="false"/>
                <w:bCs w:val="false"/>
                <w:color w:val="231F20"/>
                <w:sz w:val="19"/>
                <w:szCs w:val="19"/>
              </w:rPr>
              <w:t xml:space="preserve">Public website (smartls) + Administration ERP + full database (84 tables)</w:t>
            </w:r>
          </w:p>
        </w:tc>
      </w:tr>
      <w:tr>
        <w:tc>
          <w:tcPr>
            <w:tcW w:type="dxa" w:w="2300"/>
            <w:tcMar>
              <w:top w:type="dxa" w:w="70"/>
              <w:left w:type="dxa" w:w="110"/>
              <w:bottom w:type="dxa" w:w="70"/>
              <w:right w:type="dxa" w:w="110"/>
            </w:tcMar>
          </w:tcPr>
          <w:p>
            <w:r>
              <w:rPr>
                <w:b w:val="false"/>
                <w:bCs w:val="false"/>
                <w:color w:val="231F20"/>
                <w:sz w:val="19"/>
                <w:szCs w:val="19"/>
              </w:rPr>
              <w:t xml:space="preserve">Current stack</w:t>
            </w:r>
          </w:p>
        </w:tc>
        <w:tc>
          <w:tcPr>
            <w:tcW w:type="dxa" w:w="6726"/>
            <w:tcMar>
              <w:top w:type="dxa" w:w="70"/>
              <w:left w:type="dxa" w:w="110"/>
              <w:bottom w:type="dxa" w:w="70"/>
              <w:right w:type="dxa" w:w="110"/>
            </w:tcMar>
          </w:tcPr>
          <w:p>
            <w:r>
              <w:rPr>
                <w:b w:val="false"/>
                <w:bCs w:val="false"/>
                <w:color w:val="231F20"/>
                <w:sz w:val="19"/>
                <w:szCs w:val="19"/>
              </w:rPr>
              <w:t xml:space="preserve">PHP + Bootstrap, MySQL (server-rendered monolith)</w:t>
            </w:r>
          </w:p>
        </w:tc>
      </w:tr>
      <w:tr>
        <w:tc>
          <w:tcPr>
            <w:tcW w:type="dxa" w:w="2300"/>
            <w:shd w:fill="F6F9FB" w:color="auto" w:val="clear"/>
            <w:tcMar>
              <w:top w:type="dxa" w:w="70"/>
              <w:left w:type="dxa" w:w="110"/>
              <w:bottom w:type="dxa" w:w="70"/>
              <w:right w:type="dxa" w:w="110"/>
            </w:tcMar>
          </w:tcPr>
          <w:p>
            <w:r>
              <w:rPr>
                <w:b w:val="false"/>
                <w:bCs w:val="false"/>
                <w:color w:val="231F20"/>
                <w:sz w:val="19"/>
                <w:szCs w:val="19"/>
              </w:rPr>
              <w:t xml:space="preserve">Target stack</w:t>
            </w:r>
          </w:p>
        </w:tc>
        <w:tc>
          <w:tcPr>
            <w:tcW w:type="dxa" w:w="6726"/>
            <w:shd w:fill="F6F9FB" w:color="auto" w:val="clear"/>
            <w:tcMar>
              <w:top w:type="dxa" w:w="70"/>
              <w:left w:type="dxa" w:w="110"/>
              <w:bottom w:type="dxa" w:w="70"/>
              <w:right w:type="dxa" w:w="110"/>
            </w:tcMar>
          </w:tcPr>
          <w:p>
            <w:r>
              <w:rPr>
                <w:b w:val="false"/>
                <w:bCs w:val="false"/>
                <w:color w:val="231F20"/>
                <w:sz w:val="19"/>
                <w:szCs w:val="19"/>
              </w:rPr>
              <w:t xml:space="preserve">Node.js + React/Vite, Progressive Web App (PWA), bilingual EN/FR</w:t>
            </w:r>
          </w:p>
        </w:tc>
      </w:tr>
      <w:tr>
        <w:tc>
          <w:tcPr>
            <w:tcW w:type="dxa" w:w="2300"/>
            <w:tcMar>
              <w:top w:type="dxa" w:w="70"/>
              <w:left w:type="dxa" w:w="110"/>
              <w:bottom w:type="dxa" w:w="70"/>
              <w:right w:type="dxa" w:w="110"/>
            </w:tcMar>
          </w:tcPr>
          <w:p>
            <w:r>
              <w:rPr>
                <w:b w:val="false"/>
                <w:bCs w:val="false"/>
                <w:color w:val="231F20"/>
                <w:sz w:val="19"/>
                <w:szCs w:val="19"/>
              </w:rPr>
              <w:t xml:space="preserve">Jurisdiction</w:t>
            </w:r>
          </w:p>
        </w:tc>
        <w:tc>
          <w:tcPr>
            <w:tcW w:type="dxa" w:w="6726"/>
            <w:tcMar>
              <w:top w:type="dxa" w:w="70"/>
              <w:left w:type="dxa" w:w="110"/>
              <w:bottom w:type="dxa" w:w="70"/>
              <w:right w:type="dxa" w:w="110"/>
            </w:tcMar>
          </w:tcPr>
          <w:p>
            <w:r>
              <w:rPr>
                <w:b w:val="false"/>
                <w:bCs w:val="false"/>
                <w:color w:val="231F20"/>
                <w:sz w:val="19"/>
                <w:szCs w:val="19"/>
              </w:rPr>
              <w:t xml:space="preserve">Cameroon — OHADA / SYSCOHADA accounting, DGI tax filing</w:t>
            </w:r>
          </w:p>
        </w:tc>
      </w:tr>
      <w:tr>
        <w:tc>
          <w:tcPr>
            <w:tcW w:type="dxa" w:w="2300"/>
            <w:shd w:fill="F6F9FB" w:color="auto" w:val="clear"/>
            <w:tcMar>
              <w:top w:type="dxa" w:w="70"/>
              <w:left w:type="dxa" w:w="110"/>
              <w:bottom w:type="dxa" w:w="70"/>
              <w:right w:type="dxa" w:w="110"/>
            </w:tcMar>
          </w:tcPr>
          <w:p>
            <w:r>
              <w:rPr>
                <w:b w:val="false"/>
                <w:bCs w:val="false"/>
                <w:color w:val="231F20"/>
                <w:sz w:val="19"/>
                <w:szCs w:val="19"/>
              </w:rPr>
              <w:t xml:space="preserve">Date</w:t>
            </w:r>
          </w:p>
        </w:tc>
        <w:tc>
          <w:tcPr>
            <w:tcW w:type="dxa" w:w="6726"/>
            <w:shd w:fill="F6F9FB" w:color="auto" w:val="clear"/>
            <w:tcMar>
              <w:top w:type="dxa" w:w="70"/>
              <w:left w:type="dxa" w:w="110"/>
              <w:bottom w:type="dxa" w:w="70"/>
              <w:right w:type="dxa" w:w="110"/>
            </w:tcMar>
          </w:tcPr>
          <w:p>
            <w:r>
              <w:rPr>
                <w:b w:val="false"/>
                <w:bCs w:val="false"/>
                <w:color w:val="231F20"/>
                <w:sz w:val="19"/>
                <w:szCs w:val="19"/>
              </w:rPr>
              <w:t xml:space="preserve">30 June 2026</w:t>
            </w:r>
          </w:p>
        </w:tc>
      </w:tr>
      <w:tr>
        <w:tc>
          <w:tcPr>
            <w:tcW w:type="dxa" w:w="2300"/>
            <w:tcMar>
              <w:top w:type="dxa" w:w="70"/>
              <w:left w:type="dxa" w:w="110"/>
              <w:bottom w:type="dxa" w:w="70"/>
              <w:right w:type="dxa" w:w="110"/>
            </w:tcMar>
          </w:tcPr>
          <w:p>
            <w:r>
              <w:rPr>
                <w:b w:val="false"/>
                <w:bCs w:val="false"/>
                <w:color w:val="231F20"/>
                <w:sz w:val="19"/>
                <w:szCs w:val="19"/>
              </w:rPr>
              <w:t xml:space="preserve">Status</w:t>
            </w:r>
          </w:p>
        </w:tc>
        <w:tc>
          <w:tcPr>
            <w:tcW w:type="dxa" w:w="6726"/>
            <w:tcMar>
              <w:top w:type="dxa" w:w="70"/>
              <w:left w:type="dxa" w:w="110"/>
              <w:bottom w:type="dxa" w:w="70"/>
              <w:right w:type="dxa" w:w="110"/>
            </w:tcMar>
          </w:tcPr>
          <w:p>
            <w:r>
              <w:rPr>
                <w:b/>
                <w:bCs/>
                <w:color w:val="B0341D"/>
                <w:sz w:val="19"/>
                <w:szCs w:val="19"/>
              </w:rPr>
              <w:t xml:space="preserve">Confidential — Draft for discovery</w:t>
            </w:r>
          </w:p>
        </w:tc>
      </w:tr>
    </w:tbl>
    <w:p>
      <w:r>
        <w:br w:type="page"/>
      </w:r>
    </w:p>
    <w:p>
      <w:pPr>
        <w:pStyle w:val="Heading1"/>
        <w:spacing w:after="160" w:before="300"/>
      </w:pPr>
      <w:r>
        <w:t xml:space="preserve">Contents</w:t>
      </w:r>
    </w:p>
    <w:p>
      <w:pPr>
        <w:spacing w:after="60"/>
      </w:pPr>
      <w:r>
        <w:rPr>
          <w:color w:val="231F20"/>
          <w:sz w:val="22"/>
          <w:szCs w:val="22"/>
        </w:rPr>
        <w:t xml:space="preserve">1.  Executive summary</w:t>
      </w:r>
    </w:p>
    <w:p>
      <w:pPr>
        <w:spacing w:after="60"/>
      </w:pPr>
      <w:r>
        <w:rPr>
          <w:color w:val="231F20"/>
          <w:sz w:val="22"/>
          <w:szCs w:val="22"/>
        </w:rPr>
        <w:t xml:space="preserve">2.  How we examined the system</w:t>
      </w:r>
    </w:p>
    <w:p>
      <w:pPr>
        <w:spacing w:after="60"/>
      </w:pPr>
      <w:r>
        <w:rPr>
          <w:color w:val="231F20"/>
          <w:sz w:val="22"/>
          <w:szCs w:val="22"/>
        </w:rPr>
        <w:t xml:space="preserve">3.  What SmartLS is today</w:t>
      </w:r>
    </w:p>
    <w:p>
      <w:pPr>
        <w:spacing w:after="60"/>
      </w:pPr>
      <w:r>
        <w:rPr>
          <w:color w:val="231F20"/>
          <w:sz w:val="22"/>
          <w:szCs w:val="22"/>
        </w:rPr>
        <w:t xml:space="preserve">4.  What it does well — the gaps it already closes</w:t>
      </w:r>
    </w:p>
    <w:p>
      <w:pPr>
        <w:spacing w:after="60"/>
      </w:pPr>
      <w:r>
        <w:rPr>
          <w:color w:val="231F20"/>
          <w:sz w:val="22"/>
          <w:szCs w:val="22"/>
        </w:rPr>
        <w:t xml:space="preserve">5.  The flaws — full audit</w:t>
      </w:r>
    </w:p>
    <w:p>
      <w:pPr>
        <w:spacing w:after="60"/>
      </w:pPr>
      <w:r>
        <w:rPr>
          <w:color w:val="231F20"/>
          <w:sz w:val="22"/>
          <w:szCs w:val="22"/>
        </w:rPr>
        <w:t xml:space="preserve">6.  The headline gap — OHADA accounting &amp; tax</w:t>
      </w:r>
    </w:p>
    <w:p>
      <w:pPr>
        <w:spacing w:after="60"/>
      </w:pPr>
      <w:r>
        <w:rPr>
          <w:color w:val="231F20"/>
          <w:sz w:val="22"/>
          <w:szCs w:val="22"/>
        </w:rPr>
        <w:t xml:space="preserve">7.  How the revamp closes the gaps</w:t>
      </w:r>
    </w:p>
    <w:p>
      <w:pPr>
        <w:spacing w:after="60"/>
      </w:pPr>
      <w:r>
        <w:rPr>
          <w:color w:val="231F20"/>
          <w:sz w:val="22"/>
          <w:szCs w:val="22"/>
        </w:rPr>
        <w:t xml:space="preserve">8.  Operating context &amp; constraints</w:t>
      </w:r>
    </w:p>
    <w:p>
      <w:pPr>
        <w:spacing w:after="60"/>
      </w:pPr>
      <w:r>
        <w:rPr>
          <w:color w:val="231F20"/>
          <w:sz w:val="22"/>
          <w:szCs w:val="22"/>
        </w:rPr>
        <w:t xml:space="preserve">9.  Recommended next steps</w:t>
      </w:r>
    </w:p>
    <w:p>
      <w:r>
        <w:br w:type="page"/>
      </w:r>
    </w:p>
    <w:p>
      <w:pPr>
        <w:pStyle w:val="Heading1"/>
        <w:spacing w:after="160" w:before="300"/>
      </w:pPr>
      <w:r>
        <w:t xml:space="preserve">1.  Executive summary</w:t>
      </w:r>
    </w:p>
    <w:p>
      <w:pPr>
        <w:spacing w:after="120" w:line="264"/>
      </w:pPr>
      <w:r>
        <w:t xml:space="preserve">SmartLS is a genuinely capable first-generation system. </w:t>
      </w:r>
      <w:r>
        <w:t xml:space="preserve">It already digitises the core of a freight and logistics business</w:t>
      </w:r>
      <w:r>
        <w:t xml:space="preserve"> — turning a quote into a costing, a costing into a proforma, an operation into milestones, and a delivery into an invoice and a receivable — and it layers on modern touches that most local competitors do not have: optical character recognition (OCR) for document intake, an AI assist desk, a margin/pricing engine, and a document vault.</w:t>
      </w:r>
    </w:p>
    <w:p>
      <w:pPr>
        <w:spacing w:after="120" w:line="264"/>
      </w:pPr>
      <w:r>
        <w:t xml:space="preserve">It is also, in its current form, </w:t>
      </w:r>
      <w:r>
        <w:rPr>
          <w:b/>
          <w:bCs/>
        </w:rPr>
        <w:t xml:space="preserve">fragile and non-compliant</w:t>
      </w:r>
      <w:r>
        <w:t xml:space="preserve">. The review found database credentials written in plain text inside the source code, a hidden “God Mode” screen built for hard deletions, server error logs sitting inside web-reachable folders, the same screens copy-pasted five times (once per department), and several duplicated database tables that quietly split the same data into two places.</w:t>
      </w:r>
    </w:p>
    <w:p>
      <w:pPr>
        <w:spacing w:after="120" w:line="264"/>
      </w:pPr>
      <w:r>
        <w:t xml:space="preserve">Two gaps matter most. First, </w:t>
      </w:r>
      <w:r>
        <w:rPr>
          <w:b/>
          <w:bCs/>
          <w:color w:val="B0341D"/>
        </w:rPr>
        <w:t xml:space="preserve">there is no accounting layer at all</w:t>
      </w:r>
      <w:r>
        <w:t xml:space="preserve"> — no chart of accounts, no general ledger, no journals, no tax engine. The system records invoices and payroll, but it cannot produce the OHADA / SYSCOHADA financial statements that Cameroon law requires, which means the company </w:t>
      </w:r>
      <w:r>
        <w:rPr>
          <w:b/>
          <w:bCs/>
        </w:rPr>
        <w:t xml:space="preserve">cannot properly file its taxes (DSF, TVA, CNPS) from its own system</w:t>
      </w:r>
      <w:r>
        <w:t xml:space="preserve">. Second, the back-office ERP is </w:t>
      </w:r>
      <w:r>
        <w:rPr>
          <w:b/>
          <w:bCs/>
        </w:rPr>
        <w:t xml:space="preserve">English only</w:t>
      </w:r>
      <w:r>
        <w:t xml:space="preserve">, while Cameroon is officially bilingual and statutory accounting output is in French.</w:t>
      </w:r>
    </w:p>
    <w:tbl>
      <w:tblPr>
        <w:tblW w:type="dxa" w:w="9026"/>
        <w:tblBorders>
          <w:top w:val="single" w:color="E2E8EC" w:sz="1"/>
          <w:left w:val="single" w:color="0F6E8C" w:sz="18"/>
          <w:bottom w:val="single" w:color="E2E8EC" w:sz="1"/>
          <w:right w:val="single" w:color="E2E8EC" w:sz="1"/>
          <w:insideH w:val="single" w:color="E2E8EC" w:sz="1"/>
          <w:insideV w:val="single" w:color="E2E8EC" w:sz="1"/>
        </w:tblBorders>
      </w:tblPr>
      <w:tblGrid>
        <w:gridCol w:w="9026"/>
      </w:tblGrid>
      <w:tr>
        <w:tc>
          <w:tcPr>
            <w:tcW w:type="dxa" w:w="9026"/>
            <w:shd w:fill="F7FAFB" w:color="auto" w:val="clear"/>
            <w:tcMar>
              <w:top w:type="dxa" w:w="130"/>
              <w:left w:type="dxa" w:w="200"/>
              <w:bottom w:type="dxa" w:w="130"/>
              <w:right w:type="dxa" w:w="160"/>
            </w:tcMar>
          </w:tcPr>
          <w:p>
            <w:pPr>
              <w:spacing w:after="70"/>
            </w:pPr>
            <w:r>
              <w:rPr>
                <w:b/>
                <w:bCs/>
                <w:color w:val="0F6E8C"/>
                <w:sz w:val="21"/>
                <w:szCs w:val="21"/>
              </w:rPr>
              <w:t xml:space="preserve">The one-line verdict</w:t>
            </w:r>
          </w:p>
          <w:p>
            <w:pPr>
              <w:spacing w:after="0" w:line="258"/>
            </w:pPr>
            <w:r>
              <w:rPr>
                <w:b/>
                <w:bCs/>
              </w:rPr>
              <w:t xml:space="preserve">A strong operational skeleton that has outgrown its foundations. </w:t>
            </w:r>
            <w:r>
              <w:t xml:space="preserve">The revamp to Node.js + React (PWA), with a native OHADA accounting core and full English/French bilingualism, is the right correction — provided we fix the security and structural debt rather than carry it across.</w:t>
            </w:r>
          </w:p>
        </w:tc>
      </w:tr>
    </w:tbl>
    <w:p>
      <w:pPr>
        <w:pStyle w:val="Heading1"/>
        <w:spacing w:after="160" w:before="300"/>
      </w:pPr>
      <w:r>
        <w:t xml:space="preserve">2.  How we examined the system</w:t>
      </w:r>
    </w:p>
    <w:p>
      <w:pPr>
        <w:spacing w:after="120" w:line="264"/>
      </w:pPr>
      <w:r>
        <w:t xml:space="preserve">We reviewed the materials you provided as a static read-through — no live system was altered. Specifically:</w:t>
      </w:r>
    </w:p>
    <w:p>
      <w:pPr>
        <w:pStyle w:val="ListParagraph"/>
        <w:numPr>
          <w:ilvl w:val="0"/>
          <w:numId w:val="2"/>
        </w:numPr>
        <w:spacing w:after="70" w:line="260"/>
      </w:pPr>
      <w:r>
        <w:rPr>
          <w:b/>
          <w:bCs/>
        </w:rPr>
        <w:t xml:space="preserve">The full MySQL database dump</w:t>
      </w:r>
      <w:r>
        <w:t xml:space="preserve"> — 84 tables — to understand the data model, what is captured, and where it is duplicated.</w:t>
      </w:r>
    </w:p>
    <w:p>
      <w:pPr>
        <w:pStyle w:val="ListParagraph"/>
        <w:numPr>
          <w:ilvl w:val="0"/>
          <w:numId w:val="2"/>
        </w:numPr>
        <w:spacing w:after="70" w:line="260"/>
      </w:pPr>
      <w:r>
        <w:rPr>
          <w:b/>
          <w:bCs/>
        </w:rPr>
        <w:t xml:space="preserve">The Administration ERP</w:t>
      </w:r>
      <w:r>
        <w:t xml:space="preserve"> — 714 PHP files across api/ (server logic) and view/ (screens), grouped into five role areas: Sales, Operations, Finance, Admin and Management.</w:t>
      </w:r>
    </w:p>
    <w:p>
      <w:pPr>
        <w:pStyle w:val="ListParagraph"/>
        <w:numPr>
          <w:ilvl w:val="0"/>
          <w:numId w:val="2"/>
        </w:numPr>
        <w:spacing w:after="70" w:line="260"/>
      </w:pPr>
      <w:r>
        <w:rPr>
          <w:b/>
          <w:bCs/>
        </w:rPr>
        <w:t xml:space="preserve">The public website (smartls)</w:t>
      </w:r>
      <w:r>
        <w:t xml:space="preserve"> — the bilingual marketing site, quote-request intake, partner portal and shipment-tracking pages.</w:t>
      </w:r>
    </w:p>
    <w:p>
      <w:pPr>
        <w:pStyle w:val="ListParagraph"/>
        <w:numPr>
          <w:ilvl w:val="0"/>
          <w:numId w:val="2"/>
        </w:numPr>
        <w:spacing w:after="70" w:line="260"/>
      </w:pPr>
      <w:r>
        <w:rPr>
          <w:b/>
          <w:bCs/>
        </w:rPr>
        <w:t xml:space="preserve">Security &amp; access plumbing</w:t>
      </w:r>
      <w:r>
        <w:t xml:space="preserve"> — the login, session, role-guard and department-context files that decide who can do what.</w:t>
      </w:r>
    </w:p>
    <w:p>
      <w:pPr>
        <w:spacing w:after="120" w:line="264"/>
      </w:pPr>
      <w:r>
        <w:rPr>
          <w:i/>
          <w:iCs/>
          <w:color w:val="6B7280"/>
          <w:sz w:val="20"/>
          <w:szCs w:val="20"/>
        </w:rPr>
        <w:t xml:space="preserve">Where the report states a fact about Cameroon tax or OHADA accounting, it was checked against current public sources (PwC tax summaries, the DGI, OHADA/SYSCOHADA references) as of June 2026.</w:t>
      </w:r>
    </w:p>
    <w:p>
      <w:pPr>
        <w:pStyle w:val="Heading1"/>
        <w:spacing w:after="160" w:before="300"/>
      </w:pPr>
      <w:r>
        <w:t xml:space="preserve">3.  What SmartLS is today</w:t>
      </w:r>
    </w:p>
    <w:p>
      <w:pPr>
        <w:spacing w:after="120" w:line="264"/>
      </w:pPr>
      <w:r>
        <w:t xml:space="preserve">SmartLS is really two applications sharing one database:</w:t>
      </w:r>
    </w:p>
    <w:p>
      <w:pPr>
        <w:pStyle w:val="Heading3"/>
        <w:spacing w:after="80" w:before="180"/>
      </w:pPr>
      <w:r>
        <w:t xml:space="preserve">3.1  The public website (smartls)</w:t>
      </w:r>
    </w:p>
    <w:p>
      <w:pPr>
        <w:spacing w:after="120" w:line="264"/>
      </w:pPr>
      <w:r>
        <w:t xml:space="preserve">A marketing and intake site that is already bilingual (English and French translation files are present). It carries the company story and services, a smart quote-request form that feeds the ERP, a partnership portal, and a public shipment-tracking page. This is the front door for customers.</w:t>
      </w:r>
    </w:p>
    <w:p>
      <w:pPr>
        <w:pStyle w:val="Heading3"/>
        <w:spacing w:after="80" w:before="180"/>
      </w:pPr>
      <w:r>
        <w:t xml:space="preserve">3.2  The Administration ERP (the operational core)</w:t>
      </w:r>
    </w:p>
    <w:p>
      <w:pPr>
        <w:spacing w:after="120" w:line="264"/>
      </w:pPr>
      <w:r>
        <w:t xml:space="preserve">The back office where the business is actually run. It is organised into five role areas, each a folder of screens. The same operational modules are reachable across roles, with the work itself spanning the full commercial cycle:</w:t>
      </w:r>
    </w:p>
    <w:tbl>
      <w:tblPr>
        <w:tblW w:type="dxa" w:w="9026"/>
        <w:tblBorders>
          <w:top w:val="single" w:color="D6DEE3" w:sz="1"/>
          <w:left w:val="single" w:color="D6DEE3" w:sz="1"/>
          <w:bottom w:val="single" w:color="D6DEE3" w:sz="1"/>
          <w:right w:val="single" w:color="D6DEE3" w:sz="1"/>
          <w:insideH w:val="single" w:color="D6DEE3" w:sz="1"/>
          <w:insideV w:val="single" w:color="D6DEE3" w:sz="1"/>
        </w:tblBorders>
      </w:tblPr>
      <w:tblGrid>
        <w:gridCol w:w="2300"/>
        <w:gridCol w:w="6726"/>
      </w:tblGrid>
      <w:tr>
        <w:trPr>
          <w:tblHeader/>
        </w:trPr>
        <w:tc>
          <w:tcPr>
            <w:tcW w:type="dxa" w:w="2300"/>
            <w:shd w:fill="0F6E8C" w:color="auto" w:val="clear"/>
            <w:tcMar>
              <w:top w:type="dxa" w:w="70"/>
              <w:left w:type="dxa" w:w="110"/>
              <w:bottom w:type="dxa" w:w="70"/>
              <w:right w:type="dxa" w:w="110"/>
            </w:tcMar>
          </w:tcPr>
          <w:p>
            <w:r>
              <w:rPr>
                <w:b/>
                <w:bCs/>
                <w:color w:val="FFFFFF"/>
                <w:sz w:val="19"/>
                <w:szCs w:val="19"/>
              </w:rPr>
              <w:t xml:space="preserve">Domain</w:t>
            </w:r>
          </w:p>
        </w:tc>
        <w:tc>
          <w:tcPr>
            <w:tcW w:type="dxa" w:w="6726"/>
            <w:shd w:fill="0F6E8C" w:color="auto" w:val="clear"/>
            <w:tcMar>
              <w:top w:type="dxa" w:w="70"/>
              <w:left w:type="dxa" w:w="110"/>
              <w:bottom w:type="dxa" w:w="70"/>
              <w:right w:type="dxa" w:w="110"/>
            </w:tcMar>
          </w:tcPr>
          <w:p>
            <w:r>
              <w:rPr>
                <w:b/>
                <w:bCs/>
                <w:color w:val="FFFFFF"/>
                <w:sz w:val="19"/>
                <w:szCs w:val="19"/>
              </w:rPr>
              <w:t xml:space="preserve">What it covers in the system today</w:t>
            </w:r>
          </w:p>
        </w:tc>
      </w:tr>
      <w:tr>
        <w:tc>
          <w:tcPr>
            <w:tcW w:type="dxa" w:w="2300"/>
            <w:tcMar>
              <w:top w:type="dxa" w:w="70"/>
              <w:left w:type="dxa" w:w="110"/>
              <w:bottom w:type="dxa" w:w="70"/>
              <w:right w:type="dxa" w:w="110"/>
            </w:tcMar>
          </w:tcPr>
          <w:p>
            <w:r>
              <w:rPr>
                <w:b/>
                <w:bCs/>
                <w:color w:val="231F20"/>
                <w:sz w:val="19"/>
                <w:szCs w:val="19"/>
              </w:rPr>
              <w:t xml:space="preserve">Sales / CRM</w:t>
            </w:r>
          </w:p>
        </w:tc>
        <w:tc>
          <w:tcPr>
            <w:tcW w:type="dxa" w:w="6726"/>
            <w:tcMar>
              <w:top w:type="dxa" w:w="70"/>
              <w:left w:type="dxa" w:w="110"/>
              <w:bottom w:type="dxa" w:w="70"/>
              <w:right w:type="dxa" w:w="110"/>
            </w:tcMar>
          </w:tcPr>
          <w:p>
            <w:r>
              <w:rPr>
                <w:b w:val="false"/>
                <w:bCs w:val="false"/>
                <w:color w:val="231F20"/>
                <w:sz w:val="19"/>
                <w:szCs w:val="19"/>
              </w:rPr>
              <w:t xml:space="preserve">Smart quote intake, lead capture, sales pipeline, opportunities, proposals, success stories, marketing campaigns, partnership intake.</w:t>
            </w:r>
          </w:p>
        </w:tc>
      </w:tr>
      <w:tr>
        <w:tc>
          <w:tcPr>
            <w:tcW w:type="dxa" w:w="2300"/>
            <w:shd w:fill="F6F9FB" w:color="auto" w:val="clear"/>
            <w:tcMar>
              <w:top w:type="dxa" w:w="70"/>
              <w:left w:type="dxa" w:w="110"/>
              <w:bottom w:type="dxa" w:w="70"/>
              <w:right w:type="dxa" w:w="110"/>
            </w:tcMar>
          </w:tcPr>
          <w:p>
            <w:r>
              <w:rPr>
                <w:b/>
                <w:bCs/>
                <w:color w:val="231F20"/>
                <w:sz w:val="19"/>
                <w:szCs w:val="19"/>
              </w:rPr>
              <w:t xml:space="preserve">Pricing</w:t>
            </w:r>
          </w:p>
        </w:tc>
        <w:tc>
          <w:tcPr>
            <w:tcW w:type="dxa" w:w="6726"/>
            <w:shd w:fill="F6F9FB" w:color="auto" w:val="clear"/>
            <w:tcMar>
              <w:top w:type="dxa" w:w="70"/>
              <w:left w:type="dxa" w:w="110"/>
              <w:bottom w:type="dxa" w:w="70"/>
              <w:right w:type="dxa" w:w="110"/>
            </w:tcMar>
          </w:tcPr>
          <w:p>
            <w:r>
              <w:rPr>
                <w:b w:val="false"/>
                <w:bCs w:val="false"/>
                <w:color w:val="231F20"/>
                <w:sz w:val="19"/>
                <w:szCs w:val="19"/>
              </w:rPr>
              <w:t xml:space="preserve">Costing module, margin simulator, extra-charges simulator, cost-tracking ledger and reconciliation — the pricing engine.</w:t>
            </w:r>
          </w:p>
        </w:tc>
      </w:tr>
      <w:tr>
        <w:tc>
          <w:tcPr>
            <w:tcW w:type="dxa" w:w="2300"/>
            <w:tcMar>
              <w:top w:type="dxa" w:w="70"/>
              <w:left w:type="dxa" w:w="110"/>
              <w:bottom w:type="dxa" w:w="70"/>
              <w:right w:type="dxa" w:w="110"/>
            </w:tcMar>
          </w:tcPr>
          <w:p>
            <w:r>
              <w:rPr>
                <w:b/>
                <w:bCs/>
                <w:color w:val="231F20"/>
                <w:sz w:val="19"/>
                <w:szCs w:val="19"/>
              </w:rPr>
              <w:t xml:space="preserve">Operations</w:t>
            </w:r>
          </w:p>
        </w:tc>
        <w:tc>
          <w:tcPr>
            <w:tcW w:type="dxa" w:w="6726"/>
            <w:tcMar>
              <w:top w:type="dxa" w:w="70"/>
              <w:left w:type="dxa" w:w="110"/>
              <w:bottom w:type="dxa" w:w="70"/>
              <w:right w:type="dxa" w:w="110"/>
            </w:tcMar>
          </w:tcPr>
          <w:p>
            <w:r>
              <w:rPr>
                <w:b w:val="false"/>
                <w:bCs w:val="false"/>
                <w:color w:val="231F20"/>
                <w:sz w:val="19"/>
                <w:szCs w:val="19"/>
              </w:rPr>
              <w:t xml:space="preserve">Operations registry (files/jobs), milestone tracking, transit orders, delivery notes, supplier records, purchase orders.</w:t>
            </w:r>
          </w:p>
        </w:tc>
      </w:tr>
      <w:tr>
        <w:tc>
          <w:tcPr>
            <w:tcW w:type="dxa" w:w="2300"/>
            <w:shd w:fill="F6F9FB" w:color="auto" w:val="clear"/>
            <w:tcMar>
              <w:top w:type="dxa" w:w="70"/>
              <w:left w:type="dxa" w:w="110"/>
              <w:bottom w:type="dxa" w:w="70"/>
              <w:right w:type="dxa" w:w="110"/>
            </w:tcMar>
          </w:tcPr>
          <w:p>
            <w:r>
              <w:rPr>
                <w:b/>
                <w:bCs/>
                <w:color w:val="231F20"/>
                <w:sz w:val="19"/>
                <w:szCs w:val="19"/>
              </w:rPr>
              <w:t xml:space="preserve">Finance (AR)</w:t>
            </w:r>
          </w:p>
        </w:tc>
        <w:tc>
          <w:tcPr>
            <w:tcW w:type="dxa" w:w="6726"/>
            <w:shd w:fill="F6F9FB" w:color="auto" w:val="clear"/>
            <w:tcMar>
              <w:top w:type="dxa" w:w="70"/>
              <w:left w:type="dxa" w:w="110"/>
              <w:bottom w:type="dxa" w:w="70"/>
              <w:right w:type="dxa" w:w="110"/>
            </w:tcMar>
          </w:tcPr>
          <w:p>
            <w:r>
              <w:rPr>
                <w:b w:val="false"/>
                <w:bCs w:val="false"/>
                <w:color w:val="231F20"/>
                <w:sz w:val="19"/>
                <w:szCs w:val="19"/>
              </w:rPr>
              <w:t xml:space="preserve">Proforma invoices, final invoices, payment receipts and allocations, receivables ledger, debt management, cash &amp; funds requests, working-capital recovery.</w:t>
            </w:r>
          </w:p>
        </w:tc>
      </w:tr>
      <w:tr>
        <w:tc>
          <w:tcPr>
            <w:tcW w:type="dxa" w:w="2300"/>
            <w:tcMar>
              <w:top w:type="dxa" w:w="70"/>
              <w:left w:type="dxa" w:w="110"/>
              <w:bottom w:type="dxa" w:w="70"/>
              <w:right w:type="dxa" w:w="110"/>
            </w:tcMar>
          </w:tcPr>
          <w:p>
            <w:r>
              <w:rPr>
                <w:b/>
                <w:bCs/>
                <w:color w:val="231F20"/>
                <w:sz w:val="19"/>
                <w:szCs w:val="19"/>
              </w:rPr>
              <w:t xml:space="preserve">HR &amp; Payroll</w:t>
            </w:r>
          </w:p>
        </w:tc>
        <w:tc>
          <w:tcPr>
            <w:tcW w:type="dxa" w:w="6726"/>
            <w:tcMar>
              <w:top w:type="dxa" w:w="70"/>
              <w:left w:type="dxa" w:w="110"/>
              <w:bottom w:type="dxa" w:w="70"/>
              <w:right w:type="dxa" w:w="110"/>
            </w:tcMar>
          </w:tcPr>
          <w:p>
            <w:r>
              <w:rPr>
                <w:b w:val="false"/>
                <w:bCs w:val="false"/>
                <w:color w:val="231F20"/>
                <w:sz w:val="19"/>
                <w:szCs w:val="19"/>
              </w:rPr>
              <w:t xml:space="preserve">Employee master, contracts, attendance logs, payroll runs and payslips, with CNPS fields for social security.</w:t>
            </w:r>
          </w:p>
        </w:tc>
      </w:tr>
      <w:tr>
        <w:tc>
          <w:tcPr>
            <w:tcW w:type="dxa" w:w="2300"/>
            <w:shd w:fill="F6F9FB" w:color="auto" w:val="clear"/>
            <w:tcMar>
              <w:top w:type="dxa" w:w="70"/>
              <w:left w:type="dxa" w:w="110"/>
              <w:bottom w:type="dxa" w:w="70"/>
              <w:right w:type="dxa" w:w="110"/>
            </w:tcMar>
          </w:tcPr>
          <w:p>
            <w:r>
              <w:rPr>
                <w:b/>
                <w:bCs/>
                <w:color w:val="231F20"/>
                <w:sz w:val="19"/>
                <w:szCs w:val="19"/>
              </w:rPr>
              <w:t xml:space="preserve">Documents &amp; AI</w:t>
            </w:r>
          </w:p>
        </w:tc>
        <w:tc>
          <w:tcPr>
            <w:tcW w:type="dxa" w:w="6726"/>
            <w:shd w:fill="F6F9FB" w:color="auto" w:val="clear"/>
            <w:tcMar>
              <w:top w:type="dxa" w:w="70"/>
              <w:left w:type="dxa" w:w="110"/>
              <w:bottom w:type="dxa" w:w="70"/>
              <w:right w:type="dxa" w:w="110"/>
            </w:tcMar>
          </w:tcPr>
          <w:p>
            <w:r>
              <w:rPr>
                <w:b w:val="false"/>
                <w:bCs w:val="false"/>
                <w:color w:val="231F20"/>
                <w:sz w:val="19"/>
                <w:szCs w:val="19"/>
              </w:rPr>
              <w:t xml:space="preserve">Document vault with sequence numbering, OCR ingestion, and a “Praxis” AI command desk; in-app chat and a notification queue.</w:t>
            </w:r>
          </w:p>
        </w:tc>
      </w:tr>
      <w:tr>
        <w:tc>
          <w:tcPr>
            <w:tcW w:type="dxa" w:w="2300"/>
            <w:tcMar>
              <w:top w:type="dxa" w:w="70"/>
              <w:left w:type="dxa" w:w="110"/>
              <w:bottom w:type="dxa" w:w="70"/>
              <w:right w:type="dxa" w:w="110"/>
            </w:tcMar>
          </w:tcPr>
          <w:p>
            <w:r>
              <w:rPr>
                <w:b/>
                <w:bCs/>
                <w:color w:val="231F20"/>
                <w:sz w:val="19"/>
                <w:szCs w:val="19"/>
              </w:rPr>
              <w:t xml:space="preserve">Admin &amp; Security</w:t>
            </w:r>
          </w:p>
        </w:tc>
        <w:tc>
          <w:tcPr>
            <w:tcW w:type="dxa" w:w="6726"/>
            <w:tcMar>
              <w:top w:type="dxa" w:w="70"/>
              <w:left w:type="dxa" w:w="110"/>
              <w:bottom w:type="dxa" w:w="70"/>
              <w:right w:type="dxa" w:w="110"/>
            </w:tcMar>
          </w:tcPr>
          <w:p>
            <w:r>
              <w:rPr>
                <w:b w:val="false"/>
                <w:bCs w:val="false"/>
                <w:color w:val="231F20"/>
                <w:sz w:val="19"/>
                <w:szCs w:val="19"/>
              </w:rPr>
              <w:t xml:space="preserve">User &amp; role management, IAM/security (audit log, active sessions) and a hidden “God Mode” deletion console.</w:t>
            </w:r>
          </w:p>
        </w:tc>
      </w:tr>
    </w:tbl>
    <w:p>
      <w:pPr>
        <w:pStyle w:val="Heading3"/>
        <w:spacing w:after="80" w:before="180"/>
      </w:pPr>
      <w:r>
        <w:t xml:space="preserve">3.3  The data model in one glance</w:t>
      </w:r>
    </w:p>
    <w:p>
      <w:pPr>
        <w:spacing w:after="120" w:line="264"/>
      </w:pPr>
      <w:r>
        <w:t xml:space="preserve">The 84 tables cluster cleanly into recognisable business domains — clients &amp; suppliers, employees &amp; payroll, quotes &amp; sales, costing &amp; pricing, invoicing &amp; receipts, operations &amp; milestones, cash &amp; debt, documents &amp; OCR, and security &amp; audit. The structure shows real domain thinking. The weaknesses, covered in Section 5, are about duplication, the way permissions are modelled, and what is missing — not a lack of ambition.</w:t>
      </w:r>
    </w:p>
    <w:p>
      <w:pPr>
        <w:pStyle w:val="Heading1"/>
        <w:spacing w:after="160" w:before="300"/>
      </w:pPr>
      <w:r>
        <w:t xml:space="preserve">4.  What it does well — the gaps it already closes</w:t>
      </w:r>
    </w:p>
    <w:p>
      <w:pPr>
        <w:spacing w:after="120" w:line="264"/>
      </w:pPr>
      <w:r>
        <w:t xml:space="preserve">It would be wrong to read this as “throw it away.” The current system, flaws and all, already closes gaps that many logistics SMEs in the region still handle on paper or in spreadsheets. These are the assets worth preserving and re-implementing well:</w:t>
      </w:r>
    </w:p>
    <w:tbl>
      <w:tblPr>
        <w:tblW w:type="dxa" w:w="9026"/>
        <w:tblBorders>
          <w:top w:val="single" w:color="D6DEE3" w:sz="1"/>
          <w:left w:val="single" w:color="D6DEE3" w:sz="1"/>
          <w:bottom w:val="single" w:color="D6DEE3" w:sz="1"/>
          <w:right w:val="single" w:color="D6DEE3" w:sz="1"/>
          <w:insideH w:val="single" w:color="D6DEE3" w:sz="1"/>
          <w:insideV w:val="single" w:color="D6DEE3" w:sz="1"/>
        </w:tblBorders>
      </w:tblPr>
      <w:tblGrid>
        <w:gridCol w:w="2550"/>
        <w:gridCol w:w="5276"/>
        <w:gridCol w:w="1200"/>
      </w:tblGrid>
      <w:tr>
        <w:trPr>
          <w:tblHeader/>
        </w:trPr>
        <w:tc>
          <w:tcPr>
            <w:tcW w:type="dxa" w:w="2550"/>
            <w:shd w:fill="0F6E8C" w:color="auto" w:val="clear"/>
            <w:tcMar>
              <w:top w:type="dxa" w:w="70"/>
              <w:left w:type="dxa" w:w="110"/>
              <w:bottom w:type="dxa" w:w="70"/>
              <w:right w:type="dxa" w:w="110"/>
            </w:tcMar>
          </w:tcPr>
          <w:p>
            <w:r>
              <w:rPr>
                <w:b/>
                <w:bCs/>
                <w:color w:val="FFFFFF"/>
                <w:sz w:val="19"/>
                <w:szCs w:val="19"/>
              </w:rPr>
              <w:t xml:space="preserve">Strength</w:t>
            </w:r>
          </w:p>
        </w:tc>
        <w:tc>
          <w:tcPr>
            <w:tcW w:type="dxa" w:w="5276"/>
            <w:shd w:fill="0F6E8C" w:color="auto" w:val="clear"/>
            <w:tcMar>
              <w:top w:type="dxa" w:w="70"/>
              <w:left w:type="dxa" w:w="110"/>
              <w:bottom w:type="dxa" w:w="70"/>
              <w:right w:type="dxa" w:w="110"/>
            </w:tcMar>
          </w:tcPr>
          <w:p>
            <w:r>
              <w:rPr>
                <w:b/>
                <w:bCs/>
                <w:color w:val="FFFFFF"/>
                <w:sz w:val="19"/>
                <w:szCs w:val="19"/>
              </w:rPr>
              <w:t xml:space="preserve">Why it matters</w:t>
            </w:r>
          </w:p>
        </w:tc>
        <w:tc>
          <w:tcPr>
            <w:tcW w:type="dxa" w:w="1200"/>
            <w:shd w:fill="0F6E8C" w:color="auto" w:val="clear"/>
            <w:tcMar>
              <w:top w:type="dxa" w:w="70"/>
              <w:left w:type="dxa" w:w="110"/>
              <w:bottom w:type="dxa" w:w="70"/>
              <w:right w:type="dxa" w:w="110"/>
            </w:tcMar>
          </w:tcPr>
          <w:p>
            <w:r>
              <w:rPr>
                <w:b/>
                <w:bCs/>
                <w:color w:val="FFFFFF"/>
                <w:sz w:val="19"/>
                <w:szCs w:val="19"/>
              </w:rPr>
              <w:t xml:space="preserve">Status</w:t>
            </w:r>
          </w:p>
        </w:tc>
      </w:tr>
      <w:tr>
        <w:tc>
          <w:tcPr>
            <w:tcW w:type="dxa" w:w="2550"/>
            <w:tcMar>
              <w:top w:type="dxa" w:w="70"/>
              <w:left w:type="dxa" w:w="110"/>
              <w:bottom w:type="dxa" w:w="70"/>
              <w:right w:type="dxa" w:w="110"/>
            </w:tcMar>
          </w:tcPr>
          <w:p>
            <w:r>
              <w:rPr>
                <w:b w:val="false"/>
                <w:bCs w:val="false"/>
                <w:color w:val="231F20"/>
                <w:sz w:val="19"/>
                <w:szCs w:val="19"/>
              </w:rPr>
              <w:t xml:space="preserve">End-to-end commercial cycle</w:t>
            </w:r>
          </w:p>
        </w:tc>
        <w:tc>
          <w:tcPr>
            <w:tcW w:type="dxa" w:w="5276"/>
            <w:tcMar>
              <w:top w:type="dxa" w:w="70"/>
              <w:left w:type="dxa" w:w="110"/>
              <w:bottom w:type="dxa" w:w="70"/>
              <w:right w:type="dxa" w:w="110"/>
            </w:tcMar>
          </w:tcPr>
          <w:p>
            <w:r>
              <w:rPr>
                <w:b w:val="false"/>
                <w:bCs w:val="false"/>
                <w:color w:val="231F20"/>
                <w:sz w:val="19"/>
                <w:szCs w:val="19"/>
              </w:rPr>
              <w:t xml:space="preserve">Quote → costing → proforma → operation → invoice → receipt → receivable all live in one system.</w:t>
            </w:r>
          </w:p>
        </w:tc>
        <w:tc>
          <w:tcPr>
            <w:tcW w:type="dxa" w:w="1200"/>
            <w:tcMar>
              <w:top w:type="dxa" w:w="70"/>
              <w:left w:type="dxa" w:w="110"/>
              <w:bottom w:type="dxa" w:w="70"/>
              <w:right w:type="dxa" w:w="110"/>
            </w:tcMar>
          </w:tcPr>
          <w:p>
            <w:r>
              <w:rPr>
                <w:b/>
                <w:bCs/>
                <w:color w:val="1E7D45"/>
                <w:sz w:val="19"/>
                <w:szCs w:val="19"/>
              </w:rPr>
              <w:t xml:space="preserve">Strength</w:t>
            </w:r>
          </w:p>
        </w:tc>
      </w:tr>
      <w:tr>
        <w:tc>
          <w:tcPr>
            <w:tcW w:type="dxa" w:w="2550"/>
            <w:shd w:fill="F6F9FB" w:color="auto" w:val="clear"/>
            <w:tcMar>
              <w:top w:type="dxa" w:w="70"/>
              <w:left w:type="dxa" w:w="110"/>
              <w:bottom w:type="dxa" w:w="70"/>
              <w:right w:type="dxa" w:w="110"/>
            </w:tcMar>
          </w:tcPr>
          <w:p>
            <w:r>
              <w:rPr>
                <w:b w:val="false"/>
                <w:bCs w:val="false"/>
                <w:color w:val="231F20"/>
                <w:sz w:val="19"/>
                <w:szCs w:val="19"/>
              </w:rPr>
              <w:t xml:space="preserve">Segregation of duties concept</w:t>
            </w:r>
          </w:p>
        </w:tc>
        <w:tc>
          <w:tcPr>
            <w:tcW w:type="dxa" w:w="5276"/>
            <w:shd w:fill="F6F9FB" w:color="auto" w:val="clear"/>
            <w:tcMar>
              <w:top w:type="dxa" w:w="70"/>
              <w:left w:type="dxa" w:w="110"/>
              <w:bottom w:type="dxa" w:w="70"/>
              <w:right w:type="dxa" w:w="110"/>
            </w:tcMar>
          </w:tcPr>
          <w:p>
            <w:r>
              <w:rPr>
                <w:b w:val="false"/>
                <w:bCs w:val="false"/>
                <w:color w:val="231F20"/>
                <w:sz w:val="19"/>
                <w:szCs w:val="19"/>
              </w:rPr>
              <w:t xml:space="preserve">An Issuer / Validator / Approver authority model already exists alongside roles — the seed of proper financial controls.</w:t>
            </w:r>
          </w:p>
        </w:tc>
        <w:tc>
          <w:tcPr>
            <w:tcW w:type="dxa" w:w="1200"/>
            <w:shd w:fill="F6F9FB" w:color="auto" w:val="clear"/>
            <w:tcMar>
              <w:top w:type="dxa" w:w="70"/>
              <w:left w:type="dxa" w:w="110"/>
              <w:bottom w:type="dxa" w:w="70"/>
              <w:right w:type="dxa" w:w="110"/>
            </w:tcMar>
          </w:tcPr>
          <w:p>
            <w:r>
              <w:rPr>
                <w:b/>
                <w:bCs/>
                <w:color w:val="1E7D45"/>
                <w:sz w:val="19"/>
                <w:szCs w:val="19"/>
              </w:rPr>
              <w:t xml:space="preserve">Strength</w:t>
            </w:r>
          </w:p>
        </w:tc>
      </w:tr>
      <w:tr>
        <w:tc>
          <w:tcPr>
            <w:tcW w:type="dxa" w:w="2550"/>
            <w:tcMar>
              <w:top w:type="dxa" w:w="70"/>
              <w:left w:type="dxa" w:w="110"/>
              <w:bottom w:type="dxa" w:w="70"/>
              <w:right w:type="dxa" w:w="110"/>
            </w:tcMar>
          </w:tcPr>
          <w:p>
            <w:r>
              <w:rPr>
                <w:b w:val="false"/>
                <w:bCs w:val="false"/>
                <w:color w:val="231F20"/>
                <w:sz w:val="19"/>
                <w:szCs w:val="19"/>
              </w:rPr>
              <w:t xml:space="preserve">Margin &amp; costing engine</w:t>
            </w:r>
          </w:p>
        </w:tc>
        <w:tc>
          <w:tcPr>
            <w:tcW w:type="dxa" w:w="5276"/>
            <w:tcMar>
              <w:top w:type="dxa" w:w="70"/>
              <w:left w:type="dxa" w:w="110"/>
              <w:bottom w:type="dxa" w:w="70"/>
              <w:right w:type="dxa" w:w="110"/>
            </w:tcMar>
          </w:tcPr>
          <w:p>
            <w:r>
              <w:rPr>
                <w:b w:val="false"/>
                <w:bCs w:val="false"/>
                <w:color w:val="231F20"/>
                <w:sz w:val="19"/>
                <w:szCs w:val="19"/>
              </w:rPr>
              <w:t xml:space="preserve">Pricing logic, extra-charges simulation and cost-tracking reconciliation are codified, not tribal knowledge.</w:t>
            </w:r>
          </w:p>
        </w:tc>
        <w:tc>
          <w:tcPr>
            <w:tcW w:type="dxa" w:w="1200"/>
            <w:tcMar>
              <w:top w:type="dxa" w:w="70"/>
              <w:left w:type="dxa" w:w="110"/>
              <w:bottom w:type="dxa" w:w="70"/>
              <w:right w:type="dxa" w:w="110"/>
            </w:tcMar>
          </w:tcPr>
          <w:p>
            <w:r>
              <w:rPr>
                <w:b/>
                <w:bCs/>
                <w:color w:val="1E7D45"/>
                <w:sz w:val="19"/>
                <w:szCs w:val="19"/>
              </w:rPr>
              <w:t xml:space="preserve">Strength</w:t>
            </w:r>
          </w:p>
        </w:tc>
      </w:tr>
      <w:tr>
        <w:tc>
          <w:tcPr>
            <w:tcW w:type="dxa" w:w="2550"/>
            <w:shd w:fill="F6F9FB" w:color="auto" w:val="clear"/>
            <w:tcMar>
              <w:top w:type="dxa" w:w="70"/>
              <w:left w:type="dxa" w:w="110"/>
              <w:bottom w:type="dxa" w:w="70"/>
              <w:right w:type="dxa" w:w="110"/>
            </w:tcMar>
          </w:tcPr>
          <w:p>
            <w:r>
              <w:rPr>
                <w:b w:val="false"/>
                <w:bCs w:val="false"/>
                <w:color w:val="231F20"/>
                <w:sz w:val="19"/>
                <w:szCs w:val="19"/>
              </w:rPr>
              <w:t xml:space="preserve">Operations milestone tracking</w:t>
            </w:r>
          </w:p>
        </w:tc>
        <w:tc>
          <w:tcPr>
            <w:tcW w:type="dxa" w:w="5276"/>
            <w:shd w:fill="F6F9FB" w:color="auto" w:val="clear"/>
            <w:tcMar>
              <w:top w:type="dxa" w:w="70"/>
              <w:left w:type="dxa" w:w="110"/>
              <w:bottom w:type="dxa" w:w="70"/>
              <w:right w:type="dxa" w:w="110"/>
            </w:tcMar>
          </w:tcPr>
          <w:p>
            <w:r>
              <w:rPr>
                <w:b w:val="false"/>
                <w:bCs w:val="false"/>
                <w:color w:val="231F20"/>
                <w:sz w:val="19"/>
                <w:szCs w:val="19"/>
              </w:rPr>
              <w:t xml:space="preserve">Jobs are tracked through defined milestones with evidence documents — real operational visibility.</w:t>
            </w:r>
          </w:p>
        </w:tc>
        <w:tc>
          <w:tcPr>
            <w:tcW w:type="dxa" w:w="1200"/>
            <w:shd w:fill="F6F9FB" w:color="auto" w:val="clear"/>
            <w:tcMar>
              <w:top w:type="dxa" w:w="70"/>
              <w:left w:type="dxa" w:w="110"/>
              <w:bottom w:type="dxa" w:w="70"/>
              <w:right w:type="dxa" w:w="110"/>
            </w:tcMar>
          </w:tcPr>
          <w:p>
            <w:r>
              <w:rPr>
                <w:b/>
                <w:bCs/>
                <w:color w:val="1E7D45"/>
                <w:sz w:val="19"/>
                <w:szCs w:val="19"/>
              </w:rPr>
              <w:t xml:space="preserve">Strength</w:t>
            </w:r>
          </w:p>
        </w:tc>
      </w:tr>
      <w:tr>
        <w:tc>
          <w:tcPr>
            <w:tcW w:type="dxa" w:w="2550"/>
            <w:tcMar>
              <w:top w:type="dxa" w:w="70"/>
              <w:left w:type="dxa" w:w="110"/>
              <w:bottom w:type="dxa" w:w="70"/>
              <w:right w:type="dxa" w:w="110"/>
            </w:tcMar>
          </w:tcPr>
          <w:p>
            <w:r>
              <w:rPr>
                <w:b w:val="false"/>
                <w:bCs w:val="false"/>
                <w:color w:val="231F20"/>
                <w:sz w:val="19"/>
                <w:szCs w:val="19"/>
              </w:rPr>
              <w:t xml:space="preserve">OCR + AI assist (Praxis)</w:t>
            </w:r>
          </w:p>
        </w:tc>
        <w:tc>
          <w:tcPr>
            <w:tcW w:type="dxa" w:w="5276"/>
            <w:tcMar>
              <w:top w:type="dxa" w:w="70"/>
              <w:left w:type="dxa" w:w="110"/>
              <w:bottom w:type="dxa" w:w="70"/>
              <w:right w:type="dxa" w:w="110"/>
            </w:tcMar>
          </w:tcPr>
          <w:p>
            <w:r>
              <w:rPr>
                <w:b w:val="false"/>
                <w:bCs w:val="false"/>
                <w:color w:val="231F20"/>
                <w:sz w:val="19"/>
                <w:szCs w:val="19"/>
              </w:rPr>
              <w:t xml:space="preserve">Modern document data-extraction and an AI desk put SmartLS ahead of typical local tooling.</w:t>
            </w:r>
          </w:p>
        </w:tc>
        <w:tc>
          <w:tcPr>
            <w:tcW w:type="dxa" w:w="1200"/>
            <w:tcMar>
              <w:top w:type="dxa" w:w="70"/>
              <w:left w:type="dxa" w:w="110"/>
              <w:bottom w:type="dxa" w:w="70"/>
              <w:right w:type="dxa" w:w="110"/>
            </w:tcMar>
          </w:tcPr>
          <w:p>
            <w:r>
              <w:rPr>
                <w:b/>
                <w:bCs/>
                <w:color w:val="1E7D45"/>
                <w:sz w:val="19"/>
                <w:szCs w:val="19"/>
              </w:rPr>
              <w:t xml:space="preserve">Strength</w:t>
            </w:r>
          </w:p>
        </w:tc>
      </w:tr>
      <w:tr>
        <w:tc>
          <w:tcPr>
            <w:tcW w:type="dxa" w:w="2550"/>
            <w:shd w:fill="F6F9FB" w:color="auto" w:val="clear"/>
            <w:tcMar>
              <w:top w:type="dxa" w:w="70"/>
              <w:left w:type="dxa" w:w="110"/>
              <w:bottom w:type="dxa" w:w="70"/>
              <w:right w:type="dxa" w:w="110"/>
            </w:tcMar>
          </w:tcPr>
          <w:p>
            <w:r>
              <w:rPr>
                <w:b w:val="false"/>
                <w:bCs w:val="false"/>
                <w:color w:val="231F20"/>
                <w:sz w:val="19"/>
                <w:szCs w:val="19"/>
              </w:rPr>
              <w:t xml:space="preserve">Document vault + sequencing</w:t>
            </w:r>
          </w:p>
        </w:tc>
        <w:tc>
          <w:tcPr>
            <w:tcW w:type="dxa" w:w="5276"/>
            <w:shd w:fill="F6F9FB" w:color="auto" w:val="clear"/>
            <w:tcMar>
              <w:top w:type="dxa" w:w="70"/>
              <w:left w:type="dxa" w:w="110"/>
              <w:bottom w:type="dxa" w:w="70"/>
              <w:right w:type="dxa" w:w="110"/>
            </w:tcMar>
          </w:tcPr>
          <w:p>
            <w:r>
              <w:rPr>
                <w:b w:val="false"/>
                <w:bCs w:val="false"/>
                <w:color w:val="231F20"/>
                <w:sz w:val="19"/>
                <w:szCs w:val="19"/>
              </w:rPr>
              <w:t xml:space="preserve">Central document storage with controlled numbering and a deletion ledger — good instincts for auditability.</w:t>
            </w:r>
          </w:p>
        </w:tc>
        <w:tc>
          <w:tcPr>
            <w:tcW w:type="dxa" w:w="1200"/>
            <w:shd w:fill="F6F9FB" w:color="auto" w:val="clear"/>
            <w:tcMar>
              <w:top w:type="dxa" w:w="70"/>
              <w:left w:type="dxa" w:w="110"/>
              <w:bottom w:type="dxa" w:w="70"/>
              <w:right w:type="dxa" w:w="110"/>
            </w:tcMar>
          </w:tcPr>
          <w:p>
            <w:r>
              <w:rPr>
                <w:b/>
                <w:bCs/>
                <w:color w:val="1E7D45"/>
                <w:sz w:val="19"/>
                <w:szCs w:val="19"/>
              </w:rPr>
              <w:t xml:space="preserve">Strength</w:t>
            </w:r>
          </w:p>
        </w:tc>
      </w:tr>
      <w:tr>
        <w:tc>
          <w:tcPr>
            <w:tcW w:type="dxa" w:w="2550"/>
            <w:tcMar>
              <w:top w:type="dxa" w:w="70"/>
              <w:left w:type="dxa" w:w="110"/>
              <w:bottom w:type="dxa" w:w="70"/>
              <w:right w:type="dxa" w:w="110"/>
            </w:tcMar>
          </w:tcPr>
          <w:p>
            <w:r>
              <w:rPr>
                <w:b w:val="false"/>
                <w:bCs w:val="false"/>
                <w:color w:val="231F20"/>
                <w:sz w:val="19"/>
                <w:szCs w:val="19"/>
              </w:rPr>
              <w:t xml:space="preserve">Audit log &amp; session monitor</w:t>
            </w:r>
          </w:p>
        </w:tc>
        <w:tc>
          <w:tcPr>
            <w:tcW w:type="dxa" w:w="5276"/>
            <w:tcMar>
              <w:top w:type="dxa" w:w="70"/>
              <w:left w:type="dxa" w:w="110"/>
              <w:bottom w:type="dxa" w:w="70"/>
              <w:right w:type="dxa" w:w="110"/>
            </w:tcMar>
          </w:tcPr>
          <w:p>
            <w:r>
              <w:rPr>
                <w:b w:val="false"/>
                <w:bCs w:val="false"/>
                <w:color w:val="231F20"/>
                <w:sz w:val="19"/>
                <w:szCs w:val="19"/>
              </w:rPr>
              <w:t xml:space="preserve">Logins (including failures) and active sessions are recorded — the basis of a security trail.</w:t>
            </w:r>
          </w:p>
        </w:tc>
        <w:tc>
          <w:tcPr>
            <w:tcW w:type="dxa" w:w="1200"/>
            <w:tcMar>
              <w:top w:type="dxa" w:w="70"/>
              <w:left w:type="dxa" w:w="110"/>
              <w:bottom w:type="dxa" w:w="70"/>
              <w:right w:type="dxa" w:w="110"/>
            </w:tcMar>
          </w:tcPr>
          <w:p>
            <w:r>
              <w:rPr>
                <w:b/>
                <w:bCs/>
                <w:color w:val="1E7D45"/>
                <w:sz w:val="19"/>
                <w:szCs w:val="19"/>
              </w:rPr>
              <w:t xml:space="preserve">Strength</w:t>
            </w:r>
          </w:p>
        </w:tc>
      </w:tr>
      <w:tr>
        <w:tc>
          <w:tcPr>
            <w:tcW w:type="dxa" w:w="2550"/>
            <w:shd w:fill="F6F9FB" w:color="auto" w:val="clear"/>
            <w:tcMar>
              <w:top w:type="dxa" w:w="70"/>
              <w:left w:type="dxa" w:w="110"/>
              <w:bottom w:type="dxa" w:w="70"/>
              <w:right w:type="dxa" w:w="110"/>
            </w:tcMar>
          </w:tcPr>
          <w:p>
            <w:r>
              <w:rPr>
                <w:b w:val="false"/>
                <w:bCs w:val="false"/>
                <w:color w:val="231F20"/>
                <w:sz w:val="19"/>
                <w:szCs w:val="19"/>
              </w:rPr>
              <w:t xml:space="preserve">CNPS-aware payroll</w:t>
            </w:r>
          </w:p>
        </w:tc>
        <w:tc>
          <w:tcPr>
            <w:tcW w:type="dxa" w:w="5276"/>
            <w:shd w:fill="F6F9FB" w:color="auto" w:val="clear"/>
            <w:tcMar>
              <w:top w:type="dxa" w:w="70"/>
              <w:left w:type="dxa" w:w="110"/>
              <w:bottom w:type="dxa" w:w="70"/>
              <w:right w:type="dxa" w:w="110"/>
            </w:tcMar>
          </w:tcPr>
          <w:p>
            <w:r>
              <w:rPr>
                <w:b w:val="false"/>
                <w:bCs w:val="false"/>
                <w:color w:val="231F20"/>
                <w:sz w:val="19"/>
                <w:szCs w:val="19"/>
              </w:rPr>
              <w:t xml:space="preserve">Payroll already carries Cameroon social-security fields — local compliance awareness is built in.</w:t>
            </w:r>
          </w:p>
        </w:tc>
        <w:tc>
          <w:tcPr>
            <w:tcW w:type="dxa" w:w="1200"/>
            <w:shd w:fill="F6F9FB" w:color="auto" w:val="clear"/>
            <w:tcMar>
              <w:top w:type="dxa" w:w="70"/>
              <w:left w:type="dxa" w:w="110"/>
              <w:bottom w:type="dxa" w:w="70"/>
              <w:right w:type="dxa" w:w="110"/>
            </w:tcMar>
          </w:tcPr>
          <w:p>
            <w:r>
              <w:rPr>
                <w:b/>
                <w:bCs/>
                <w:color w:val="1E7D45"/>
                <w:sz w:val="19"/>
                <w:szCs w:val="19"/>
              </w:rPr>
              <w:t xml:space="preserve">Strength</w:t>
            </w:r>
          </w:p>
        </w:tc>
      </w:tr>
      <w:tr>
        <w:tc>
          <w:tcPr>
            <w:tcW w:type="dxa" w:w="2550"/>
            <w:tcMar>
              <w:top w:type="dxa" w:w="70"/>
              <w:left w:type="dxa" w:w="110"/>
              <w:bottom w:type="dxa" w:w="70"/>
              <w:right w:type="dxa" w:w="110"/>
            </w:tcMar>
          </w:tcPr>
          <w:p>
            <w:r>
              <w:rPr>
                <w:b w:val="false"/>
                <w:bCs w:val="false"/>
                <w:color w:val="231F20"/>
                <w:sz w:val="19"/>
                <w:szCs w:val="19"/>
              </w:rPr>
              <w:t xml:space="preserve">Bilingual public website</w:t>
            </w:r>
          </w:p>
        </w:tc>
        <w:tc>
          <w:tcPr>
            <w:tcW w:type="dxa" w:w="5276"/>
            <w:tcMar>
              <w:top w:type="dxa" w:w="70"/>
              <w:left w:type="dxa" w:w="110"/>
              <w:bottom w:type="dxa" w:w="70"/>
              <w:right w:type="dxa" w:w="110"/>
            </w:tcMar>
          </w:tcPr>
          <w:p>
            <w:r>
              <w:rPr>
                <w:b w:val="false"/>
                <w:bCs w:val="false"/>
                <w:color w:val="231F20"/>
                <w:sz w:val="19"/>
                <w:szCs w:val="19"/>
              </w:rPr>
              <w:t xml:space="preserve">The customer-facing site already ships English and French — half the bilingual job is done.</w:t>
            </w:r>
          </w:p>
        </w:tc>
        <w:tc>
          <w:tcPr>
            <w:tcW w:type="dxa" w:w="1200"/>
            <w:tcMar>
              <w:top w:type="dxa" w:w="70"/>
              <w:left w:type="dxa" w:w="110"/>
              <w:bottom w:type="dxa" w:w="70"/>
              <w:right w:type="dxa" w:w="110"/>
            </w:tcMar>
          </w:tcPr>
          <w:p>
            <w:r>
              <w:rPr>
                <w:b/>
                <w:bCs/>
                <w:color w:val="1E7D45"/>
                <w:sz w:val="19"/>
                <w:szCs w:val="19"/>
              </w:rPr>
              <w:t xml:space="preserve">Strength</w:t>
            </w:r>
          </w:p>
        </w:tc>
      </w:tr>
    </w:tbl>
    <w:tbl>
      <w:tblPr>
        <w:tblW w:type="dxa" w:w="9026"/>
        <w:tblBorders>
          <w:top w:val="single" w:color="E2E8EC" w:sz="1"/>
          <w:left w:val="single" w:color="1E7D45" w:sz="18"/>
          <w:bottom w:val="single" w:color="E2E8EC" w:sz="1"/>
          <w:right w:val="single" w:color="E2E8EC" w:sz="1"/>
          <w:insideH w:val="single" w:color="E2E8EC" w:sz="1"/>
          <w:insideV w:val="single" w:color="E2E8EC" w:sz="1"/>
        </w:tblBorders>
      </w:tblPr>
      <w:tblGrid>
        <w:gridCol w:w="9026"/>
      </w:tblGrid>
      <w:tr>
        <w:tc>
          <w:tcPr>
            <w:tcW w:type="dxa" w:w="9026"/>
            <w:shd w:fill="F7FAFB" w:color="auto" w:val="clear"/>
            <w:tcMar>
              <w:top w:type="dxa" w:w="130"/>
              <w:left w:type="dxa" w:w="200"/>
              <w:bottom w:type="dxa" w:w="130"/>
              <w:right w:type="dxa" w:w="160"/>
            </w:tcMar>
          </w:tcPr>
          <w:p>
            <w:pPr>
              <w:spacing w:after="70"/>
            </w:pPr>
            <w:r>
              <w:rPr>
                <w:b/>
                <w:bCs/>
                <w:color w:val="1E7D45"/>
                <w:sz w:val="21"/>
                <w:szCs w:val="21"/>
              </w:rPr>
              <w:t xml:space="preserve">Read this as a foundation, not a write-off</w:t>
            </w:r>
          </w:p>
          <w:p>
            <w:pPr>
              <w:spacing w:after="0" w:line="258"/>
            </w:pPr>
            <w:r>
              <w:rPr>
                <w:sz w:val="20"/>
                <w:szCs w:val="20"/>
              </w:rPr>
              <w:t xml:space="preserve">The revamp keeps these capabilities and the data behind them. The job is to re-home them on a stronger, secure, compliant and bilingual platform — not to reinvent the business logic from zero.</w:t>
            </w:r>
          </w:p>
        </w:tc>
      </w:tr>
    </w:tbl>
    <w:p>
      <w:r>
        <w:br w:type="page"/>
      </w:r>
    </w:p>
    <w:p>
      <w:pPr>
        <w:pStyle w:val="Heading1"/>
        <w:spacing w:after="160" w:before="300"/>
      </w:pPr>
      <w:r>
        <w:t xml:space="preserve">5.  The flaws — full audit</w:t>
      </w:r>
    </w:p>
    <w:p>
      <w:pPr>
        <w:spacing w:after="120" w:line="264"/>
      </w:pPr>
      <w:r>
        <w:t xml:space="preserve">Findings are grouped by theme and rated Critical, High or Medium. Critical items are security or compliance exposures that should be addressed regardless of the revamp timeline.</w:t>
      </w:r>
    </w:p>
    <w:p>
      <w:pPr>
        <w:pStyle w:val="Heading2"/>
        <w:spacing w:after="120" w:before="240"/>
      </w:pPr>
      <w:r>
        <w:t xml:space="preserve">5.1  Security &amp; data protection</w:t>
      </w:r>
    </w:p>
    <w:tbl>
      <w:tblPr>
        <w:tblW w:type="dxa" w:w="9026"/>
        <w:tblBorders>
          <w:top w:val="single" w:color="D6DEE3" w:sz="1"/>
          <w:left w:val="single" w:color="D6DEE3" w:sz="1"/>
          <w:bottom w:val="single" w:color="D6DEE3" w:sz="1"/>
          <w:right w:val="single" w:color="D6DEE3" w:sz="1"/>
          <w:insideH w:val="single" w:color="D6DEE3" w:sz="1"/>
          <w:insideV w:val="single" w:color="D6DEE3" w:sz="1"/>
        </w:tblBorders>
      </w:tblPr>
      <w:tblGrid>
        <w:gridCol w:w="2550"/>
        <w:gridCol w:w="5276"/>
        <w:gridCol w:w="1200"/>
      </w:tblGrid>
      <w:tr>
        <w:trPr>
          <w:tblHeader/>
        </w:trPr>
        <w:tc>
          <w:tcPr>
            <w:tcW w:type="dxa" w:w="2550"/>
            <w:shd w:fill="0F6E8C" w:color="auto" w:val="clear"/>
            <w:tcMar>
              <w:top w:type="dxa" w:w="70"/>
              <w:left w:type="dxa" w:w="110"/>
              <w:bottom w:type="dxa" w:w="70"/>
              <w:right w:type="dxa" w:w="110"/>
            </w:tcMar>
          </w:tcPr>
          <w:p>
            <w:r>
              <w:rPr>
                <w:b/>
                <w:bCs/>
                <w:color w:val="FFFFFF"/>
                <w:sz w:val="19"/>
                <w:szCs w:val="19"/>
              </w:rPr>
              <w:t xml:space="preserve">Finding</w:t>
            </w:r>
          </w:p>
        </w:tc>
        <w:tc>
          <w:tcPr>
            <w:tcW w:type="dxa" w:w="5276"/>
            <w:shd w:fill="0F6E8C" w:color="auto" w:val="clear"/>
            <w:tcMar>
              <w:top w:type="dxa" w:w="70"/>
              <w:left w:type="dxa" w:w="110"/>
              <w:bottom w:type="dxa" w:w="70"/>
              <w:right w:type="dxa" w:w="110"/>
            </w:tcMar>
          </w:tcPr>
          <w:p>
            <w:r>
              <w:rPr>
                <w:b/>
                <w:bCs/>
                <w:color w:val="FFFFFF"/>
                <w:sz w:val="19"/>
                <w:szCs w:val="19"/>
              </w:rPr>
              <w:t xml:space="preserve">What we saw</w:t>
            </w:r>
          </w:p>
        </w:tc>
        <w:tc>
          <w:tcPr>
            <w:tcW w:type="dxa" w:w="1200"/>
            <w:shd w:fill="0F6E8C" w:color="auto" w:val="clear"/>
            <w:tcMar>
              <w:top w:type="dxa" w:w="70"/>
              <w:left w:type="dxa" w:w="110"/>
              <w:bottom w:type="dxa" w:w="70"/>
              <w:right w:type="dxa" w:w="110"/>
            </w:tcMar>
          </w:tcPr>
          <w:p>
            <w:r>
              <w:rPr>
                <w:b/>
                <w:bCs/>
                <w:color w:val="FFFFFF"/>
                <w:sz w:val="19"/>
                <w:szCs w:val="19"/>
              </w:rPr>
              <w:t xml:space="preserve">Severity</w:t>
            </w:r>
          </w:p>
        </w:tc>
      </w:tr>
      <w:tr>
        <w:tc>
          <w:tcPr>
            <w:tcW w:type="dxa" w:w="2550"/>
            <w:tcMar>
              <w:top w:type="dxa" w:w="70"/>
              <w:left w:type="dxa" w:w="110"/>
              <w:bottom w:type="dxa" w:w="70"/>
              <w:right w:type="dxa" w:w="110"/>
            </w:tcMar>
          </w:tcPr>
          <w:p>
            <w:r>
              <w:rPr>
                <w:b w:val="false"/>
                <w:bCs w:val="false"/>
                <w:color w:val="231F20"/>
                <w:sz w:val="19"/>
                <w:szCs w:val="19"/>
              </w:rPr>
              <w:t xml:space="preserve">Hard-coded database password</w:t>
            </w:r>
          </w:p>
        </w:tc>
        <w:tc>
          <w:tcPr>
            <w:tcW w:type="dxa" w:w="5276"/>
            <w:tcMar>
              <w:top w:type="dxa" w:w="70"/>
              <w:left w:type="dxa" w:w="110"/>
              <w:bottom w:type="dxa" w:w="70"/>
              <w:right w:type="dxa" w:w="110"/>
            </w:tcMar>
          </w:tcPr>
          <w:p>
            <w:r>
              <w:rPr>
                <w:b w:val="false"/>
                <w:bCs w:val="false"/>
                <w:color w:val="231F20"/>
                <w:sz w:val="19"/>
                <w:szCs w:val="19"/>
              </w:rPr>
              <w:t xml:space="preserve">The live DB username and password sit in plain text inside config/db.php, travelling with the code. Anyone with the files has the database.</w:t>
            </w:r>
          </w:p>
        </w:tc>
        <w:tc>
          <w:tcPr>
            <w:tcW w:type="dxa" w:w="1200"/>
            <w:tcMar>
              <w:top w:type="dxa" w:w="70"/>
              <w:left w:type="dxa" w:w="110"/>
              <w:bottom w:type="dxa" w:w="70"/>
              <w:right w:type="dxa" w:w="110"/>
            </w:tcMar>
          </w:tcPr>
          <w:p>
            <w:r>
              <w:rPr>
                <w:b/>
                <w:bCs/>
                <w:color w:val="B0341D"/>
                <w:sz w:val="19"/>
                <w:szCs w:val="19"/>
              </w:rPr>
              <w:t xml:space="preserve">Critical</w:t>
            </w:r>
          </w:p>
        </w:tc>
      </w:tr>
      <w:tr>
        <w:tc>
          <w:tcPr>
            <w:tcW w:type="dxa" w:w="2550"/>
            <w:shd w:fill="F6F9FB" w:color="auto" w:val="clear"/>
            <w:tcMar>
              <w:top w:type="dxa" w:w="70"/>
              <w:left w:type="dxa" w:w="110"/>
              <w:bottom w:type="dxa" w:w="70"/>
              <w:right w:type="dxa" w:w="110"/>
            </w:tcMar>
          </w:tcPr>
          <w:p>
            <w:r>
              <w:rPr>
                <w:b w:val="false"/>
                <w:bCs w:val="false"/>
                <w:color w:val="231F20"/>
                <w:sz w:val="19"/>
                <w:szCs w:val="19"/>
              </w:rPr>
              <w:t xml:space="preserve">“God Mode” hard-delete console</w:t>
            </w:r>
          </w:p>
        </w:tc>
        <w:tc>
          <w:tcPr>
            <w:tcW w:type="dxa" w:w="5276"/>
            <w:shd w:fill="F6F9FB" w:color="auto" w:val="clear"/>
            <w:tcMar>
              <w:top w:type="dxa" w:w="70"/>
              <w:left w:type="dxa" w:w="110"/>
              <w:bottom w:type="dxa" w:w="70"/>
              <w:right w:type="dxa" w:w="110"/>
            </w:tcMar>
          </w:tcPr>
          <w:p>
            <w:r>
              <w:rPr>
                <w:b w:val="false"/>
                <w:bCs w:val="false"/>
                <w:color w:val="231F20"/>
                <w:sz w:val="19"/>
                <w:szCs w:val="19"/>
              </w:rPr>
              <w:t xml:space="preserve">A hidden admin screen performs permanent deletions, gated only by a role check and a secondary password table. Powerful, destructive, lightly governed.</w:t>
            </w:r>
          </w:p>
        </w:tc>
        <w:tc>
          <w:tcPr>
            <w:tcW w:type="dxa" w:w="1200"/>
            <w:shd w:fill="F6F9FB" w:color="auto" w:val="clear"/>
            <w:tcMar>
              <w:top w:type="dxa" w:w="70"/>
              <w:left w:type="dxa" w:w="110"/>
              <w:bottom w:type="dxa" w:w="70"/>
              <w:right w:type="dxa" w:w="110"/>
            </w:tcMar>
          </w:tcPr>
          <w:p>
            <w:r>
              <w:rPr>
                <w:b/>
                <w:bCs/>
                <w:color w:val="B0341D"/>
                <w:sz w:val="19"/>
                <w:szCs w:val="19"/>
              </w:rPr>
              <w:t xml:space="preserve">Critical</w:t>
            </w:r>
          </w:p>
        </w:tc>
      </w:tr>
      <w:tr>
        <w:tc>
          <w:tcPr>
            <w:tcW w:type="dxa" w:w="2550"/>
            <w:tcMar>
              <w:top w:type="dxa" w:w="70"/>
              <w:left w:type="dxa" w:w="110"/>
              <w:bottom w:type="dxa" w:w="70"/>
              <w:right w:type="dxa" w:w="110"/>
            </w:tcMar>
          </w:tcPr>
          <w:p>
            <w:r>
              <w:rPr>
                <w:b w:val="false"/>
                <w:bCs w:val="false"/>
                <w:color w:val="231F20"/>
                <w:sz w:val="19"/>
                <w:szCs w:val="19"/>
              </w:rPr>
              <w:t xml:space="preserve">Error logs in web folders</w:t>
            </w:r>
          </w:p>
        </w:tc>
        <w:tc>
          <w:tcPr>
            <w:tcW w:type="dxa" w:w="5276"/>
            <w:tcMar>
              <w:top w:type="dxa" w:w="70"/>
              <w:left w:type="dxa" w:w="110"/>
              <w:bottom w:type="dxa" w:w="70"/>
              <w:right w:type="dxa" w:w="110"/>
            </w:tcMar>
          </w:tcPr>
          <w:p>
            <w:r>
              <w:rPr>
                <w:b w:val="false"/>
                <w:bCs w:val="false"/>
                <w:color w:val="231F20"/>
                <w:sz w:val="19"/>
                <w:szCs w:val="19"/>
              </w:rPr>
              <w:t xml:space="preserve">PHP error_log files sit inside served api/ directories. These can leak file paths, queries and internal logic to anyone who guesses the URL.</w:t>
            </w:r>
          </w:p>
        </w:tc>
        <w:tc>
          <w:tcPr>
            <w:tcW w:type="dxa" w:w="1200"/>
            <w:tcMar>
              <w:top w:type="dxa" w:w="70"/>
              <w:left w:type="dxa" w:w="110"/>
              <w:bottom w:type="dxa" w:w="70"/>
              <w:right w:type="dxa" w:w="110"/>
            </w:tcMar>
          </w:tcPr>
          <w:p>
            <w:r>
              <w:rPr>
                <w:b/>
                <w:bCs/>
                <w:color w:val="B0341D"/>
                <w:sz w:val="19"/>
                <w:szCs w:val="19"/>
              </w:rPr>
              <w:t xml:space="preserve">Critical</w:t>
            </w:r>
          </w:p>
        </w:tc>
      </w:tr>
      <w:tr>
        <w:tc>
          <w:tcPr>
            <w:tcW w:type="dxa" w:w="2550"/>
            <w:shd w:fill="F6F9FB" w:color="auto" w:val="clear"/>
            <w:tcMar>
              <w:top w:type="dxa" w:w="70"/>
              <w:left w:type="dxa" w:w="110"/>
              <w:bottom w:type="dxa" w:w="70"/>
              <w:right w:type="dxa" w:w="110"/>
            </w:tcMar>
          </w:tcPr>
          <w:p>
            <w:r>
              <w:rPr>
                <w:b w:val="false"/>
                <w:bCs w:val="false"/>
                <w:color w:val="231F20"/>
                <w:sz w:val="19"/>
                <w:szCs w:val="19"/>
              </w:rPr>
              <w:t xml:space="preserve">No brute-force protection</w:t>
            </w:r>
          </w:p>
        </w:tc>
        <w:tc>
          <w:tcPr>
            <w:tcW w:type="dxa" w:w="5276"/>
            <w:shd w:fill="F6F9FB" w:color="auto" w:val="clear"/>
            <w:tcMar>
              <w:top w:type="dxa" w:w="70"/>
              <w:left w:type="dxa" w:w="110"/>
              <w:bottom w:type="dxa" w:w="70"/>
              <w:right w:type="dxa" w:w="110"/>
            </w:tcMar>
          </w:tcPr>
          <w:p>
            <w:r>
              <w:rPr>
                <w:b w:val="false"/>
                <w:bCs w:val="false"/>
                <w:color w:val="231F20"/>
                <w:sz w:val="19"/>
                <w:szCs w:val="19"/>
              </w:rPr>
              <w:t xml:space="preserve">Failed logins are recorded but not throttled or locked out, and there is no multi-factor authentication. Passwords can be attacked at will.</w:t>
            </w:r>
          </w:p>
        </w:tc>
        <w:tc>
          <w:tcPr>
            <w:tcW w:type="dxa" w:w="1200"/>
            <w:shd w:fill="F6F9FB" w:color="auto" w:val="clear"/>
            <w:tcMar>
              <w:top w:type="dxa" w:w="70"/>
              <w:left w:type="dxa" w:w="110"/>
              <w:bottom w:type="dxa" w:w="70"/>
              <w:right w:type="dxa" w:w="110"/>
            </w:tcMar>
          </w:tcPr>
          <w:p>
            <w:r>
              <w:rPr>
                <w:b/>
                <w:bCs/>
                <w:color w:val="9C6A00"/>
                <w:sz w:val="19"/>
                <w:szCs w:val="19"/>
              </w:rPr>
              <w:t xml:space="preserve">High</w:t>
            </w:r>
          </w:p>
        </w:tc>
      </w:tr>
      <w:tr>
        <w:tc>
          <w:tcPr>
            <w:tcW w:type="dxa" w:w="2550"/>
            <w:tcMar>
              <w:top w:type="dxa" w:w="70"/>
              <w:left w:type="dxa" w:w="110"/>
              <w:bottom w:type="dxa" w:w="70"/>
              <w:right w:type="dxa" w:w="110"/>
            </w:tcMar>
          </w:tcPr>
          <w:p>
            <w:r>
              <w:rPr>
                <w:b w:val="false"/>
                <w:bCs w:val="false"/>
                <w:color w:val="231F20"/>
                <w:sz w:val="19"/>
                <w:szCs w:val="19"/>
              </w:rPr>
              <w:t xml:space="preserve">Mixed database access</w:t>
            </w:r>
          </w:p>
        </w:tc>
        <w:tc>
          <w:tcPr>
            <w:tcW w:type="dxa" w:w="5276"/>
            <w:tcMar>
              <w:top w:type="dxa" w:w="70"/>
              <w:left w:type="dxa" w:w="110"/>
              <w:bottom w:type="dxa" w:w="70"/>
              <w:right w:type="dxa" w:w="110"/>
            </w:tcMar>
          </w:tcPr>
          <w:p>
            <w:r>
              <w:rPr>
                <w:b w:val="false"/>
                <w:bCs w:val="false"/>
                <w:color w:val="231F20"/>
                <w:sz w:val="19"/>
                <w:szCs w:val="19"/>
              </w:rPr>
              <w:t xml:space="preserve">Of ~674 query calls, ~197 are raw (un-parameterised) and a handful build queries with inline variables — an SQL-injection surface, even if many are integer-cast.</w:t>
            </w:r>
          </w:p>
        </w:tc>
        <w:tc>
          <w:tcPr>
            <w:tcW w:type="dxa" w:w="1200"/>
            <w:tcMar>
              <w:top w:type="dxa" w:w="70"/>
              <w:left w:type="dxa" w:w="110"/>
              <w:bottom w:type="dxa" w:w="70"/>
              <w:right w:type="dxa" w:w="110"/>
            </w:tcMar>
          </w:tcPr>
          <w:p>
            <w:r>
              <w:rPr>
                <w:b/>
                <w:bCs/>
                <w:color w:val="9C6A00"/>
                <w:sz w:val="19"/>
                <w:szCs w:val="19"/>
              </w:rPr>
              <w:t xml:space="preserve">High</w:t>
            </w:r>
          </w:p>
        </w:tc>
      </w:tr>
      <w:tr>
        <w:tc>
          <w:tcPr>
            <w:tcW w:type="dxa" w:w="2550"/>
            <w:shd w:fill="F6F9FB" w:color="auto" w:val="clear"/>
            <w:tcMar>
              <w:top w:type="dxa" w:w="70"/>
              <w:left w:type="dxa" w:w="110"/>
              <w:bottom w:type="dxa" w:w="70"/>
              <w:right w:type="dxa" w:w="110"/>
            </w:tcMar>
          </w:tcPr>
          <w:p>
            <w:r>
              <w:rPr>
                <w:b w:val="false"/>
                <w:bCs w:val="false"/>
                <w:color w:val="231F20"/>
                <w:sz w:val="19"/>
                <w:szCs w:val="19"/>
              </w:rPr>
              <w:t xml:space="preserve">No secrets / environment config</w:t>
            </w:r>
          </w:p>
        </w:tc>
        <w:tc>
          <w:tcPr>
            <w:tcW w:type="dxa" w:w="5276"/>
            <w:shd w:fill="F6F9FB" w:color="auto" w:val="clear"/>
            <w:tcMar>
              <w:top w:type="dxa" w:w="70"/>
              <w:left w:type="dxa" w:w="110"/>
              <w:bottom w:type="dxa" w:w="70"/>
              <w:right w:type="dxa" w:w="110"/>
            </w:tcMar>
          </w:tcPr>
          <w:p>
            <w:r>
              <w:rPr>
                <w:b w:val="false"/>
                <w:bCs w:val="false"/>
                <w:color w:val="231F20"/>
                <w:sz w:val="19"/>
                <w:szCs w:val="19"/>
              </w:rPr>
              <w:t xml:space="preserve">Credentials and settings are baked into source rather than environment variables or a secrets store, so they cannot be rotated cleanly.</w:t>
            </w:r>
          </w:p>
        </w:tc>
        <w:tc>
          <w:tcPr>
            <w:tcW w:type="dxa" w:w="1200"/>
            <w:shd w:fill="F6F9FB" w:color="auto" w:val="clear"/>
            <w:tcMar>
              <w:top w:type="dxa" w:w="70"/>
              <w:left w:type="dxa" w:w="110"/>
              <w:bottom w:type="dxa" w:w="70"/>
              <w:right w:type="dxa" w:w="110"/>
            </w:tcMar>
          </w:tcPr>
          <w:p>
            <w:r>
              <w:rPr>
                <w:b/>
                <w:bCs/>
                <w:color w:val="9C6A00"/>
                <w:sz w:val="19"/>
                <w:szCs w:val="19"/>
              </w:rPr>
              <w:t xml:space="preserve">High</w:t>
            </w:r>
          </w:p>
        </w:tc>
      </w:tr>
    </w:tbl>
    <w:p>
      <w:pPr>
        <w:pStyle w:val="Heading2"/>
        <w:spacing w:after="120" w:before="240"/>
      </w:pPr>
      <w:r>
        <w:t xml:space="preserve">5.2  Architecture &amp; maintainability</w:t>
      </w:r>
    </w:p>
    <w:tbl>
      <w:tblPr>
        <w:tblW w:type="dxa" w:w="9026"/>
        <w:tblBorders>
          <w:top w:val="single" w:color="D6DEE3" w:sz="1"/>
          <w:left w:val="single" w:color="D6DEE3" w:sz="1"/>
          <w:bottom w:val="single" w:color="D6DEE3" w:sz="1"/>
          <w:right w:val="single" w:color="D6DEE3" w:sz="1"/>
          <w:insideH w:val="single" w:color="D6DEE3" w:sz="1"/>
          <w:insideV w:val="single" w:color="D6DEE3" w:sz="1"/>
        </w:tblBorders>
      </w:tblPr>
      <w:tblGrid>
        <w:gridCol w:w="2550"/>
        <w:gridCol w:w="5276"/>
        <w:gridCol w:w="1200"/>
      </w:tblGrid>
      <w:tr>
        <w:trPr>
          <w:tblHeader/>
        </w:trPr>
        <w:tc>
          <w:tcPr>
            <w:tcW w:type="dxa" w:w="2550"/>
            <w:shd w:fill="0F6E8C" w:color="auto" w:val="clear"/>
            <w:tcMar>
              <w:top w:type="dxa" w:w="70"/>
              <w:left w:type="dxa" w:w="110"/>
              <w:bottom w:type="dxa" w:w="70"/>
              <w:right w:type="dxa" w:w="110"/>
            </w:tcMar>
          </w:tcPr>
          <w:p>
            <w:r>
              <w:rPr>
                <w:b/>
                <w:bCs/>
                <w:color w:val="FFFFFF"/>
                <w:sz w:val="19"/>
                <w:szCs w:val="19"/>
              </w:rPr>
              <w:t xml:space="preserve">Finding</w:t>
            </w:r>
          </w:p>
        </w:tc>
        <w:tc>
          <w:tcPr>
            <w:tcW w:type="dxa" w:w="5276"/>
            <w:shd w:fill="0F6E8C" w:color="auto" w:val="clear"/>
            <w:tcMar>
              <w:top w:type="dxa" w:w="70"/>
              <w:left w:type="dxa" w:w="110"/>
              <w:bottom w:type="dxa" w:w="70"/>
              <w:right w:type="dxa" w:w="110"/>
            </w:tcMar>
          </w:tcPr>
          <w:p>
            <w:r>
              <w:rPr>
                <w:b/>
                <w:bCs/>
                <w:color w:val="FFFFFF"/>
                <w:sz w:val="19"/>
                <w:szCs w:val="19"/>
              </w:rPr>
              <w:t xml:space="preserve">What we saw</w:t>
            </w:r>
          </w:p>
        </w:tc>
        <w:tc>
          <w:tcPr>
            <w:tcW w:type="dxa" w:w="1200"/>
            <w:shd w:fill="0F6E8C" w:color="auto" w:val="clear"/>
            <w:tcMar>
              <w:top w:type="dxa" w:w="70"/>
              <w:left w:type="dxa" w:w="110"/>
              <w:bottom w:type="dxa" w:w="70"/>
              <w:right w:type="dxa" w:w="110"/>
            </w:tcMar>
          </w:tcPr>
          <w:p>
            <w:r>
              <w:rPr>
                <w:b/>
                <w:bCs/>
                <w:color w:val="FFFFFF"/>
                <w:sz w:val="19"/>
                <w:szCs w:val="19"/>
              </w:rPr>
              <w:t xml:space="preserve">Severity</w:t>
            </w:r>
          </w:p>
        </w:tc>
      </w:tr>
      <w:tr>
        <w:tc>
          <w:tcPr>
            <w:tcW w:type="dxa" w:w="2550"/>
            <w:tcMar>
              <w:top w:type="dxa" w:w="70"/>
              <w:left w:type="dxa" w:w="110"/>
              <w:bottom w:type="dxa" w:w="70"/>
              <w:right w:type="dxa" w:w="110"/>
            </w:tcMar>
          </w:tcPr>
          <w:p>
            <w:r>
              <w:rPr>
                <w:b w:val="false"/>
                <w:bCs w:val="false"/>
                <w:color w:val="231F20"/>
                <w:sz w:val="19"/>
                <w:szCs w:val="19"/>
              </w:rPr>
              <w:t xml:space="preserve">Screens copy-pasted per role</w:t>
            </w:r>
          </w:p>
        </w:tc>
        <w:tc>
          <w:tcPr>
            <w:tcW w:type="dxa" w:w="5276"/>
            <w:tcMar>
              <w:top w:type="dxa" w:w="70"/>
              <w:left w:type="dxa" w:w="110"/>
              <w:bottom w:type="dxa" w:w="70"/>
              <w:right w:type="dxa" w:w="110"/>
            </w:tcMar>
          </w:tcPr>
          <w:p>
            <w:r>
              <w:rPr>
                <w:b w:val="false"/>
                <w:bCs w:val="false"/>
                <w:color w:val="231F20"/>
                <w:sz w:val="19"/>
                <w:szCs w:val="19"/>
              </w:rPr>
              <w:t xml:space="preserve">The same screen (e.g. client-master-registry) is duplicated across admin/, sales/, finance/, operations/ and management/. One change must be made up to five times, and copies drift apart.</w:t>
            </w:r>
          </w:p>
        </w:tc>
        <w:tc>
          <w:tcPr>
            <w:tcW w:type="dxa" w:w="1200"/>
            <w:tcMar>
              <w:top w:type="dxa" w:w="70"/>
              <w:left w:type="dxa" w:w="110"/>
              <w:bottom w:type="dxa" w:w="70"/>
              <w:right w:type="dxa" w:w="110"/>
            </w:tcMar>
          </w:tcPr>
          <w:p>
            <w:r>
              <w:rPr>
                <w:b/>
                <w:bCs/>
                <w:color w:val="9C6A00"/>
                <w:sz w:val="19"/>
                <w:szCs w:val="19"/>
              </w:rPr>
              <w:t xml:space="preserve">High</w:t>
            </w:r>
          </w:p>
        </w:tc>
      </w:tr>
      <w:tr>
        <w:tc>
          <w:tcPr>
            <w:tcW w:type="dxa" w:w="2550"/>
            <w:shd w:fill="F6F9FB" w:color="auto" w:val="clear"/>
            <w:tcMar>
              <w:top w:type="dxa" w:w="70"/>
              <w:left w:type="dxa" w:w="110"/>
              <w:bottom w:type="dxa" w:w="70"/>
              <w:right w:type="dxa" w:w="110"/>
            </w:tcMar>
          </w:tcPr>
          <w:p>
            <w:r>
              <w:rPr>
                <w:b w:val="false"/>
                <w:bCs w:val="false"/>
                <w:color w:val="231F20"/>
                <w:sz w:val="19"/>
                <w:szCs w:val="19"/>
              </w:rPr>
              <w:t xml:space="preserve">Old code generations kept live</w:t>
            </w:r>
          </w:p>
        </w:tc>
        <w:tc>
          <w:tcPr>
            <w:tcW w:type="dxa" w:w="5276"/>
            <w:shd w:fill="F6F9FB" w:color="auto" w:val="clear"/>
            <w:tcMar>
              <w:top w:type="dxa" w:w="70"/>
              <w:left w:type="dxa" w:w="110"/>
              <w:bottom w:type="dxa" w:w="70"/>
              <w:right w:type="dxa" w:w="110"/>
            </w:tcMar>
          </w:tcPr>
          <w:p>
            <w:r>
              <w:rPr>
                <w:b w:val="false"/>
                <w:bCs w:val="false"/>
                <w:color w:val="231F20"/>
                <w:sz w:val="19"/>
                <w:szCs w:val="19"/>
              </w:rPr>
              <w:t xml:space="preserve">Multiple superseded versions remain (marginpricingold, marginpricing-old, financial-dictionary vs financial_dictionary). Dead code is a security and confusion liability.</w:t>
            </w:r>
          </w:p>
        </w:tc>
        <w:tc>
          <w:tcPr>
            <w:tcW w:type="dxa" w:w="1200"/>
            <w:shd w:fill="F6F9FB" w:color="auto" w:val="clear"/>
            <w:tcMar>
              <w:top w:type="dxa" w:w="70"/>
              <w:left w:type="dxa" w:w="110"/>
              <w:bottom w:type="dxa" w:w="70"/>
              <w:right w:type="dxa" w:w="110"/>
            </w:tcMar>
          </w:tcPr>
          <w:p>
            <w:r>
              <w:rPr>
                <w:b/>
                <w:bCs/>
                <w:color w:val="9C6A00"/>
                <w:sz w:val="19"/>
                <w:szCs w:val="19"/>
              </w:rPr>
              <w:t xml:space="preserve">High</w:t>
            </w:r>
          </w:p>
        </w:tc>
      </w:tr>
      <w:tr>
        <w:tc>
          <w:tcPr>
            <w:tcW w:type="dxa" w:w="2550"/>
            <w:tcMar>
              <w:top w:type="dxa" w:w="70"/>
              <w:left w:type="dxa" w:w="110"/>
              <w:bottom w:type="dxa" w:w="70"/>
              <w:right w:type="dxa" w:w="110"/>
            </w:tcMar>
          </w:tcPr>
          <w:p>
            <w:r>
              <w:rPr>
                <w:b w:val="false"/>
                <w:bCs w:val="false"/>
                <w:color w:val="231F20"/>
                <w:sz w:val="19"/>
                <w:szCs w:val="19"/>
              </w:rPr>
              <w:t xml:space="preserve">Duplicated, nested folders</w:t>
            </w:r>
          </w:p>
        </w:tc>
        <w:tc>
          <w:tcPr>
            <w:tcW w:type="dxa" w:w="5276"/>
            <w:tcMar>
              <w:top w:type="dxa" w:w="70"/>
              <w:left w:type="dxa" w:w="110"/>
              <w:bottom w:type="dxa" w:w="70"/>
              <w:right w:type="dxa" w:w="110"/>
            </w:tcMar>
          </w:tcPr>
          <w:p>
            <w:r>
              <w:rPr>
                <w:b w:val="false"/>
                <w:bCs w:val="false"/>
                <w:color w:val="231F20"/>
                <w:sz w:val="19"/>
                <w:szCs w:val="19"/>
              </w:rPr>
              <w:t xml:space="preserve">Deeply repeated trees (administration/administration/administration, a second copy under smart-logistics/) blur which code is actually deployed.</w:t>
            </w:r>
          </w:p>
        </w:tc>
        <w:tc>
          <w:tcPr>
            <w:tcW w:type="dxa" w:w="1200"/>
            <w:tcMar>
              <w:top w:type="dxa" w:w="70"/>
              <w:left w:type="dxa" w:w="110"/>
              <w:bottom w:type="dxa" w:w="70"/>
              <w:right w:type="dxa" w:w="110"/>
            </w:tcMar>
          </w:tcPr>
          <w:p>
            <w:r>
              <w:rPr>
                <w:b/>
                <w:bCs/>
                <w:color w:val="9C6A00"/>
                <w:sz w:val="19"/>
                <w:szCs w:val="19"/>
              </w:rPr>
              <w:t xml:space="preserve">High</w:t>
            </w:r>
          </w:p>
        </w:tc>
      </w:tr>
      <w:tr>
        <w:tc>
          <w:tcPr>
            <w:tcW w:type="dxa" w:w="2550"/>
            <w:shd w:fill="F6F9FB" w:color="auto" w:val="clear"/>
            <w:tcMar>
              <w:top w:type="dxa" w:w="70"/>
              <w:left w:type="dxa" w:w="110"/>
              <w:bottom w:type="dxa" w:w="70"/>
              <w:right w:type="dxa" w:w="110"/>
            </w:tcMar>
          </w:tcPr>
          <w:p>
            <w:r>
              <w:rPr>
                <w:b w:val="false"/>
                <w:bCs w:val="false"/>
                <w:color w:val="231F20"/>
                <w:sz w:val="19"/>
                <w:szCs w:val="19"/>
              </w:rPr>
              <w:t xml:space="preserve">Server-rendered monolith</w:t>
            </w:r>
          </w:p>
        </w:tc>
        <w:tc>
          <w:tcPr>
            <w:tcW w:type="dxa" w:w="5276"/>
            <w:shd w:fill="F6F9FB" w:color="auto" w:val="clear"/>
            <w:tcMar>
              <w:top w:type="dxa" w:w="70"/>
              <w:left w:type="dxa" w:w="110"/>
              <w:bottom w:type="dxa" w:w="70"/>
              <w:right w:type="dxa" w:w="110"/>
            </w:tcMar>
          </w:tcPr>
          <w:p>
            <w:r>
              <w:rPr>
                <w:b w:val="false"/>
                <w:bCs w:val="false"/>
                <w:color w:val="231F20"/>
                <w:sz w:val="19"/>
                <w:szCs w:val="19"/>
              </w:rPr>
              <w:t xml:space="preserve">PHP renders HTML directly with no separation between back end and front end and no defined API contract, so the UI cannot be modernised independently.</w:t>
            </w:r>
          </w:p>
        </w:tc>
        <w:tc>
          <w:tcPr>
            <w:tcW w:type="dxa" w:w="1200"/>
            <w:shd w:fill="F6F9FB" w:color="auto" w:val="clear"/>
            <w:tcMar>
              <w:top w:type="dxa" w:w="70"/>
              <w:left w:type="dxa" w:w="110"/>
              <w:bottom w:type="dxa" w:w="70"/>
              <w:right w:type="dxa" w:w="110"/>
            </w:tcMar>
          </w:tcPr>
          <w:p>
            <w:r>
              <w:rPr>
                <w:b/>
                <w:bCs/>
                <w:color w:val="0F6E8C"/>
                <w:sz w:val="19"/>
                <w:szCs w:val="19"/>
              </w:rPr>
              <w:t xml:space="preserve">Medium</w:t>
            </w:r>
          </w:p>
        </w:tc>
      </w:tr>
      <w:tr>
        <w:tc>
          <w:tcPr>
            <w:tcW w:type="dxa" w:w="2550"/>
            <w:tcMar>
              <w:top w:type="dxa" w:w="70"/>
              <w:left w:type="dxa" w:w="110"/>
              <w:bottom w:type="dxa" w:w="70"/>
              <w:right w:type="dxa" w:w="110"/>
            </w:tcMar>
          </w:tcPr>
          <w:p>
            <w:r>
              <w:rPr>
                <w:b w:val="false"/>
                <w:bCs w:val="false"/>
                <w:color w:val="231F20"/>
                <w:sz w:val="19"/>
                <w:szCs w:val="19"/>
              </w:rPr>
              <w:t xml:space="preserve">No tests or CI/CD; test files in views</w:t>
            </w:r>
          </w:p>
        </w:tc>
        <w:tc>
          <w:tcPr>
            <w:tcW w:type="dxa" w:w="5276"/>
            <w:tcMar>
              <w:top w:type="dxa" w:w="70"/>
              <w:left w:type="dxa" w:w="110"/>
              <w:bottom w:type="dxa" w:w="70"/>
              <w:right w:type="dxa" w:w="110"/>
            </w:tcMar>
          </w:tcPr>
          <w:p>
            <w:r>
              <w:rPr>
                <w:b w:val="false"/>
                <w:bCs w:val="false"/>
                <w:color w:val="231F20"/>
                <w:sz w:val="19"/>
                <w:szCs w:val="19"/>
              </w:rPr>
              <w:t xml:space="preserve">No automated tests or release pipeline were found, and test.php / test_smtp_mail.php sit among live screens.</w:t>
            </w:r>
          </w:p>
        </w:tc>
        <w:tc>
          <w:tcPr>
            <w:tcW w:type="dxa" w:w="1200"/>
            <w:tcMar>
              <w:top w:type="dxa" w:w="70"/>
              <w:left w:type="dxa" w:w="110"/>
              <w:bottom w:type="dxa" w:w="70"/>
              <w:right w:type="dxa" w:w="110"/>
            </w:tcMar>
          </w:tcPr>
          <w:p>
            <w:r>
              <w:rPr>
                <w:b/>
                <w:bCs/>
                <w:color w:val="0F6E8C"/>
                <w:sz w:val="19"/>
                <w:szCs w:val="19"/>
              </w:rPr>
              <w:t xml:space="preserve">Medium</w:t>
            </w:r>
          </w:p>
        </w:tc>
      </w:tr>
    </w:tbl>
    <w:p>
      <w:pPr>
        <w:pStyle w:val="Heading2"/>
        <w:spacing w:after="120" w:before="240"/>
      </w:pPr>
      <w:r>
        <w:t xml:space="preserve">5.3  Data-model integrity</w:t>
      </w:r>
    </w:p>
    <w:tbl>
      <w:tblPr>
        <w:tblW w:type="dxa" w:w="9026"/>
        <w:tblBorders>
          <w:top w:val="single" w:color="D6DEE3" w:sz="1"/>
          <w:left w:val="single" w:color="D6DEE3" w:sz="1"/>
          <w:bottom w:val="single" w:color="D6DEE3" w:sz="1"/>
          <w:right w:val="single" w:color="D6DEE3" w:sz="1"/>
          <w:insideH w:val="single" w:color="D6DEE3" w:sz="1"/>
          <w:insideV w:val="single" w:color="D6DEE3" w:sz="1"/>
        </w:tblBorders>
      </w:tblPr>
      <w:tblGrid>
        <w:gridCol w:w="2550"/>
        <w:gridCol w:w="5276"/>
        <w:gridCol w:w="1200"/>
      </w:tblGrid>
      <w:tr>
        <w:trPr>
          <w:tblHeader/>
        </w:trPr>
        <w:tc>
          <w:tcPr>
            <w:tcW w:type="dxa" w:w="2550"/>
            <w:shd w:fill="0F6E8C" w:color="auto" w:val="clear"/>
            <w:tcMar>
              <w:top w:type="dxa" w:w="70"/>
              <w:left w:type="dxa" w:w="110"/>
              <w:bottom w:type="dxa" w:w="70"/>
              <w:right w:type="dxa" w:w="110"/>
            </w:tcMar>
          </w:tcPr>
          <w:p>
            <w:r>
              <w:rPr>
                <w:b/>
                <w:bCs/>
                <w:color w:val="FFFFFF"/>
                <w:sz w:val="19"/>
                <w:szCs w:val="19"/>
              </w:rPr>
              <w:t xml:space="preserve">Finding</w:t>
            </w:r>
          </w:p>
        </w:tc>
        <w:tc>
          <w:tcPr>
            <w:tcW w:type="dxa" w:w="5276"/>
            <w:shd w:fill="0F6E8C" w:color="auto" w:val="clear"/>
            <w:tcMar>
              <w:top w:type="dxa" w:w="70"/>
              <w:left w:type="dxa" w:w="110"/>
              <w:bottom w:type="dxa" w:w="70"/>
              <w:right w:type="dxa" w:w="110"/>
            </w:tcMar>
          </w:tcPr>
          <w:p>
            <w:r>
              <w:rPr>
                <w:b/>
                <w:bCs/>
                <w:color w:val="FFFFFF"/>
                <w:sz w:val="19"/>
                <w:szCs w:val="19"/>
              </w:rPr>
              <w:t xml:space="preserve">What we saw</w:t>
            </w:r>
          </w:p>
        </w:tc>
        <w:tc>
          <w:tcPr>
            <w:tcW w:type="dxa" w:w="1200"/>
            <w:shd w:fill="0F6E8C" w:color="auto" w:val="clear"/>
            <w:tcMar>
              <w:top w:type="dxa" w:w="70"/>
              <w:left w:type="dxa" w:w="110"/>
              <w:bottom w:type="dxa" w:w="70"/>
              <w:right w:type="dxa" w:w="110"/>
            </w:tcMar>
          </w:tcPr>
          <w:p>
            <w:r>
              <w:rPr>
                <w:b/>
                <w:bCs/>
                <w:color w:val="FFFFFF"/>
                <w:sz w:val="19"/>
                <w:szCs w:val="19"/>
              </w:rPr>
              <w:t xml:space="preserve">Severity</w:t>
            </w:r>
          </w:p>
        </w:tc>
      </w:tr>
      <w:tr>
        <w:tc>
          <w:tcPr>
            <w:tcW w:type="dxa" w:w="2550"/>
            <w:tcMar>
              <w:top w:type="dxa" w:w="70"/>
              <w:left w:type="dxa" w:w="110"/>
              <w:bottom w:type="dxa" w:w="70"/>
              <w:right w:type="dxa" w:w="110"/>
            </w:tcMar>
          </w:tcPr>
          <w:p>
            <w:r>
              <w:rPr>
                <w:b w:val="false"/>
                <w:bCs w:val="false"/>
                <w:color w:val="231F20"/>
                <w:sz w:val="19"/>
                <w:szCs w:val="19"/>
              </w:rPr>
              <w:t xml:space="preserve">Duplicate / twin tables</w:t>
            </w:r>
          </w:p>
        </w:tc>
        <w:tc>
          <w:tcPr>
            <w:tcW w:type="dxa" w:w="5276"/>
            <w:tcMar>
              <w:top w:type="dxa" w:w="70"/>
              <w:left w:type="dxa" w:w="110"/>
              <w:bottom w:type="dxa" w:w="70"/>
              <w:right w:type="dxa" w:w="110"/>
            </w:tcMar>
          </w:tcPr>
          <w:p>
            <w:r>
              <w:rPr>
                <w:b w:val="false"/>
                <w:bCs w:val="false"/>
                <w:color w:val="231F20"/>
                <w:sz w:val="19"/>
                <w:szCs w:val="19"/>
              </w:rPr>
              <w:t xml:space="preserve">contact_enquires vs contact_enquiries, marketing_campaign vs marketing_campaigns, doc_sequence vs doc_sequences, document_vault vs document_vault_master — the same idea stored two ways, risking split or lost data.</w:t>
            </w:r>
          </w:p>
        </w:tc>
        <w:tc>
          <w:tcPr>
            <w:tcW w:type="dxa" w:w="1200"/>
            <w:tcMar>
              <w:top w:type="dxa" w:w="70"/>
              <w:left w:type="dxa" w:w="110"/>
              <w:bottom w:type="dxa" w:w="70"/>
              <w:right w:type="dxa" w:w="110"/>
            </w:tcMar>
          </w:tcPr>
          <w:p>
            <w:r>
              <w:rPr>
                <w:b/>
                <w:bCs/>
                <w:color w:val="9C6A00"/>
                <w:sz w:val="19"/>
                <w:szCs w:val="19"/>
              </w:rPr>
              <w:t xml:space="preserve">High</w:t>
            </w:r>
          </w:p>
        </w:tc>
      </w:tr>
      <w:tr>
        <w:tc>
          <w:tcPr>
            <w:tcW w:type="dxa" w:w="2550"/>
            <w:shd w:fill="F6F9FB" w:color="auto" w:val="clear"/>
            <w:tcMar>
              <w:top w:type="dxa" w:w="70"/>
              <w:left w:type="dxa" w:w="110"/>
              <w:bottom w:type="dxa" w:w="70"/>
              <w:right w:type="dxa" w:w="110"/>
            </w:tcMar>
          </w:tcPr>
          <w:p>
            <w:r>
              <w:rPr>
                <w:b w:val="false"/>
                <w:bCs w:val="false"/>
                <w:color w:val="231F20"/>
                <w:sz w:val="19"/>
                <w:szCs w:val="19"/>
              </w:rPr>
              <w:t xml:space="preserve">Permissions modelled three ways</w:t>
            </w:r>
          </w:p>
        </w:tc>
        <w:tc>
          <w:tcPr>
            <w:tcW w:type="dxa" w:w="5276"/>
            <w:shd w:fill="F6F9FB" w:color="auto" w:val="clear"/>
            <w:tcMar>
              <w:top w:type="dxa" w:w="70"/>
              <w:left w:type="dxa" w:w="110"/>
              <w:bottom w:type="dxa" w:w="70"/>
              <w:right w:type="dxa" w:w="110"/>
            </w:tcMar>
          </w:tcPr>
          <w:p>
            <w:r>
              <w:rPr>
                <w:b w:val="false"/>
                <w:bCs w:val="false"/>
                <w:color w:val="231F20"/>
                <w:sz w:val="19"/>
                <w:szCs w:val="19"/>
              </w:rPr>
              <w:t xml:space="preserve">Access depends on user_auth.role, employee_master.department and an authority_capabilities set at once. These can drift out of sync and disagree.</w:t>
            </w:r>
          </w:p>
        </w:tc>
        <w:tc>
          <w:tcPr>
            <w:tcW w:type="dxa" w:w="1200"/>
            <w:shd w:fill="F6F9FB" w:color="auto" w:val="clear"/>
            <w:tcMar>
              <w:top w:type="dxa" w:w="70"/>
              <w:left w:type="dxa" w:w="110"/>
              <w:bottom w:type="dxa" w:w="70"/>
              <w:right w:type="dxa" w:w="110"/>
            </w:tcMar>
          </w:tcPr>
          <w:p>
            <w:r>
              <w:rPr>
                <w:b/>
                <w:bCs/>
                <w:color w:val="9C6A00"/>
                <w:sz w:val="19"/>
                <w:szCs w:val="19"/>
              </w:rPr>
              <w:t xml:space="preserve">High</w:t>
            </w:r>
          </w:p>
        </w:tc>
      </w:tr>
      <w:tr>
        <w:tc>
          <w:tcPr>
            <w:tcW w:type="dxa" w:w="2550"/>
            <w:tcMar>
              <w:top w:type="dxa" w:w="70"/>
              <w:left w:type="dxa" w:w="110"/>
              <w:bottom w:type="dxa" w:w="70"/>
              <w:right w:type="dxa" w:w="110"/>
            </w:tcMar>
          </w:tcPr>
          <w:p>
            <w:r>
              <w:rPr>
                <w:b w:val="false"/>
                <w:bCs w:val="false"/>
                <w:color w:val="231F20"/>
                <w:sz w:val="19"/>
                <w:szCs w:val="19"/>
              </w:rPr>
              <w:t xml:space="preserve">Rigid enums for org structure</w:t>
            </w:r>
          </w:p>
        </w:tc>
        <w:tc>
          <w:tcPr>
            <w:tcW w:type="dxa" w:w="5276"/>
            <w:tcMar>
              <w:top w:type="dxa" w:w="70"/>
              <w:left w:type="dxa" w:w="110"/>
              <w:bottom w:type="dxa" w:w="70"/>
              <w:right w:type="dxa" w:w="110"/>
            </w:tcMar>
          </w:tcPr>
          <w:p>
            <w:r>
              <w:rPr>
                <w:b w:val="false"/>
                <w:bCs w:val="false"/>
                <w:color w:val="231F20"/>
                <w:sz w:val="19"/>
                <w:szCs w:val="19"/>
              </w:rPr>
              <w:t xml:space="preserve">Roles and departments are fixed database enums, so adding a unit (Accounting, HR, Customs) is a schema change rather than a configuration.</w:t>
            </w:r>
          </w:p>
        </w:tc>
        <w:tc>
          <w:tcPr>
            <w:tcW w:type="dxa" w:w="1200"/>
            <w:tcMar>
              <w:top w:type="dxa" w:w="70"/>
              <w:left w:type="dxa" w:w="110"/>
              <w:bottom w:type="dxa" w:w="70"/>
              <w:right w:type="dxa" w:w="110"/>
            </w:tcMar>
          </w:tcPr>
          <w:p>
            <w:r>
              <w:rPr>
                <w:b/>
                <w:bCs/>
                <w:color w:val="0F6E8C"/>
                <w:sz w:val="19"/>
                <w:szCs w:val="19"/>
              </w:rPr>
              <w:t xml:space="preserve">Medium</w:t>
            </w:r>
          </w:p>
        </w:tc>
      </w:tr>
    </w:tbl>
    <w:p>
      <w:pPr>
        <w:pStyle w:val="Heading2"/>
        <w:spacing w:after="120" w:before="240"/>
      </w:pPr>
      <w:r>
        <w:t xml:space="preserve">5.4  Access control (RBAC) &amp; governance</w:t>
      </w:r>
    </w:p>
    <w:tbl>
      <w:tblPr>
        <w:tblW w:type="dxa" w:w="9026"/>
        <w:tblBorders>
          <w:top w:val="single" w:color="D6DEE3" w:sz="1"/>
          <w:left w:val="single" w:color="D6DEE3" w:sz="1"/>
          <w:bottom w:val="single" w:color="D6DEE3" w:sz="1"/>
          <w:right w:val="single" w:color="D6DEE3" w:sz="1"/>
          <w:insideH w:val="single" w:color="D6DEE3" w:sz="1"/>
          <w:insideV w:val="single" w:color="D6DEE3" w:sz="1"/>
        </w:tblBorders>
      </w:tblPr>
      <w:tblGrid>
        <w:gridCol w:w="2550"/>
        <w:gridCol w:w="5276"/>
        <w:gridCol w:w="1200"/>
      </w:tblGrid>
      <w:tr>
        <w:trPr>
          <w:tblHeader/>
        </w:trPr>
        <w:tc>
          <w:tcPr>
            <w:tcW w:type="dxa" w:w="2550"/>
            <w:shd w:fill="0F6E8C" w:color="auto" w:val="clear"/>
            <w:tcMar>
              <w:top w:type="dxa" w:w="70"/>
              <w:left w:type="dxa" w:w="110"/>
              <w:bottom w:type="dxa" w:w="70"/>
              <w:right w:type="dxa" w:w="110"/>
            </w:tcMar>
          </w:tcPr>
          <w:p>
            <w:r>
              <w:rPr>
                <w:b/>
                <w:bCs/>
                <w:color w:val="FFFFFF"/>
                <w:sz w:val="19"/>
                <w:szCs w:val="19"/>
              </w:rPr>
              <w:t xml:space="preserve">Finding</w:t>
            </w:r>
          </w:p>
        </w:tc>
        <w:tc>
          <w:tcPr>
            <w:tcW w:type="dxa" w:w="5276"/>
            <w:shd w:fill="0F6E8C" w:color="auto" w:val="clear"/>
            <w:tcMar>
              <w:top w:type="dxa" w:w="70"/>
              <w:left w:type="dxa" w:w="110"/>
              <w:bottom w:type="dxa" w:w="70"/>
              <w:right w:type="dxa" w:w="110"/>
            </w:tcMar>
          </w:tcPr>
          <w:p>
            <w:r>
              <w:rPr>
                <w:b/>
                <w:bCs/>
                <w:color w:val="FFFFFF"/>
                <w:sz w:val="19"/>
                <w:szCs w:val="19"/>
              </w:rPr>
              <w:t xml:space="preserve">What we saw</w:t>
            </w:r>
          </w:p>
        </w:tc>
        <w:tc>
          <w:tcPr>
            <w:tcW w:type="dxa" w:w="1200"/>
            <w:shd w:fill="0F6E8C" w:color="auto" w:val="clear"/>
            <w:tcMar>
              <w:top w:type="dxa" w:w="70"/>
              <w:left w:type="dxa" w:w="110"/>
              <w:bottom w:type="dxa" w:w="70"/>
              <w:right w:type="dxa" w:w="110"/>
            </w:tcMar>
          </w:tcPr>
          <w:p>
            <w:r>
              <w:rPr>
                <w:b/>
                <w:bCs/>
                <w:color w:val="FFFFFF"/>
                <w:sz w:val="19"/>
                <w:szCs w:val="19"/>
              </w:rPr>
              <w:t xml:space="preserve">Severity</w:t>
            </w:r>
          </w:p>
        </w:tc>
      </w:tr>
      <w:tr>
        <w:tc>
          <w:tcPr>
            <w:tcW w:type="dxa" w:w="2550"/>
            <w:tcMar>
              <w:top w:type="dxa" w:w="70"/>
              <w:left w:type="dxa" w:w="110"/>
              <w:bottom w:type="dxa" w:w="70"/>
              <w:right w:type="dxa" w:w="110"/>
            </w:tcMar>
          </w:tcPr>
          <w:p>
            <w:r>
              <w:rPr>
                <w:b w:val="false"/>
                <w:bCs w:val="false"/>
                <w:color w:val="231F20"/>
                <w:sz w:val="19"/>
                <w:szCs w:val="19"/>
              </w:rPr>
              <w:t xml:space="preserve">Authorisation by folder + string</w:t>
            </w:r>
          </w:p>
        </w:tc>
        <w:tc>
          <w:tcPr>
            <w:tcW w:type="dxa" w:w="5276"/>
            <w:tcMar>
              <w:top w:type="dxa" w:w="70"/>
              <w:left w:type="dxa" w:w="110"/>
              <w:bottom w:type="dxa" w:w="70"/>
              <w:right w:type="dxa" w:w="110"/>
            </w:tcMar>
          </w:tcPr>
          <w:p>
            <w:r>
              <w:rPr>
                <w:b w:val="false"/>
                <w:bCs w:val="false"/>
                <w:color w:val="231F20"/>
                <w:sz w:val="19"/>
                <w:szCs w:val="19"/>
              </w:rPr>
              <w:t xml:space="preserve">Who-can-do-what is decided by which role folder a file lives in plus a department-name mapping, not a single, central permission policy. “Who sees what” is implicit and scattered.</w:t>
            </w:r>
          </w:p>
        </w:tc>
        <w:tc>
          <w:tcPr>
            <w:tcW w:type="dxa" w:w="1200"/>
            <w:tcMar>
              <w:top w:type="dxa" w:w="70"/>
              <w:left w:type="dxa" w:w="110"/>
              <w:bottom w:type="dxa" w:w="70"/>
              <w:right w:type="dxa" w:w="110"/>
            </w:tcMar>
          </w:tcPr>
          <w:p>
            <w:r>
              <w:rPr>
                <w:b/>
                <w:bCs/>
                <w:color w:val="9C6A00"/>
                <w:sz w:val="19"/>
                <w:szCs w:val="19"/>
              </w:rPr>
              <w:t xml:space="preserve">High</w:t>
            </w:r>
          </w:p>
        </w:tc>
      </w:tr>
      <w:tr>
        <w:tc>
          <w:tcPr>
            <w:tcW w:type="dxa" w:w="2550"/>
            <w:shd w:fill="F6F9FB" w:color="auto" w:val="clear"/>
            <w:tcMar>
              <w:top w:type="dxa" w:w="70"/>
              <w:left w:type="dxa" w:w="110"/>
              <w:bottom w:type="dxa" w:w="70"/>
              <w:right w:type="dxa" w:w="110"/>
            </w:tcMar>
          </w:tcPr>
          <w:p>
            <w:r>
              <w:rPr>
                <w:b w:val="false"/>
                <w:bCs w:val="false"/>
                <w:color w:val="231F20"/>
                <w:sz w:val="19"/>
                <w:szCs w:val="19"/>
              </w:rPr>
              <w:t xml:space="preserve">No field-level confidentiality</w:t>
            </w:r>
          </w:p>
        </w:tc>
        <w:tc>
          <w:tcPr>
            <w:tcW w:type="dxa" w:w="5276"/>
            <w:shd w:fill="F6F9FB" w:color="auto" w:val="clear"/>
            <w:tcMar>
              <w:top w:type="dxa" w:w="70"/>
              <w:left w:type="dxa" w:w="110"/>
              <w:bottom w:type="dxa" w:w="70"/>
              <w:right w:type="dxa" w:w="110"/>
            </w:tcMar>
          </w:tcPr>
          <w:p>
            <w:r>
              <w:rPr>
                <w:b w:val="false"/>
                <w:bCs w:val="false"/>
                <w:color w:val="231F20"/>
                <w:sz w:val="19"/>
                <w:szCs w:val="19"/>
              </w:rPr>
              <w:t xml:space="preserve">Controls are per page, not per field. Sensitive numbers (margins, salaries, supplier costs) are governed by which screen you open, not by a rule about the data itself.</w:t>
            </w:r>
          </w:p>
        </w:tc>
        <w:tc>
          <w:tcPr>
            <w:tcW w:type="dxa" w:w="1200"/>
            <w:shd w:fill="F6F9FB" w:color="auto" w:val="clear"/>
            <w:tcMar>
              <w:top w:type="dxa" w:w="70"/>
              <w:left w:type="dxa" w:w="110"/>
              <w:bottom w:type="dxa" w:w="70"/>
              <w:right w:type="dxa" w:w="110"/>
            </w:tcMar>
          </w:tcPr>
          <w:p>
            <w:r>
              <w:rPr>
                <w:b/>
                <w:bCs/>
                <w:color w:val="9C6A00"/>
                <w:sz w:val="19"/>
                <w:szCs w:val="19"/>
              </w:rPr>
              <w:t xml:space="preserve">High</w:t>
            </w:r>
          </w:p>
        </w:tc>
      </w:tr>
      <w:tr>
        <w:tc>
          <w:tcPr>
            <w:tcW w:type="dxa" w:w="2550"/>
            <w:tcMar>
              <w:top w:type="dxa" w:w="70"/>
              <w:left w:type="dxa" w:w="110"/>
              <w:bottom w:type="dxa" w:w="70"/>
              <w:right w:type="dxa" w:w="110"/>
            </w:tcMar>
          </w:tcPr>
          <w:p>
            <w:r>
              <w:rPr>
                <w:b w:val="false"/>
                <w:bCs w:val="false"/>
                <w:color w:val="231F20"/>
                <w:sz w:val="19"/>
                <w:szCs w:val="19"/>
              </w:rPr>
              <w:t xml:space="preserve">Destructive power concentrated</w:t>
            </w:r>
          </w:p>
        </w:tc>
        <w:tc>
          <w:tcPr>
            <w:tcW w:type="dxa" w:w="5276"/>
            <w:tcMar>
              <w:top w:type="dxa" w:w="70"/>
              <w:left w:type="dxa" w:w="110"/>
              <w:bottom w:type="dxa" w:w="70"/>
              <w:right w:type="dxa" w:w="110"/>
            </w:tcMar>
          </w:tcPr>
          <w:p>
            <w:r>
              <w:rPr>
                <w:b w:val="false"/>
                <w:bCs w:val="false"/>
                <w:color w:val="231F20"/>
                <w:sz w:val="19"/>
                <w:szCs w:val="19"/>
              </w:rPr>
              <w:t xml:space="preserve">God Mode aside, there is no maker-checker workflow on irreversible actions and no tamper-evident audit of them.</w:t>
            </w:r>
          </w:p>
        </w:tc>
        <w:tc>
          <w:tcPr>
            <w:tcW w:type="dxa" w:w="1200"/>
            <w:tcMar>
              <w:top w:type="dxa" w:w="70"/>
              <w:left w:type="dxa" w:w="110"/>
              <w:bottom w:type="dxa" w:w="70"/>
              <w:right w:type="dxa" w:w="110"/>
            </w:tcMar>
          </w:tcPr>
          <w:p>
            <w:r>
              <w:rPr>
                <w:b/>
                <w:bCs/>
                <w:color w:val="9C6A00"/>
                <w:sz w:val="19"/>
                <w:szCs w:val="19"/>
              </w:rPr>
              <w:t xml:space="preserve">High</w:t>
            </w:r>
          </w:p>
        </w:tc>
      </w:tr>
    </w:tbl>
    <w:p>
      <w:pPr>
        <w:pStyle w:val="Heading2"/>
        <w:spacing w:after="120" w:before="240"/>
      </w:pPr>
      <w:r>
        <w:t xml:space="preserve">5.5  Localisation</w:t>
      </w:r>
    </w:p>
    <w:tbl>
      <w:tblPr>
        <w:tblW w:type="dxa" w:w="9026"/>
        <w:tblBorders>
          <w:top w:val="single" w:color="D6DEE3" w:sz="1"/>
          <w:left w:val="single" w:color="D6DEE3" w:sz="1"/>
          <w:bottom w:val="single" w:color="D6DEE3" w:sz="1"/>
          <w:right w:val="single" w:color="D6DEE3" w:sz="1"/>
          <w:insideH w:val="single" w:color="D6DEE3" w:sz="1"/>
          <w:insideV w:val="single" w:color="D6DEE3" w:sz="1"/>
        </w:tblBorders>
      </w:tblPr>
      <w:tblGrid>
        <w:gridCol w:w="2550"/>
        <w:gridCol w:w="5276"/>
        <w:gridCol w:w="1200"/>
      </w:tblGrid>
      <w:tr>
        <w:trPr>
          <w:tblHeader/>
        </w:trPr>
        <w:tc>
          <w:tcPr>
            <w:tcW w:type="dxa" w:w="2550"/>
            <w:shd w:fill="0F6E8C" w:color="auto" w:val="clear"/>
            <w:tcMar>
              <w:top w:type="dxa" w:w="70"/>
              <w:left w:type="dxa" w:w="110"/>
              <w:bottom w:type="dxa" w:w="70"/>
              <w:right w:type="dxa" w:w="110"/>
            </w:tcMar>
          </w:tcPr>
          <w:p>
            <w:r>
              <w:rPr>
                <w:b/>
                <w:bCs/>
                <w:color w:val="FFFFFF"/>
                <w:sz w:val="19"/>
                <w:szCs w:val="19"/>
              </w:rPr>
              <w:t xml:space="preserve">Finding</w:t>
            </w:r>
          </w:p>
        </w:tc>
        <w:tc>
          <w:tcPr>
            <w:tcW w:type="dxa" w:w="5276"/>
            <w:shd w:fill="0F6E8C" w:color="auto" w:val="clear"/>
            <w:tcMar>
              <w:top w:type="dxa" w:w="70"/>
              <w:left w:type="dxa" w:w="110"/>
              <w:bottom w:type="dxa" w:w="70"/>
              <w:right w:type="dxa" w:w="110"/>
            </w:tcMar>
          </w:tcPr>
          <w:p>
            <w:r>
              <w:rPr>
                <w:b/>
                <w:bCs/>
                <w:color w:val="FFFFFF"/>
                <w:sz w:val="19"/>
                <w:szCs w:val="19"/>
              </w:rPr>
              <w:t xml:space="preserve">What we saw</w:t>
            </w:r>
          </w:p>
        </w:tc>
        <w:tc>
          <w:tcPr>
            <w:tcW w:type="dxa" w:w="1200"/>
            <w:shd w:fill="0F6E8C" w:color="auto" w:val="clear"/>
            <w:tcMar>
              <w:top w:type="dxa" w:w="70"/>
              <w:left w:type="dxa" w:w="110"/>
              <w:bottom w:type="dxa" w:w="70"/>
              <w:right w:type="dxa" w:w="110"/>
            </w:tcMar>
          </w:tcPr>
          <w:p>
            <w:r>
              <w:rPr>
                <w:b/>
                <w:bCs/>
                <w:color w:val="FFFFFF"/>
                <w:sz w:val="19"/>
                <w:szCs w:val="19"/>
              </w:rPr>
              <w:t xml:space="preserve">Severity</w:t>
            </w:r>
          </w:p>
        </w:tc>
      </w:tr>
      <w:tr>
        <w:tc>
          <w:tcPr>
            <w:tcW w:type="dxa" w:w="2550"/>
            <w:tcMar>
              <w:top w:type="dxa" w:w="70"/>
              <w:left w:type="dxa" w:w="110"/>
              <w:bottom w:type="dxa" w:w="70"/>
              <w:right w:type="dxa" w:w="110"/>
            </w:tcMar>
          </w:tcPr>
          <w:p>
            <w:r>
              <w:rPr>
                <w:b w:val="false"/>
                <w:bCs w:val="false"/>
                <w:color w:val="231F20"/>
                <w:sz w:val="19"/>
                <w:szCs w:val="19"/>
              </w:rPr>
              <w:t xml:space="preserve">ERP is English-only</w:t>
            </w:r>
          </w:p>
        </w:tc>
        <w:tc>
          <w:tcPr>
            <w:tcW w:type="dxa" w:w="5276"/>
            <w:tcMar>
              <w:top w:type="dxa" w:w="70"/>
              <w:left w:type="dxa" w:w="110"/>
              <w:bottom w:type="dxa" w:w="70"/>
              <w:right w:type="dxa" w:w="110"/>
            </w:tcMar>
          </w:tcPr>
          <w:p>
            <w:r>
              <w:rPr>
                <w:b w:val="false"/>
                <w:bCs w:val="false"/>
                <w:color w:val="231F20"/>
                <w:sz w:val="19"/>
                <w:szCs w:val="19"/>
              </w:rPr>
              <w:t xml:space="preserve">The back office has no internationalisation layer (the only language files are inside a mail library). In a bilingual country, French-speaking staff and auditors are under-served.</w:t>
            </w:r>
          </w:p>
        </w:tc>
        <w:tc>
          <w:tcPr>
            <w:tcW w:type="dxa" w:w="1200"/>
            <w:tcMar>
              <w:top w:type="dxa" w:w="70"/>
              <w:left w:type="dxa" w:w="110"/>
              <w:bottom w:type="dxa" w:w="70"/>
              <w:right w:type="dxa" w:w="110"/>
            </w:tcMar>
          </w:tcPr>
          <w:p>
            <w:r>
              <w:rPr>
                <w:b/>
                <w:bCs/>
                <w:color w:val="9C6A00"/>
                <w:sz w:val="19"/>
                <w:szCs w:val="19"/>
              </w:rPr>
              <w:t xml:space="preserve">High</w:t>
            </w:r>
          </w:p>
        </w:tc>
      </w:tr>
      <w:tr>
        <w:tc>
          <w:tcPr>
            <w:tcW w:type="dxa" w:w="2550"/>
            <w:shd w:fill="F6F9FB" w:color="auto" w:val="clear"/>
            <w:tcMar>
              <w:top w:type="dxa" w:w="70"/>
              <w:left w:type="dxa" w:w="110"/>
              <w:bottom w:type="dxa" w:w="70"/>
              <w:right w:type="dxa" w:w="110"/>
            </w:tcMar>
          </w:tcPr>
          <w:p>
            <w:r>
              <w:rPr>
                <w:b w:val="false"/>
                <w:bCs w:val="false"/>
                <w:color w:val="231F20"/>
                <w:sz w:val="19"/>
                <w:szCs w:val="19"/>
              </w:rPr>
              <w:t xml:space="preserve">No bilingual documents</w:t>
            </w:r>
          </w:p>
        </w:tc>
        <w:tc>
          <w:tcPr>
            <w:tcW w:type="dxa" w:w="5276"/>
            <w:shd w:fill="F6F9FB" w:color="auto" w:val="clear"/>
            <w:tcMar>
              <w:top w:type="dxa" w:w="70"/>
              <w:left w:type="dxa" w:w="110"/>
              <w:bottom w:type="dxa" w:w="70"/>
              <w:right w:type="dxa" w:w="110"/>
            </w:tcMar>
          </w:tcPr>
          <w:p>
            <w:r>
              <w:rPr>
                <w:b w:val="false"/>
                <w:bCs w:val="false"/>
                <w:color w:val="231F20"/>
                <w:sz w:val="19"/>
                <w:szCs w:val="19"/>
              </w:rPr>
              <w:t xml:space="preserve">Invoices, payslips, POs and statements are generated in one language, whereas statutory OHADA output is French and clients may need either.</w:t>
            </w:r>
          </w:p>
        </w:tc>
        <w:tc>
          <w:tcPr>
            <w:tcW w:type="dxa" w:w="1200"/>
            <w:shd w:fill="F6F9FB" w:color="auto" w:val="clear"/>
            <w:tcMar>
              <w:top w:type="dxa" w:w="70"/>
              <w:left w:type="dxa" w:w="110"/>
              <w:bottom w:type="dxa" w:w="70"/>
              <w:right w:type="dxa" w:w="110"/>
            </w:tcMar>
          </w:tcPr>
          <w:p>
            <w:r>
              <w:rPr>
                <w:b/>
                <w:bCs/>
                <w:color w:val="9C6A00"/>
                <w:sz w:val="19"/>
                <w:szCs w:val="19"/>
              </w:rPr>
              <w:t xml:space="preserve">High</w:t>
            </w:r>
          </w:p>
        </w:tc>
      </w:tr>
    </w:tbl>
    <w:p>
      <w:pPr>
        <w:pStyle w:val="Heading2"/>
        <w:spacing w:after="120" w:before="240"/>
      </w:pPr>
      <w:r>
        <w:t xml:space="preserve">5.6  Operability &amp; resilience</w:t>
      </w:r>
    </w:p>
    <w:tbl>
      <w:tblPr>
        <w:tblW w:type="dxa" w:w="9026"/>
        <w:tblBorders>
          <w:top w:val="single" w:color="D6DEE3" w:sz="1"/>
          <w:left w:val="single" w:color="D6DEE3" w:sz="1"/>
          <w:bottom w:val="single" w:color="D6DEE3" w:sz="1"/>
          <w:right w:val="single" w:color="D6DEE3" w:sz="1"/>
          <w:insideH w:val="single" w:color="D6DEE3" w:sz="1"/>
          <w:insideV w:val="single" w:color="D6DEE3" w:sz="1"/>
        </w:tblBorders>
      </w:tblPr>
      <w:tblGrid>
        <w:gridCol w:w="2550"/>
        <w:gridCol w:w="5276"/>
        <w:gridCol w:w="1200"/>
      </w:tblGrid>
      <w:tr>
        <w:trPr>
          <w:tblHeader/>
        </w:trPr>
        <w:tc>
          <w:tcPr>
            <w:tcW w:type="dxa" w:w="2550"/>
            <w:shd w:fill="0F6E8C" w:color="auto" w:val="clear"/>
            <w:tcMar>
              <w:top w:type="dxa" w:w="70"/>
              <w:left w:type="dxa" w:w="110"/>
              <w:bottom w:type="dxa" w:w="70"/>
              <w:right w:type="dxa" w:w="110"/>
            </w:tcMar>
          </w:tcPr>
          <w:p>
            <w:r>
              <w:rPr>
                <w:b/>
                <w:bCs/>
                <w:color w:val="FFFFFF"/>
                <w:sz w:val="19"/>
                <w:szCs w:val="19"/>
              </w:rPr>
              <w:t xml:space="preserve">Finding</w:t>
            </w:r>
          </w:p>
        </w:tc>
        <w:tc>
          <w:tcPr>
            <w:tcW w:type="dxa" w:w="5276"/>
            <w:shd w:fill="0F6E8C" w:color="auto" w:val="clear"/>
            <w:tcMar>
              <w:top w:type="dxa" w:w="70"/>
              <w:left w:type="dxa" w:w="110"/>
              <w:bottom w:type="dxa" w:w="70"/>
              <w:right w:type="dxa" w:w="110"/>
            </w:tcMar>
          </w:tcPr>
          <w:p>
            <w:r>
              <w:rPr>
                <w:b/>
                <w:bCs/>
                <w:color w:val="FFFFFF"/>
                <w:sz w:val="19"/>
                <w:szCs w:val="19"/>
              </w:rPr>
              <w:t xml:space="preserve">What we saw</w:t>
            </w:r>
          </w:p>
        </w:tc>
        <w:tc>
          <w:tcPr>
            <w:tcW w:type="dxa" w:w="1200"/>
            <w:shd w:fill="0F6E8C" w:color="auto" w:val="clear"/>
            <w:tcMar>
              <w:top w:type="dxa" w:w="70"/>
              <w:left w:type="dxa" w:w="110"/>
              <w:bottom w:type="dxa" w:w="70"/>
              <w:right w:type="dxa" w:w="110"/>
            </w:tcMar>
          </w:tcPr>
          <w:p>
            <w:r>
              <w:rPr>
                <w:b/>
                <w:bCs/>
                <w:color w:val="FFFFFF"/>
                <w:sz w:val="19"/>
                <w:szCs w:val="19"/>
              </w:rPr>
              <w:t xml:space="preserve">Severity</w:t>
            </w:r>
          </w:p>
        </w:tc>
      </w:tr>
      <w:tr>
        <w:tc>
          <w:tcPr>
            <w:tcW w:type="dxa" w:w="2550"/>
            <w:tcMar>
              <w:top w:type="dxa" w:w="70"/>
              <w:left w:type="dxa" w:w="110"/>
              <w:bottom w:type="dxa" w:w="70"/>
              <w:right w:type="dxa" w:w="110"/>
            </w:tcMar>
          </w:tcPr>
          <w:p>
            <w:r>
              <w:rPr>
                <w:b w:val="false"/>
                <w:bCs w:val="false"/>
                <w:color w:val="231F20"/>
                <w:sz w:val="19"/>
                <w:szCs w:val="19"/>
              </w:rPr>
              <w:t xml:space="preserve">Single modest server, no DR seen</w:t>
            </w:r>
          </w:p>
        </w:tc>
        <w:tc>
          <w:tcPr>
            <w:tcW w:type="dxa" w:w="5276"/>
            <w:tcMar>
              <w:top w:type="dxa" w:w="70"/>
              <w:left w:type="dxa" w:w="110"/>
              <w:bottom w:type="dxa" w:w="70"/>
              <w:right w:type="dxa" w:w="110"/>
            </w:tcMar>
          </w:tcPr>
          <w:p>
            <w:r>
              <w:rPr>
                <w:b w:val="false"/>
                <w:bCs w:val="false"/>
                <w:color w:val="231F20"/>
                <w:sz w:val="19"/>
                <w:szCs w:val="19"/>
              </w:rPr>
              <w:t xml:space="preserve">One 12 GB / 6-core / 75 GB box with no evident backup, restore or monitoring strategy. A disk failure or ransomware event could be terminal.</w:t>
            </w:r>
          </w:p>
        </w:tc>
        <w:tc>
          <w:tcPr>
            <w:tcW w:type="dxa" w:w="1200"/>
            <w:tcMar>
              <w:top w:type="dxa" w:w="70"/>
              <w:left w:type="dxa" w:w="110"/>
              <w:bottom w:type="dxa" w:w="70"/>
              <w:right w:type="dxa" w:w="110"/>
            </w:tcMar>
          </w:tcPr>
          <w:p>
            <w:r>
              <w:rPr>
                <w:b/>
                <w:bCs/>
                <w:color w:val="9C6A00"/>
                <w:sz w:val="19"/>
                <w:szCs w:val="19"/>
              </w:rPr>
              <w:t xml:space="preserve">High</w:t>
            </w:r>
          </w:p>
        </w:tc>
      </w:tr>
      <w:tr>
        <w:tc>
          <w:tcPr>
            <w:tcW w:type="dxa" w:w="2550"/>
            <w:shd w:fill="F6F9FB" w:color="auto" w:val="clear"/>
            <w:tcMar>
              <w:top w:type="dxa" w:w="70"/>
              <w:left w:type="dxa" w:w="110"/>
              <w:bottom w:type="dxa" w:w="70"/>
              <w:right w:type="dxa" w:w="110"/>
            </w:tcMar>
          </w:tcPr>
          <w:p>
            <w:r>
              <w:rPr>
                <w:b w:val="false"/>
                <w:bCs w:val="false"/>
                <w:color w:val="231F20"/>
                <w:sz w:val="19"/>
                <w:szCs w:val="19"/>
              </w:rPr>
              <w:t xml:space="preserve">Files stored on the app server</w:t>
            </w:r>
          </w:p>
        </w:tc>
        <w:tc>
          <w:tcPr>
            <w:tcW w:type="dxa" w:w="5276"/>
            <w:shd w:fill="F6F9FB" w:color="auto" w:val="clear"/>
            <w:tcMar>
              <w:top w:type="dxa" w:w="70"/>
              <w:left w:type="dxa" w:w="110"/>
              <w:bottom w:type="dxa" w:w="70"/>
              <w:right w:type="dxa" w:w="110"/>
            </w:tcMar>
          </w:tcPr>
          <w:p>
            <w:r>
              <w:rPr>
                <w:b w:val="false"/>
                <w:bCs w:val="false"/>
                <w:color w:val="231F20"/>
                <w:sz w:val="19"/>
                <w:szCs w:val="19"/>
              </w:rPr>
              <w:t xml:space="preserve">The document vault and uploads live on local disk, competing with the app for the 75 GB and tying data to one machine.</w:t>
            </w:r>
          </w:p>
        </w:tc>
        <w:tc>
          <w:tcPr>
            <w:tcW w:type="dxa" w:w="1200"/>
            <w:shd w:fill="F6F9FB" w:color="auto" w:val="clear"/>
            <w:tcMar>
              <w:top w:type="dxa" w:w="70"/>
              <w:left w:type="dxa" w:w="110"/>
              <w:bottom w:type="dxa" w:w="70"/>
              <w:right w:type="dxa" w:w="110"/>
            </w:tcMar>
          </w:tcPr>
          <w:p>
            <w:r>
              <w:rPr>
                <w:b/>
                <w:bCs/>
                <w:color w:val="0F6E8C"/>
                <w:sz w:val="19"/>
                <w:szCs w:val="19"/>
              </w:rPr>
              <w:t xml:space="preserve">Medium</w:t>
            </w:r>
          </w:p>
        </w:tc>
      </w:tr>
      <w:tr>
        <w:tc>
          <w:tcPr>
            <w:tcW w:type="dxa" w:w="2550"/>
            <w:tcMar>
              <w:top w:type="dxa" w:w="70"/>
              <w:left w:type="dxa" w:w="110"/>
              <w:bottom w:type="dxa" w:w="70"/>
              <w:right w:type="dxa" w:w="110"/>
            </w:tcMar>
          </w:tcPr>
          <w:p>
            <w:r>
              <w:rPr>
                <w:b w:val="false"/>
                <w:bCs w:val="false"/>
                <w:color w:val="231F20"/>
                <w:sz w:val="19"/>
                <w:szCs w:val="19"/>
              </w:rPr>
              <w:t xml:space="preserve">No offline capability</w:t>
            </w:r>
          </w:p>
        </w:tc>
        <w:tc>
          <w:tcPr>
            <w:tcW w:type="dxa" w:w="5276"/>
            <w:tcMar>
              <w:top w:type="dxa" w:w="70"/>
              <w:left w:type="dxa" w:w="110"/>
              <w:bottom w:type="dxa" w:w="70"/>
              <w:right w:type="dxa" w:w="110"/>
            </w:tcMar>
          </w:tcPr>
          <w:p>
            <w:r>
              <w:rPr>
                <w:b w:val="false"/>
                <w:bCs w:val="false"/>
                <w:color w:val="231F20"/>
                <w:sz w:val="19"/>
                <w:szCs w:val="19"/>
              </w:rPr>
              <w:t xml:space="preserve">Despite the PWA ambition, the current ERP needs a live connection — a problem where connectivity is intermittent.</w:t>
            </w:r>
          </w:p>
        </w:tc>
        <w:tc>
          <w:tcPr>
            <w:tcW w:type="dxa" w:w="1200"/>
            <w:tcMar>
              <w:top w:type="dxa" w:w="70"/>
              <w:left w:type="dxa" w:w="110"/>
              <w:bottom w:type="dxa" w:w="70"/>
              <w:right w:type="dxa" w:w="110"/>
            </w:tcMar>
          </w:tcPr>
          <w:p>
            <w:r>
              <w:rPr>
                <w:b/>
                <w:bCs/>
                <w:color w:val="0F6E8C"/>
                <w:sz w:val="19"/>
                <w:szCs w:val="19"/>
              </w:rPr>
              <w:t xml:space="preserve">Medium</w:t>
            </w:r>
          </w:p>
        </w:tc>
      </w:tr>
    </w:tbl>
    <w:p>
      <w:r>
        <w:br w:type="page"/>
      </w:r>
    </w:p>
    <w:p>
      <w:pPr>
        <w:pStyle w:val="Heading1"/>
        <w:spacing w:after="160" w:before="300"/>
      </w:pPr>
      <w:r>
        <w:t xml:space="preserve">6.  The headline gap — OHADA accounting &amp; tax</w:t>
      </w:r>
    </w:p>
    <w:p>
      <w:pPr>
        <w:spacing w:after="120" w:line="264"/>
      </w:pPr>
      <w:r>
        <w:t xml:space="preserve">This deserves its own section because it is the single biggest risk and the main reason for the revamp. The current system has </w:t>
      </w:r>
      <w:r>
        <w:rPr>
          <w:b/>
          <w:bCs/>
        </w:rPr>
        <w:t xml:space="preserve">financial records but no accounting</w:t>
      </w:r>
      <w:r>
        <w:t xml:space="preserve">. It stores invoices, receipts, purchase orders and payroll, but there is no chart of accounts, no double-entry general ledger, no journals, no fiscal-period close and no tax engine. Money movements are tracked as operational documents, never posted to accounts.</w:t>
      </w:r>
    </w:p>
    <w:p>
      <w:pPr>
        <w:spacing w:after="120" w:line="264"/>
      </w:pPr>
      <w:r>
        <w:t xml:space="preserve">In Cameroon that is not a nice-to-have. Companies keep their books under the revised SYSCOHADA framework (AUDCIF) and must produce, file and defend statutory financial statements and tax declarations:</w:t>
      </w:r>
    </w:p>
    <w:tbl>
      <w:tblPr>
        <w:tblW w:type="dxa" w:w="9026"/>
        <w:tblBorders>
          <w:top w:val="single" w:color="D6DEE3" w:sz="1"/>
          <w:left w:val="single" w:color="D6DEE3" w:sz="1"/>
          <w:bottom w:val="single" w:color="D6DEE3" w:sz="1"/>
          <w:right w:val="single" w:color="D6DEE3" w:sz="1"/>
          <w:insideH w:val="single" w:color="D6DEE3" w:sz="1"/>
          <w:insideV w:val="single" w:color="D6DEE3" w:sz="1"/>
        </w:tblBorders>
      </w:tblPr>
      <w:tblGrid>
        <w:gridCol w:w="2400"/>
        <w:gridCol w:w="4826"/>
        <w:gridCol w:w="1800"/>
      </w:tblGrid>
      <w:tr>
        <w:trPr>
          <w:tblHeader/>
        </w:trPr>
        <w:tc>
          <w:tcPr>
            <w:tcW w:type="dxa" w:w="2400"/>
            <w:shd w:fill="0F6E8C" w:color="auto" w:val="clear"/>
            <w:tcMar>
              <w:top w:type="dxa" w:w="70"/>
              <w:left w:type="dxa" w:w="110"/>
              <w:bottom w:type="dxa" w:w="70"/>
              <w:right w:type="dxa" w:w="110"/>
            </w:tcMar>
          </w:tcPr>
          <w:p>
            <w:r>
              <w:rPr>
                <w:b/>
                <w:bCs/>
                <w:color w:val="FFFFFF"/>
                <w:sz w:val="19"/>
                <w:szCs w:val="19"/>
              </w:rPr>
              <w:t xml:space="preserve">Obligation</w:t>
            </w:r>
          </w:p>
        </w:tc>
        <w:tc>
          <w:tcPr>
            <w:tcW w:type="dxa" w:w="4826"/>
            <w:shd w:fill="0F6E8C" w:color="auto" w:val="clear"/>
            <w:tcMar>
              <w:top w:type="dxa" w:w="70"/>
              <w:left w:type="dxa" w:w="110"/>
              <w:bottom w:type="dxa" w:w="70"/>
              <w:right w:type="dxa" w:w="110"/>
            </w:tcMar>
          </w:tcPr>
          <w:p>
            <w:r>
              <w:rPr>
                <w:b/>
                <w:bCs/>
                <w:color w:val="FFFFFF"/>
                <w:sz w:val="19"/>
                <w:szCs w:val="19"/>
              </w:rPr>
              <w:t xml:space="preserve">What it requires</w:t>
            </w:r>
          </w:p>
        </w:tc>
        <w:tc>
          <w:tcPr>
            <w:tcW w:type="dxa" w:w="1800"/>
            <w:shd w:fill="0F6E8C" w:color="auto" w:val="clear"/>
            <w:tcMar>
              <w:top w:type="dxa" w:w="70"/>
              <w:left w:type="dxa" w:w="110"/>
              <w:bottom w:type="dxa" w:w="70"/>
              <w:right w:type="dxa" w:w="110"/>
            </w:tcMar>
          </w:tcPr>
          <w:p>
            <w:r>
              <w:rPr>
                <w:b/>
                <w:bCs/>
                <w:color w:val="FFFFFF"/>
                <w:sz w:val="19"/>
                <w:szCs w:val="19"/>
              </w:rPr>
              <w:t xml:space="preserve">Current system</w:t>
            </w:r>
          </w:p>
        </w:tc>
      </w:tr>
      <w:tr>
        <w:tc>
          <w:tcPr>
            <w:tcW w:type="dxa" w:w="2400"/>
            <w:tcMar>
              <w:top w:type="dxa" w:w="70"/>
              <w:left w:type="dxa" w:w="110"/>
              <w:bottom w:type="dxa" w:w="70"/>
              <w:right w:type="dxa" w:w="110"/>
            </w:tcMar>
          </w:tcPr>
          <w:p>
            <w:r>
              <w:rPr>
                <w:b w:val="false"/>
                <w:bCs w:val="false"/>
                <w:color w:val="231F20"/>
                <w:sz w:val="19"/>
                <w:szCs w:val="19"/>
              </w:rPr>
              <w:t xml:space="preserve">SYSCOHADA financial statements</w:t>
            </w:r>
          </w:p>
        </w:tc>
        <w:tc>
          <w:tcPr>
            <w:tcW w:type="dxa" w:w="4826"/>
            <w:tcMar>
              <w:top w:type="dxa" w:w="70"/>
              <w:left w:type="dxa" w:w="110"/>
              <w:bottom w:type="dxa" w:w="70"/>
              <w:right w:type="dxa" w:w="110"/>
            </w:tcMar>
          </w:tcPr>
          <w:p>
            <w:r>
              <w:rPr>
                <w:b w:val="false"/>
                <w:bCs w:val="false"/>
                <w:color w:val="231F20"/>
                <w:sz w:val="19"/>
                <w:szCs w:val="19"/>
              </w:rPr>
              <w:t xml:space="preserve">Bilan (balance sheet), Compte de résultat (income statement), Tableau des flux de trésorerie (cash-flow) and Notes annexes, from a 9-class chart of accounts.</w:t>
            </w:r>
          </w:p>
        </w:tc>
        <w:tc>
          <w:tcPr>
            <w:tcW w:type="dxa" w:w="1800"/>
            <w:tcMar>
              <w:top w:type="dxa" w:w="70"/>
              <w:left w:type="dxa" w:w="110"/>
              <w:bottom w:type="dxa" w:w="70"/>
              <w:right w:type="dxa" w:w="110"/>
            </w:tcMar>
          </w:tcPr>
          <w:p>
            <w:r>
              <w:rPr>
                <w:b/>
                <w:bCs/>
                <w:color w:val="B0341D"/>
                <w:sz w:val="19"/>
                <w:szCs w:val="19"/>
              </w:rPr>
              <w:t xml:space="preserve">Cannot produce</w:t>
            </w:r>
          </w:p>
        </w:tc>
      </w:tr>
      <w:tr>
        <w:tc>
          <w:tcPr>
            <w:tcW w:type="dxa" w:w="2400"/>
            <w:shd w:fill="F6F9FB" w:color="auto" w:val="clear"/>
            <w:tcMar>
              <w:top w:type="dxa" w:w="70"/>
              <w:left w:type="dxa" w:w="110"/>
              <w:bottom w:type="dxa" w:w="70"/>
              <w:right w:type="dxa" w:w="110"/>
            </w:tcMar>
          </w:tcPr>
          <w:p>
            <w:r>
              <w:rPr>
                <w:b w:val="false"/>
                <w:bCs w:val="false"/>
                <w:color w:val="231F20"/>
                <w:sz w:val="19"/>
                <w:szCs w:val="19"/>
              </w:rPr>
              <w:t xml:space="preserve">DSF annual return</w:t>
            </w:r>
          </w:p>
        </w:tc>
        <w:tc>
          <w:tcPr>
            <w:tcW w:type="dxa" w:w="4826"/>
            <w:shd w:fill="F6F9FB" w:color="auto" w:val="clear"/>
            <w:tcMar>
              <w:top w:type="dxa" w:w="70"/>
              <w:left w:type="dxa" w:w="110"/>
              <w:bottom w:type="dxa" w:w="70"/>
              <w:right w:type="dxa" w:w="110"/>
            </w:tcMar>
          </w:tcPr>
          <w:p>
            <w:r>
              <w:rPr>
                <w:b w:val="false"/>
                <w:bCs w:val="false"/>
                <w:color w:val="231F20"/>
                <w:sz w:val="19"/>
                <w:szCs w:val="19"/>
              </w:rPr>
              <w:t xml:space="preserve">Déclaration Statistique et Fiscale filed with the DGI by 15 April (CIME/CSI) or 15 May (CDI), built directly on the statements.</w:t>
            </w:r>
          </w:p>
        </w:tc>
        <w:tc>
          <w:tcPr>
            <w:tcW w:type="dxa" w:w="1800"/>
            <w:shd w:fill="F6F9FB" w:color="auto" w:val="clear"/>
            <w:tcMar>
              <w:top w:type="dxa" w:w="70"/>
              <w:left w:type="dxa" w:w="110"/>
              <w:bottom w:type="dxa" w:w="70"/>
              <w:right w:type="dxa" w:w="110"/>
            </w:tcMar>
          </w:tcPr>
          <w:p>
            <w:r>
              <w:rPr>
                <w:b/>
                <w:bCs/>
                <w:color w:val="B0341D"/>
                <w:sz w:val="19"/>
                <w:szCs w:val="19"/>
              </w:rPr>
              <w:t xml:space="preserve">Cannot produce</w:t>
            </w:r>
          </w:p>
        </w:tc>
      </w:tr>
      <w:tr>
        <w:tc>
          <w:tcPr>
            <w:tcW w:type="dxa" w:w="2400"/>
            <w:tcMar>
              <w:top w:type="dxa" w:w="70"/>
              <w:left w:type="dxa" w:w="110"/>
              <w:bottom w:type="dxa" w:w="70"/>
              <w:right w:type="dxa" w:w="110"/>
            </w:tcMar>
          </w:tcPr>
          <w:p>
            <w:r>
              <w:rPr>
                <w:b w:val="false"/>
                <w:bCs w:val="false"/>
                <w:color w:val="231F20"/>
                <w:sz w:val="19"/>
                <w:szCs w:val="19"/>
              </w:rPr>
              <w:t xml:space="preserve">TVA (VAT)</w:t>
            </w:r>
          </w:p>
        </w:tc>
        <w:tc>
          <w:tcPr>
            <w:tcW w:type="dxa" w:w="4826"/>
            <w:tcMar>
              <w:top w:type="dxa" w:w="70"/>
              <w:left w:type="dxa" w:w="110"/>
              <w:bottom w:type="dxa" w:w="70"/>
              <w:right w:type="dxa" w:w="110"/>
            </w:tcMar>
          </w:tcPr>
          <w:p>
            <w:r>
              <w:rPr>
                <w:b w:val="false"/>
                <w:bCs w:val="false"/>
                <w:color w:val="231F20"/>
                <w:sz w:val="19"/>
                <w:szCs w:val="19"/>
              </w:rPr>
              <w:t xml:space="preserve">Monthly VAT at 19.25%, with input/output tracking and a return.</w:t>
            </w:r>
          </w:p>
        </w:tc>
        <w:tc>
          <w:tcPr>
            <w:tcW w:type="dxa" w:w="1800"/>
            <w:tcMar>
              <w:top w:type="dxa" w:w="70"/>
              <w:left w:type="dxa" w:w="110"/>
              <w:bottom w:type="dxa" w:w="70"/>
              <w:right w:type="dxa" w:w="110"/>
            </w:tcMar>
          </w:tcPr>
          <w:p>
            <w:r>
              <w:rPr>
                <w:b/>
                <w:bCs/>
                <w:color w:val="B0341D"/>
                <w:sz w:val="19"/>
                <w:szCs w:val="19"/>
              </w:rPr>
              <w:t xml:space="preserve">No VAT engine</w:t>
            </w:r>
          </w:p>
        </w:tc>
      </w:tr>
      <w:tr>
        <w:tc>
          <w:tcPr>
            <w:tcW w:type="dxa" w:w="2400"/>
            <w:shd w:fill="F6F9FB" w:color="auto" w:val="clear"/>
            <w:tcMar>
              <w:top w:type="dxa" w:w="70"/>
              <w:left w:type="dxa" w:w="110"/>
              <w:bottom w:type="dxa" w:w="70"/>
              <w:right w:type="dxa" w:w="110"/>
            </w:tcMar>
          </w:tcPr>
          <w:p>
            <w:r>
              <w:rPr>
                <w:b w:val="false"/>
                <w:bCs w:val="false"/>
                <w:color w:val="231F20"/>
                <w:sz w:val="19"/>
                <w:szCs w:val="19"/>
              </w:rPr>
              <w:t xml:space="preserve">Corporate income tax</w:t>
            </w:r>
          </w:p>
        </w:tc>
        <w:tc>
          <w:tcPr>
            <w:tcW w:type="dxa" w:w="4826"/>
            <w:shd w:fill="F6F9FB" w:color="auto" w:val="clear"/>
            <w:tcMar>
              <w:top w:type="dxa" w:w="70"/>
              <w:left w:type="dxa" w:w="110"/>
              <w:bottom w:type="dxa" w:w="70"/>
              <w:right w:type="dxa" w:w="110"/>
            </w:tcMar>
          </w:tcPr>
          <w:p>
            <w:r>
              <w:rPr>
                <w:b w:val="false"/>
                <w:bCs w:val="false"/>
                <w:color w:val="231F20"/>
                <w:sz w:val="19"/>
                <w:szCs w:val="19"/>
              </w:rPr>
              <w:t xml:space="preserve">CIT at 33% (turnover ≥ XAF 3bn) or 27.5%, with a 2.2% / 5.5% minimum tax on turnover.</w:t>
            </w:r>
          </w:p>
        </w:tc>
        <w:tc>
          <w:tcPr>
            <w:tcW w:type="dxa" w:w="1800"/>
            <w:shd w:fill="F6F9FB" w:color="auto" w:val="clear"/>
            <w:tcMar>
              <w:top w:type="dxa" w:w="70"/>
              <w:left w:type="dxa" w:w="110"/>
              <w:bottom w:type="dxa" w:w="70"/>
              <w:right w:type="dxa" w:w="110"/>
            </w:tcMar>
          </w:tcPr>
          <w:p>
            <w:r>
              <w:rPr>
                <w:b/>
                <w:bCs/>
                <w:color w:val="B0341D"/>
                <w:sz w:val="19"/>
                <w:szCs w:val="19"/>
              </w:rPr>
              <w:t xml:space="preserve">No computation</w:t>
            </w:r>
          </w:p>
        </w:tc>
      </w:tr>
      <w:tr>
        <w:tc>
          <w:tcPr>
            <w:tcW w:type="dxa" w:w="2400"/>
            <w:tcMar>
              <w:top w:type="dxa" w:w="70"/>
              <w:left w:type="dxa" w:w="110"/>
              <w:bottom w:type="dxa" w:w="70"/>
              <w:right w:type="dxa" w:w="110"/>
            </w:tcMar>
          </w:tcPr>
          <w:p>
            <w:r>
              <w:rPr>
                <w:b w:val="false"/>
                <w:bCs w:val="false"/>
                <w:color w:val="231F20"/>
                <w:sz w:val="19"/>
                <w:szCs w:val="19"/>
              </w:rPr>
              <w:t xml:space="preserve">CNPS &amp; payroll taxes</w:t>
            </w:r>
          </w:p>
        </w:tc>
        <w:tc>
          <w:tcPr>
            <w:tcW w:type="dxa" w:w="4826"/>
            <w:tcMar>
              <w:top w:type="dxa" w:w="70"/>
              <w:left w:type="dxa" w:w="110"/>
              <w:bottom w:type="dxa" w:w="70"/>
              <w:right w:type="dxa" w:w="110"/>
            </w:tcMar>
          </w:tcPr>
          <w:p>
            <w:r>
              <w:rPr>
                <w:b w:val="false"/>
                <w:bCs w:val="false"/>
                <w:color w:val="231F20"/>
                <w:sz w:val="19"/>
                <w:szCs w:val="19"/>
              </w:rPr>
              <w:t xml:space="preserve">Social security (≈ 4.2% employee, 7%+ employer, capped) and PAYE, declared periodically.</w:t>
            </w:r>
          </w:p>
        </w:tc>
        <w:tc>
          <w:tcPr>
            <w:tcW w:type="dxa" w:w="1800"/>
            <w:tcMar>
              <w:top w:type="dxa" w:w="70"/>
              <w:left w:type="dxa" w:w="110"/>
              <w:bottom w:type="dxa" w:w="70"/>
              <w:right w:type="dxa" w:w="110"/>
            </w:tcMar>
          </w:tcPr>
          <w:p>
            <w:r>
              <w:rPr>
                <w:b/>
                <w:bCs/>
                <w:color w:val="9C6A00"/>
                <w:sz w:val="19"/>
                <w:szCs w:val="19"/>
              </w:rPr>
              <w:t xml:space="preserve">Fields only, no posting</w:t>
            </w:r>
          </w:p>
        </w:tc>
      </w:tr>
    </w:tbl>
    <w:tbl>
      <w:tblPr>
        <w:tblW w:type="dxa" w:w="9026"/>
        <w:tblBorders>
          <w:top w:val="single" w:color="E2E8EC" w:sz="1"/>
          <w:left w:val="single" w:color="B0341D" w:sz="18"/>
          <w:bottom w:val="single" w:color="E2E8EC" w:sz="1"/>
          <w:right w:val="single" w:color="E2E8EC" w:sz="1"/>
          <w:insideH w:val="single" w:color="E2E8EC" w:sz="1"/>
          <w:insideV w:val="single" w:color="E2E8EC" w:sz="1"/>
        </w:tblBorders>
      </w:tblPr>
      <w:tblGrid>
        <w:gridCol w:w="9026"/>
      </w:tblGrid>
      <w:tr>
        <w:tc>
          <w:tcPr>
            <w:tcW w:type="dxa" w:w="9026"/>
            <w:shd w:fill="F7FAFB" w:color="auto" w:val="clear"/>
            <w:tcMar>
              <w:top w:type="dxa" w:w="130"/>
              <w:left w:type="dxa" w:w="200"/>
              <w:bottom w:type="dxa" w:w="130"/>
              <w:right w:type="dxa" w:w="160"/>
            </w:tcMar>
          </w:tcPr>
          <w:p>
            <w:pPr>
              <w:spacing w:after="70"/>
            </w:pPr>
            <w:r>
              <w:rPr>
                <w:b/>
                <w:bCs/>
                <w:color w:val="B0341D"/>
                <w:sz w:val="21"/>
                <w:szCs w:val="21"/>
              </w:rPr>
              <w:t xml:space="preserve">Why this is existential</w:t>
            </w:r>
          </w:p>
          <w:p>
            <w:pPr>
              <w:spacing w:after="0" w:line="258"/>
            </w:pPr>
            <w:r>
              <w:rPr>
                <w:b/>
                <w:bCs/>
                <w:color w:val="B0341D"/>
              </w:rPr>
              <w:t xml:space="preserve">You cannot file taxes you cannot account for. </w:t>
            </w:r>
            <w:r>
              <w:t xml:space="preserve">Without a SYSCOHADA-compliant ledger feeding the DSF, TVA and CNPS declarations from one source of truth, filings are manual, late-prone and hard to defend in an audit. Re-introducing OHADA accounting and reporting is the central requirement of the revamp, not an add-on.</w:t>
            </w:r>
          </w:p>
        </w:tc>
      </w:tr>
    </w:tbl>
    <w:p>
      <w:pPr>
        <w:spacing w:after="120" w:line="264"/>
      </w:pPr>
      <w:r>
        <w:rPr>
          <w:i/>
          <w:iCs/>
          <w:color w:val="6B7280"/>
          <w:sz w:val="20"/>
          <w:szCs w:val="20"/>
        </w:rPr>
        <w:t xml:space="preserve">Figures (CIT 33% / 27.5%, minimum tax 2.2% / 5.5%, TVA 19.25%, CNPS rates, DSF deadlines) are current as of June 2026 and should be confirmed against the DGI Code Général des Impôts at build time, since Finance Acts adjust them yearly.</w:t>
      </w:r>
    </w:p>
    <w:p>
      <w:pPr>
        <w:pStyle w:val="Heading1"/>
        <w:spacing w:after="160" w:before="300"/>
      </w:pPr>
      <w:r>
        <w:t xml:space="preserve">7.  How the revamp closes the gaps</w:t>
      </w:r>
    </w:p>
    <w:p>
      <w:pPr>
        <w:spacing w:after="120" w:line="264"/>
      </w:pPr>
      <w:r>
        <w:t xml:space="preserve">The proposed stack — a Node.js API with a React/Vite Progressive Web App, bilingual throughout, on top of a cleaned data model — maps directly onto the findings above. Each flaw has a corresponding fix:</w:t>
      </w:r>
    </w:p>
    <w:tbl>
      <w:tblPr>
        <w:tblW w:type="dxa" w:w="9026"/>
        <w:tblBorders>
          <w:top w:val="single" w:color="D6DEE3" w:sz="1"/>
          <w:left w:val="single" w:color="D6DEE3" w:sz="1"/>
          <w:bottom w:val="single" w:color="D6DEE3" w:sz="1"/>
          <w:right w:val="single" w:color="D6DEE3" w:sz="1"/>
          <w:insideH w:val="single" w:color="D6DEE3" w:sz="1"/>
          <w:insideV w:val="single" w:color="D6DEE3" w:sz="1"/>
        </w:tblBorders>
      </w:tblPr>
      <w:tblGrid>
        <w:gridCol w:w="3000"/>
        <w:gridCol w:w="6026"/>
      </w:tblGrid>
      <w:tr>
        <w:trPr>
          <w:tblHeader/>
        </w:trPr>
        <w:tc>
          <w:tcPr>
            <w:tcW w:type="dxa" w:w="3000"/>
            <w:shd w:fill="0F6E8C" w:color="auto" w:val="clear"/>
            <w:tcMar>
              <w:top w:type="dxa" w:w="70"/>
              <w:left w:type="dxa" w:w="110"/>
              <w:bottom w:type="dxa" w:w="70"/>
              <w:right w:type="dxa" w:w="110"/>
            </w:tcMar>
          </w:tcPr>
          <w:p>
            <w:r>
              <w:rPr>
                <w:b/>
                <w:bCs/>
                <w:color w:val="FFFFFF"/>
                <w:sz w:val="19"/>
                <w:szCs w:val="19"/>
              </w:rPr>
              <w:t xml:space="preserve">Today's flaw</w:t>
            </w:r>
          </w:p>
        </w:tc>
        <w:tc>
          <w:tcPr>
            <w:tcW w:type="dxa" w:w="6026"/>
            <w:shd w:fill="0F6E8C" w:color="auto" w:val="clear"/>
            <w:tcMar>
              <w:top w:type="dxa" w:w="70"/>
              <w:left w:type="dxa" w:w="110"/>
              <w:bottom w:type="dxa" w:w="70"/>
              <w:right w:type="dxa" w:w="110"/>
            </w:tcMar>
          </w:tcPr>
          <w:p>
            <w:r>
              <w:rPr>
                <w:b/>
                <w:bCs/>
                <w:color w:val="FFFFFF"/>
                <w:sz w:val="19"/>
                <w:szCs w:val="19"/>
              </w:rPr>
              <w:t xml:space="preserve">What the revamp introduces</w:t>
            </w:r>
          </w:p>
        </w:tc>
      </w:tr>
      <w:tr>
        <w:tc>
          <w:tcPr>
            <w:tcW w:type="dxa" w:w="3000"/>
            <w:tcMar>
              <w:top w:type="dxa" w:w="70"/>
              <w:left w:type="dxa" w:w="110"/>
              <w:bottom w:type="dxa" w:w="70"/>
              <w:right w:type="dxa" w:w="110"/>
            </w:tcMar>
          </w:tcPr>
          <w:p>
            <w:r>
              <w:rPr>
                <w:b/>
                <w:bCs/>
                <w:color w:val="B0341D"/>
                <w:sz w:val="19"/>
                <w:szCs w:val="19"/>
              </w:rPr>
              <w:t xml:space="preserve">No accounting / cannot file taxes</w:t>
            </w:r>
          </w:p>
        </w:tc>
        <w:tc>
          <w:tcPr>
            <w:tcW w:type="dxa" w:w="6026"/>
            <w:tcMar>
              <w:top w:type="dxa" w:w="70"/>
              <w:left w:type="dxa" w:w="110"/>
              <w:bottom w:type="dxa" w:w="70"/>
              <w:right w:type="dxa" w:w="110"/>
            </w:tcMar>
          </w:tcPr>
          <w:p>
            <w:r>
              <w:rPr>
                <w:b w:val="false"/>
                <w:bCs w:val="false"/>
                <w:color w:val="231F20"/>
                <w:sz w:val="19"/>
                <w:szCs w:val="19"/>
              </w:rPr>
              <w:t xml:space="preserve">A native double-entry OHADA/SYSCOHADA core: chart of accounts, general ledger, journals, period close, and a tax engine that produces TVA, CIT/minimum-tax and the DSF pack — plus CNPS — from one ledger.</w:t>
            </w:r>
          </w:p>
        </w:tc>
      </w:tr>
      <w:tr>
        <w:tc>
          <w:tcPr>
            <w:tcW w:type="dxa" w:w="3000"/>
            <w:shd w:fill="F6F9FB" w:color="auto" w:val="clear"/>
            <w:tcMar>
              <w:top w:type="dxa" w:w="70"/>
              <w:left w:type="dxa" w:w="110"/>
              <w:bottom w:type="dxa" w:w="70"/>
              <w:right w:type="dxa" w:w="110"/>
            </w:tcMar>
          </w:tcPr>
          <w:p>
            <w:r>
              <w:rPr>
                <w:b w:val="false"/>
                <w:bCs w:val="false"/>
                <w:color w:val="231F20"/>
                <w:sz w:val="19"/>
                <w:szCs w:val="19"/>
              </w:rPr>
              <w:t xml:space="preserve">ERP English-only</w:t>
            </w:r>
          </w:p>
        </w:tc>
        <w:tc>
          <w:tcPr>
            <w:tcW w:type="dxa" w:w="6026"/>
            <w:shd w:fill="F6F9FB" w:color="auto" w:val="clear"/>
            <w:tcMar>
              <w:top w:type="dxa" w:w="70"/>
              <w:left w:type="dxa" w:w="110"/>
              <w:bottom w:type="dxa" w:w="70"/>
              <w:right w:type="dxa" w:w="110"/>
            </w:tcMar>
          </w:tcPr>
          <w:p>
            <w:r>
              <w:rPr>
                <w:b w:val="false"/>
                <w:bCs w:val="false"/>
                <w:color w:val="231F20"/>
                <w:sz w:val="19"/>
                <w:szCs w:val="19"/>
              </w:rPr>
              <w:t xml:space="preserve">A single internationalisation layer so every screen, document and notification renders in English or French, per user and per document, reusing the website's existing translations.</w:t>
            </w:r>
          </w:p>
        </w:tc>
      </w:tr>
      <w:tr>
        <w:tc>
          <w:tcPr>
            <w:tcW w:type="dxa" w:w="3000"/>
            <w:tcMar>
              <w:top w:type="dxa" w:w="70"/>
              <w:left w:type="dxa" w:w="110"/>
              <w:bottom w:type="dxa" w:w="70"/>
              <w:right w:type="dxa" w:w="110"/>
            </w:tcMar>
          </w:tcPr>
          <w:p>
            <w:r>
              <w:rPr>
                <w:b w:val="false"/>
                <w:bCs w:val="false"/>
                <w:color w:val="231F20"/>
                <w:sz w:val="19"/>
                <w:szCs w:val="19"/>
              </w:rPr>
              <w:t xml:space="preserve">Hard-coded secrets</w:t>
            </w:r>
          </w:p>
        </w:tc>
        <w:tc>
          <w:tcPr>
            <w:tcW w:type="dxa" w:w="6026"/>
            <w:tcMar>
              <w:top w:type="dxa" w:w="70"/>
              <w:left w:type="dxa" w:w="110"/>
              <w:bottom w:type="dxa" w:w="70"/>
              <w:right w:type="dxa" w:w="110"/>
            </w:tcMar>
          </w:tcPr>
          <w:p>
            <w:r>
              <w:rPr>
                <w:b w:val="false"/>
                <w:bCs w:val="false"/>
                <w:color w:val="231F20"/>
                <w:sz w:val="19"/>
                <w:szCs w:val="19"/>
              </w:rPr>
              <w:t xml:space="preserve">Configuration and secrets moved to environment variables / a secrets store, rotatable without code changes.</w:t>
            </w:r>
          </w:p>
        </w:tc>
      </w:tr>
      <w:tr>
        <w:tc>
          <w:tcPr>
            <w:tcW w:type="dxa" w:w="3000"/>
            <w:shd w:fill="F6F9FB" w:color="auto" w:val="clear"/>
            <w:tcMar>
              <w:top w:type="dxa" w:w="70"/>
              <w:left w:type="dxa" w:w="110"/>
              <w:bottom w:type="dxa" w:w="70"/>
              <w:right w:type="dxa" w:w="110"/>
            </w:tcMar>
          </w:tcPr>
          <w:p>
            <w:r>
              <w:rPr>
                <w:b w:val="false"/>
                <w:bCs w:val="false"/>
                <w:color w:val="231F20"/>
                <w:sz w:val="19"/>
                <w:szCs w:val="19"/>
              </w:rPr>
              <w:t xml:space="preserve">God Mode hard deletes</w:t>
            </w:r>
          </w:p>
        </w:tc>
        <w:tc>
          <w:tcPr>
            <w:tcW w:type="dxa" w:w="6026"/>
            <w:shd w:fill="F6F9FB" w:color="auto" w:val="clear"/>
            <w:tcMar>
              <w:top w:type="dxa" w:w="70"/>
              <w:left w:type="dxa" w:w="110"/>
              <w:bottom w:type="dxa" w:w="70"/>
              <w:right w:type="dxa" w:w="110"/>
            </w:tcMar>
          </w:tcPr>
          <w:p>
            <w:r>
              <w:rPr>
                <w:b w:val="false"/>
                <w:bCs w:val="false"/>
                <w:color w:val="231F20"/>
                <w:sz w:val="19"/>
                <w:szCs w:val="19"/>
              </w:rPr>
              <w:t xml:space="preserve">Replaced by maker-checker approvals, soft-delete with retention, and a tamper-evident audit trail.</w:t>
            </w:r>
          </w:p>
        </w:tc>
      </w:tr>
      <w:tr>
        <w:tc>
          <w:tcPr>
            <w:tcW w:type="dxa" w:w="3000"/>
            <w:tcMar>
              <w:top w:type="dxa" w:w="70"/>
              <w:left w:type="dxa" w:w="110"/>
              <w:bottom w:type="dxa" w:w="70"/>
              <w:right w:type="dxa" w:w="110"/>
            </w:tcMar>
          </w:tcPr>
          <w:p>
            <w:r>
              <w:rPr>
                <w:b w:val="false"/>
                <w:bCs w:val="false"/>
                <w:color w:val="231F20"/>
                <w:sz w:val="19"/>
                <w:szCs w:val="19"/>
              </w:rPr>
              <w:t xml:space="preserve">Screens copied per role</w:t>
            </w:r>
          </w:p>
        </w:tc>
        <w:tc>
          <w:tcPr>
            <w:tcW w:type="dxa" w:w="6026"/>
            <w:tcMar>
              <w:top w:type="dxa" w:w="70"/>
              <w:left w:type="dxa" w:w="110"/>
              <w:bottom w:type="dxa" w:w="70"/>
              <w:right w:type="dxa" w:w="110"/>
            </w:tcMar>
          </w:tcPr>
          <w:p>
            <w:r>
              <w:rPr>
                <w:b w:val="false"/>
                <w:bCs w:val="false"/>
                <w:color w:val="231F20"/>
                <w:sz w:val="19"/>
                <w:szCs w:val="19"/>
              </w:rPr>
              <w:t xml:space="preserve">One screen, one code path, with a central permission policy deciding visibility and actions — built once, governed centrally.</w:t>
            </w:r>
          </w:p>
        </w:tc>
      </w:tr>
      <w:tr>
        <w:tc>
          <w:tcPr>
            <w:tcW w:type="dxa" w:w="3000"/>
            <w:shd w:fill="F6F9FB" w:color="auto" w:val="clear"/>
            <w:tcMar>
              <w:top w:type="dxa" w:w="70"/>
              <w:left w:type="dxa" w:w="110"/>
              <w:bottom w:type="dxa" w:w="70"/>
              <w:right w:type="dxa" w:w="110"/>
            </w:tcMar>
          </w:tcPr>
          <w:p>
            <w:r>
              <w:rPr>
                <w:b w:val="false"/>
                <w:bCs w:val="false"/>
                <w:color w:val="231F20"/>
                <w:sz w:val="19"/>
                <w:szCs w:val="19"/>
              </w:rPr>
              <w:t xml:space="preserve">Permissions in three places</w:t>
            </w:r>
          </w:p>
        </w:tc>
        <w:tc>
          <w:tcPr>
            <w:tcW w:type="dxa" w:w="6026"/>
            <w:shd w:fill="F6F9FB" w:color="auto" w:val="clear"/>
            <w:tcMar>
              <w:top w:type="dxa" w:w="70"/>
              <w:left w:type="dxa" w:w="110"/>
              <w:bottom w:type="dxa" w:w="70"/>
              <w:right w:type="dxa" w:w="110"/>
            </w:tcMar>
          </w:tcPr>
          <w:p>
            <w:r>
              <w:rPr>
                <w:b w:val="false"/>
                <w:bCs w:val="false"/>
                <w:color w:val="231F20"/>
                <w:sz w:val="19"/>
                <w:szCs w:val="19"/>
              </w:rPr>
              <w:t xml:space="preserve">A single RBAC policy engine (roles + capabilities + field-level rules) as the one source of truth for who does what and who sees what.</w:t>
            </w:r>
          </w:p>
        </w:tc>
      </w:tr>
      <w:tr>
        <w:tc>
          <w:tcPr>
            <w:tcW w:type="dxa" w:w="3000"/>
            <w:tcMar>
              <w:top w:type="dxa" w:w="70"/>
              <w:left w:type="dxa" w:w="110"/>
              <w:bottom w:type="dxa" w:w="70"/>
              <w:right w:type="dxa" w:w="110"/>
            </w:tcMar>
          </w:tcPr>
          <w:p>
            <w:r>
              <w:rPr>
                <w:b w:val="false"/>
                <w:bCs w:val="false"/>
                <w:color w:val="231F20"/>
                <w:sz w:val="19"/>
                <w:szCs w:val="19"/>
              </w:rPr>
              <w:t xml:space="preserve">Duplicate / twin tables</w:t>
            </w:r>
          </w:p>
        </w:tc>
        <w:tc>
          <w:tcPr>
            <w:tcW w:type="dxa" w:w="6026"/>
            <w:tcMar>
              <w:top w:type="dxa" w:w="70"/>
              <w:left w:type="dxa" w:w="110"/>
              <w:bottom w:type="dxa" w:w="70"/>
              <w:right w:type="dxa" w:w="110"/>
            </w:tcMar>
          </w:tcPr>
          <w:p>
            <w:r>
              <w:rPr>
                <w:b w:val="false"/>
                <w:bCs w:val="false"/>
                <w:color w:val="231F20"/>
                <w:sz w:val="19"/>
                <w:szCs w:val="19"/>
              </w:rPr>
              <w:t xml:space="preserve">A consolidated, normalised schema migrated cleanly from the current 84 tables, with duplicates merged and de-duplicated.</w:t>
            </w:r>
          </w:p>
        </w:tc>
      </w:tr>
      <w:tr>
        <w:tc>
          <w:tcPr>
            <w:tcW w:type="dxa" w:w="3000"/>
            <w:shd w:fill="F6F9FB" w:color="auto" w:val="clear"/>
            <w:tcMar>
              <w:top w:type="dxa" w:w="70"/>
              <w:left w:type="dxa" w:w="110"/>
              <w:bottom w:type="dxa" w:w="70"/>
              <w:right w:type="dxa" w:w="110"/>
            </w:tcMar>
          </w:tcPr>
          <w:p>
            <w:r>
              <w:rPr>
                <w:b w:val="false"/>
                <w:bCs w:val="false"/>
                <w:color w:val="231F20"/>
                <w:sz w:val="19"/>
                <w:szCs w:val="19"/>
              </w:rPr>
              <w:t xml:space="preserve">Server-rendered monolith</w:t>
            </w:r>
          </w:p>
        </w:tc>
        <w:tc>
          <w:tcPr>
            <w:tcW w:type="dxa" w:w="6026"/>
            <w:shd w:fill="F6F9FB" w:color="auto" w:val="clear"/>
            <w:tcMar>
              <w:top w:type="dxa" w:w="70"/>
              <w:left w:type="dxa" w:w="110"/>
              <w:bottom w:type="dxa" w:w="70"/>
              <w:right w:type="dxa" w:w="110"/>
            </w:tcMar>
          </w:tcPr>
          <w:p>
            <w:r>
              <w:rPr>
                <w:b w:val="false"/>
                <w:bCs w:val="false"/>
                <w:color w:val="231F20"/>
                <w:sz w:val="19"/>
                <w:szCs w:val="19"/>
              </w:rPr>
              <w:t xml:space="preserve">A clean API/front-end split: the React PWA talks to a documented Node API, so UI and logic evolve independently.</w:t>
            </w:r>
          </w:p>
        </w:tc>
      </w:tr>
      <w:tr>
        <w:tc>
          <w:tcPr>
            <w:tcW w:type="dxa" w:w="3000"/>
            <w:tcMar>
              <w:top w:type="dxa" w:w="70"/>
              <w:left w:type="dxa" w:w="110"/>
              <w:bottom w:type="dxa" w:w="70"/>
              <w:right w:type="dxa" w:w="110"/>
            </w:tcMar>
          </w:tcPr>
          <w:p>
            <w:r>
              <w:rPr>
                <w:b w:val="false"/>
                <w:bCs w:val="false"/>
                <w:color w:val="231F20"/>
                <w:sz w:val="19"/>
                <w:szCs w:val="19"/>
              </w:rPr>
              <w:t xml:space="preserve">No offline use</w:t>
            </w:r>
          </w:p>
        </w:tc>
        <w:tc>
          <w:tcPr>
            <w:tcW w:type="dxa" w:w="6026"/>
            <w:tcMar>
              <w:top w:type="dxa" w:w="70"/>
              <w:left w:type="dxa" w:w="110"/>
              <w:bottom w:type="dxa" w:w="70"/>
              <w:right w:type="dxa" w:w="110"/>
            </w:tcMar>
          </w:tcPr>
          <w:p>
            <w:r>
              <w:rPr>
                <w:b w:val="false"/>
                <w:bCs w:val="false"/>
                <w:color w:val="231F20"/>
                <w:sz w:val="19"/>
                <w:szCs w:val="19"/>
              </w:rPr>
              <w:t xml:space="preserve">PWA caching and a sync model so key field tasks keep working through patchy connectivity.</w:t>
            </w:r>
          </w:p>
        </w:tc>
      </w:tr>
      <w:tr>
        <w:tc>
          <w:tcPr>
            <w:tcW w:type="dxa" w:w="3000"/>
            <w:shd w:fill="F6F9FB" w:color="auto" w:val="clear"/>
            <w:tcMar>
              <w:top w:type="dxa" w:w="70"/>
              <w:left w:type="dxa" w:w="110"/>
              <w:bottom w:type="dxa" w:w="70"/>
              <w:right w:type="dxa" w:w="110"/>
            </w:tcMar>
          </w:tcPr>
          <w:p>
            <w:r>
              <w:rPr>
                <w:b w:val="false"/>
                <w:bCs w:val="false"/>
                <w:color w:val="231F20"/>
                <w:sz w:val="19"/>
                <w:szCs w:val="19"/>
              </w:rPr>
              <w:t xml:space="preserve">Single server, no DR</w:t>
            </w:r>
          </w:p>
        </w:tc>
        <w:tc>
          <w:tcPr>
            <w:tcW w:type="dxa" w:w="6026"/>
            <w:shd w:fill="F6F9FB" w:color="auto" w:val="clear"/>
            <w:tcMar>
              <w:top w:type="dxa" w:w="70"/>
              <w:left w:type="dxa" w:w="110"/>
              <w:bottom w:type="dxa" w:w="70"/>
              <w:right w:type="dxa" w:w="110"/>
            </w:tcMar>
          </w:tcPr>
          <w:p>
            <w:r>
              <w:rPr>
                <w:b w:val="false"/>
                <w:bCs w:val="false"/>
                <w:color w:val="231F20"/>
                <w:sz w:val="19"/>
                <w:szCs w:val="19"/>
              </w:rPr>
              <w:t xml:space="preserve">An explicit hosting, backup and disaster-recovery design sized to the 12 GB / 6-core / 75 GB budget, with a documented path to scale.</w:t>
            </w:r>
          </w:p>
        </w:tc>
      </w:tr>
    </w:tbl>
    <w:p>
      <w:pPr>
        <w:pStyle w:val="Heading1"/>
        <w:spacing w:after="160" w:before="300"/>
      </w:pPr>
      <w:r>
        <w:t xml:space="preserve">8.  Operating context &amp; constraints</w:t>
      </w:r>
    </w:p>
    <w:p>
      <w:pPr>
        <w:pStyle w:val="ListParagraph"/>
        <w:numPr>
          <w:ilvl w:val="0"/>
          <w:numId w:val="2"/>
        </w:numPr>
        <w:spacing w:after="70" w:line="260"/>
      </w:pPr>
      <w:r>
        <w:rPr>
          <w:b/>
          <w:bCs/>
        </w:rPr>
        <w:t xml:space="preserve">Jurisdiction: </w:t>
      </w:r>
      <w:r>
        <w:t xml:space="preserve">Cameroon — bilingual (EN/FR), OHADA/SYSCOHADA accounting, DGI tax administration (DSF, TVA, CIT, CNPS).</w:t>
      </w:r>
    </w:p>
    <w:p>
      <w:pPr>
        <w:pStyle w:val="ListParagraph"/>
        <w:numPr>
          <w:ilvl w:val="0"/>
          <w:numId w:val="2"/>
        </w:numPr>
        <w:spacing w:after="70" w:line="260"/>
      </w:pPr>
      <w:r>
        <w:rPr>
          <w:b/>
          <w:bCs/>
        </w:rPr>
        <w:t xml:space="preserve">Target platform: </w:t>
      </w:r>
      <w:r>
        <w:t xml:space="preserve">Node.js back end, React + Vite front end, delivered as an installable PWA, fully bilingual.</w:t>
      </w:r>
    </w:p>
    <w:p>
      <w:pPr>
        <w:pStyle w:val="ListParagraph"/>
        <w:numPr>
          <w:ilvl w:val="0"/>
          <w:numId w:val="2"/>
        </w:numPr>
        <w:spacing w:after="70" w:line="260"/>
      </w:pPr>
      <w:r>
        <w:rPr>
          <w:b/>
          <w:bCs/>
        </w:rPr>
        <w:t xml:space="preserve">Hardware budget: </w:t>
      </w:r>
      <w:r>
        <w:t xml:space="preserve">A single server with 12 GB RAM, 6 CPU cores and 75 GB SSD. Generous for a well-built Node + MySQL app at SME scale, but it forces discipline: lean services, off-box file storage and backups, and a clear scaling path.</w:t>
      </w:r>
    </w:p>
    <w:p>
      <w:pPr>
        <w:pStyle w:val="ListParagraph"/>
        <w:numPr>
          <w:ilvl w:val="0"/>
          <w:numId w:val="2"/>
        </w:numPr>
        <w:spacing w:after="70" w:line="260"/>
      </w:pPr>
      <w:r>
        <w:rPr>
          <w:b/>
          <w:bCs/>
        </w:rPr>
        <w:t xml:space="preserve">Data: </w:t>
      </w:r>
      <w:r>
        <w:t xml:space="preserve">An existing 84-table database with real operational history that must be migrated, not discarded.</w:t>
      </w:r>
    </w:p>
    <w:p>
      <w:pPr>
        <w:pStyle w:val="Heading1"/>
        <w:spacing w:after="160" w:before="300"/>
      </w:pPr>
      <w:r>
        <w:t xml:space="preserve">9.  Recommended next steps</w:t>
      </w:r>
    </w:p>
    <w:p>
      <w:pPr>
        <w:pStyle w:val="ListParagraph"/>
        <w:numPr>
          <w:ilvl w:val="0"/>
          <w:numId w:val="3"/>
        </w:numPr>
        <w:spacing w:after="70" w:line="260"/>
      </w:pPr>
      <w:r>
        <w:t xml:space="preserve">Work through the 30 discovery questions (separate document). They turn each finding above into a concrete decision and are grouped exactly as you asked: findings, ideal structure &amp; flexibility, and sustainability.</w:t>
      </w:r>
    </w:p>
    <w:p>
      <w:pPr>
        <w:pStyle w:val="ListParagraph"/>
        <w:numPr>
          <w:ilvl w:val="0"/>
          <w:numId w:val="3"/>
        </w:numPr>
        <w:spacing w:after="70" w:line="260"/>
      </w:pPr>
      <w:r>
        <w:t xml:space="preserve">From your answers, lock the target architecture, the OHADA accounting scope, the RBAC model and the bilingual approach.</w:t>
      </w:r>
    </w:p>
    <w:p>
      <w:pPr>
        <w:pStyle w:val="ListParagraph"/>
        <w:numPr>
          <w:ilvl w:val="0"/>
          <w:numId w:val="3"/>
        </w:numPr>
        <w:spacing w:after="70" w:line="260"/>
      </w:pPr>
      <w:r>
        <w:t xml:space="preserve">Then we draft the practical, picture-it user journey — written for the Super Admin, with the full “who does what / who sees what” RBAC matrix beneath it.</w:t>
      </w:r>
    </w:p>
    <w:p>
      <w:pPr>
        <w:pStyle w:val="ListParagraph"/>
        <w:numPr>
          <w:ilvl w:val="0"/>
          <w:numId w:val="3"/>
        </w:numPr>
        <w:spacing w:after="70" w:line="260"/>
      </w:pPr>
      <w:r>
        <w:t xml:space="preserve">Finally, sequence the build into phases that fit the server budget and let you keep operating while the new system comes up.</w:t>
      </w:r>
    </w:p>
    <w:p>
      <w:pPr>
        <w:spacing w:after="40"/>
      </w:pPr>
      <w:r>
        <w:t xml:space="preserve"/>
      </w:r>
    </w:p>
    <w:tbl>
      <w:tblPr>
        <w:tblW w:type="dxa" w:w="9026"/>
        <w:tblBorders>
          <w:top w:val="single" w:color="E2E8EC" w:sz="1"/>
          <w:left w:val="single" w:color="B0341D" w:sz="18"/>
          <w:bottom w:val="single" w:color="E2E8EC" w:sz="1"/>
          <w:right w:val="single" w:color="E2E8EC" w:sz="1"/>
          <w:insideH w:val="single" w:color="E2E8EC" w:sz="1"/>
          <w:insideV w:val="single" w:color="E2E8EC" w:sz="1"/>
        </w:tblBorders>
      </w:tblPr>
      <w:tblGrid>
        <w:gridCol w:w="9026"/>
      </w:tblGrid>
      <w:tr>
        <w:tc>
          <w:tcPr>
            <w:tcW w:type="dxa" w:w="9026"/>
            <w:shd w:fill="F7FAFB" w:color="auto" w:val="clear"/>
            <w:tcMar>
              <w:top w:type="dxa" w:w="130"/>
              <w:left w:type="dxa" w:w="200"/>
              <w:bottom w:type="dxa" w:w="130"/>
              <w:right w:type="dxa" w:w="160"/>
            </w:tcMar>
          </w:tcPr>
          <w:p>
            <w:pPr>
              <w:spacing w:after="70"/>
            </w:pPr>
            <w:r>
              <w:rPr>
                <w:b/>
                <w:bCs/>
                <w:color w:val="B0341D"/>
                <w:sz w:val="21"/>
                <w:szCs w:val="21"/>
              </w:rPr>
              <w:t xml:space="preserve">Immediate, do-regardless actions</w:t>
            </w:r>
          </w:p>
          <w:p>
            <w:pPr>
              <w:spacing w:after="60" w:line="258"/>
            </w:pPr>
            <w:r>
              <w:rPr>
                <w:b/>
                <w:bCs/>
              </w:rPr>
              <w:t xml:space="preserve">1.  </w:t>
            </w:r>
            <w:r>
              <w:t xml:space="preserve">Rotate the database password and move it out of source code.</w:t>
            </w:r>
          </w:p>
          <w:p>
            <w:pPr>
              <w:spacing w:after="60" w:line="258"/>
            </w:pPr>
            <w:r>
              <w:rPr>
                <w:b/>
                <w:bCs/>
              </w:rPr>
              <w:t xml:space="preserve">2.  </w:t>
            </w:r>
            <w:r>
              <w:t xml:space="preserve">Block web access to all error_log files and the God Mode console; take a verified off-box backup of the database and the document vault today.</w:t>
            </w:r>
          </w:p>
          <w:p>
            <w:pPr>
              <w:spacing w:after="0" w:line="258"/>
            </w:pPr>
            <w:r>
              <w:rPr>
                <w:b/>
                <w:bCs/>
              </w:rPr>
              <w:t xml:space="preserve">3.  </w:t>
            </w:r>
            <w:r>
              <w:t xml:space="preserve">Treat these as urgent regardless of the revamp timeline.</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Confidential  ·  </w:t>
    </w:r>
    <w:r>
      <w:rPr>
        <w:color w:val="6B7280"/>
        <w:sz w:val="16"/>
        <w:szCs w:val="16"/>
      </w:rPr>
      <w:t xml:space="preserve">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EC" w:sz="4" w:space="4"/>
      </w:pBdr>
      <w:jc w:val="right"/>
    </w:pPr>
    <w:r>
      <w:rPr>
        <w:color w:val="6B7280"/>
        <w:sz w:val="16"/>
        <w:szCs w:val="16"/>
      </w:rPr>
      <w:t xml:space="preserve">SmartLS — Audit &amp; Revamp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8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31F2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6DEE3" w:sz="6" w:space="4"/>
      </w:pBdr>
      <w:spacing w:after="160" w:before="300"/>
      <w:outlineLvl w:val="0"/>
    </w:pPr>
    <w:rPr>
      <w:rFonts w:ascii="Arial" w:cs="Arial" w:eastAsia="Arial" w:hAnsi="Arial"/>
      <w:b/>
      <w:bCs/>
      <w:color w:val="0F6E8C"/>
      <w:sz w:val="30"/>
      <w:szCs w:val="30"/>
    </w:rPr>
  </w:style>
  <w:style w:type="paragraph" w:styleId="Heading2">
    <w:name w:val="Heading 2"/>
    <w:basedOn w:val="Normal"/>
    <w:next w:val="Normal"/>
    <w:qFormat/>
    <w:pPr>
      <w:spacing w:after="110" w:before="240"/>
      <w:outlineLvl w:val="1"/>
    </w:pPr>
    <w:rPr>
      <w:rFonts w:ascii="Arial" w:cs="Arial" w:eastAsia="Arial" w:hAnsi="Arial"/>
      <w:b/>
      <w:bCs/>
      <w:color w:val="231F20"/>
      <w:sz w:val="25"/>
      <w:szCs w:val="25"/>
    </w:rPr>
  </w:style>
  <w:style w:type="paragraph" w:styleId="Heading3">
    <w:name w:val="Heading 3"/>
    <w:basedOn w:val="Normal"/>
    <w:next w:val="Normal"/>
    <w:qFormat/>
    <w:pPr>
      <w:spacing w:after="70" w:before="170"/>
      <w:outlineLvl w:val="2"/>
    </w:pPr>
    <w:rPr>
      <w:rFonts w:ascii="Arial" w:cs="Arial" w:eastAsia="Arial" w:hAnsi="Arial"/>
      <w:b/>
      <w:bCs/>
      <w:color w:val="0F6E8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SmartLS Codebase Audit, Gap Analysis &amp; Revamp Brief</dc:title>
  <dc:creator>SmartLS Revamp</dc:creator>
  <cp:lastModifiedBy>Un-named</cp:lastModifiedBy>
  <cp:revision>1</cp:revision>
  <dcterms:created xsi:type="dcterms:W3CDTF">2026-06-30T15:33:45.380Z</dcterms:created>
  <dcterms:modified xsi:type="dcterms:W3CDTF">2026-06-30T15:33:45.603Z</dcterms:modified>
</cp:coreProperties>
</file>

<file path=docProps/custom.xml><?xml version="1.0" encoding="utf-8"?>
<Properties xmlns="http://schemas.openxmlformats.org/officeDocument/2006/custom-properties" xmlns:vt="http://schemas.openxmlformats.org/officeDocument/2006/docPropsVTypes"/>
</file>