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rPr>
          <w:b/>
          <w:bCs/>
          <w:color w:val="0A1128"/>
          <w:sz w:val="52"/>
          <w:szCs w:val="52"/>
        </w:rPr>
        <w:t xml:space="preserve">SMART LS</w:t>
      </w:r>
      <w:r>
        <w:rPr>
          <w:b/>
          <w:bCs/>
          <w:color w:val="0E7C86"/>
          <w:sz w:val="24"/>
          <w:szCs w:val="24"/>
        </w:rPr>
        <w:t xml:space="preserve">  ·  PRAXIS-LS</w:t>
      </w:r>
    </w:p>
    <w:p>
      <w:pPr>
        <w:pBdr>
          <w:bottom w:val="single" w:color="0E7C86" w:sz="18" w:space="6"/>
        </w:pBdr>
        <w:spacing w:after="30"/>
      </w:pPr>
      <w:r>
        <w:rPr>
          <w:b/>
          <w:bCs/>
          <w:color w:val="0E7C86"/>
          <w:sz w:val="22"/>
          <w:szCs w:val="22"/>
        </w:rPr>
        <w:t xml:space="preserve">Enterprise Logistics Platform</w:t>
      </w:r>
    </w:p>
    <w:p>
      <w:pPr>
        <w:spacing w:after="60" w:before="220"/>
      </w:pPr>
      <w:r>
        <w:rPr>
          <w:b/>
          <w:bCs/>
          <w:color w:val="0A1128"/>
          <w:sz w:val="42"/>
          <w:szCs w:val="42"/>
        </w:rPr>
        <w:t xml:space="preserve">Super-Admin User Journey</w:t>
      </w:r>
    </w:p>
    <w:p>
      <w:pPr>
        <w:spacing w:after="40"/>
      </w:pPr>
      <w:r>
        <w:rPr>
          <w:b/>
          <w:bCs/>
          <w:color w:val="13324B"/>
          <w:sz w:val="26"/>
          <w:szCs w:val="26"/>
        </w:rPr>
        <w:t xml:space="preserve">&amp; the full “who does what / who sees what” access map</w:t>
      </w:r>
    </w:p>
    <w:p>
      <w:pPr>
        <w:spacing w:after="220"/>
      </w:pPr>
      <w:r>
        <w:rPr>
          <w:i/>
          <w:iCs/>
          <w:color w:val="667085"/>
          <w:sz w:val="22"/>
          <w:szCs w:val="22"/>
        </w:rPr>
        <w:t xml:space="preserve">A practical walk through the whole system as the person who runs it — written to be read and pictured, with the role each person plays shown at every stop.</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200"/>
        <w:gridCol w:w="6826"/>
      </w:tblGrid>
      <w:tr>
        <w:trPr>
          <w:tblHeader/>
        </w:trPr>
        <w:tc>
          <w:tcPr>
            <w:tcW w:type="dxa" w:w="22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Field</w:t>
            </w:r>
          </w:p>
        </w:tc>
        <w:tc>
          <w:tcPr>
            <w:tcW w:type="dxa" w:w="68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Detail</w:t>
            </w:r>
          </w:p>
        </w:tc>
      </w:tr>
      <w:tr>
        <w:tc>
          <w:tcPr>
            <w:tcW w:type="dxa" w:w="2200"/>
            <w:tcMar>
              <w:top w:type="dxa" w:w="50"/>
              <w:left w:type="dxa" w:w="90"/>
              <w:bottom w:type="dxa" w:w="50"/>
              <w:right w:type="dxa" w:w="90"/>
            </w:tcMar>
            <w:vAlign w:val="center"/>
          </w:tcPr>
          <w:p>
            <w:pPr>
              <w:spacing w:after="0" w:line="240"/>
            </w:pPr>
            <w:r>
              <w:rPr>
                <w:b w:val="false"/>
                <w:bCs w:val="false"/>
                <w:color w:val="0A1128"/>
                <w:sz w:val="18"/>
                <w:szCs w:val="18"/>
              </w:rPr>
              <w:t xml:space="preserve">Audience</w:t>
            </w:r>
          </w:p>
        </w:tc>
        <w:tc>
          <w:tcPr>
            <w:tcW w:type="dxa" w:w="6826"/>
            <w:tcMar>
              <w:top w:type="dxa" w:w="50"/>
              <w:left w:type="dxa" w:w="90"/>
              <w:bottom w:type="dxa" w:w="50"/>
              <w:right w:type="dxa" w:w="90"/>
            </w:tcMar>
            <w:vAlign w:val="center"/>
          </w:tcPr>
          <w:p>
            <w:pPr>
              <w:spacing w:after="0" w:line="240"/>
            </w:pPr>
            <w:r>
              <w:rPr>
                <w:b/>
                <w:bCs/>
                <w:color w:val="0A1128"/>
                <w:sz w:val="18"/>
                <w:szCs w:val="18"/>
              </w:rPr>
              <w:t xml:space="preserve">The Super Admin (and anyone who needs to see how access works)</w:t>
            </w:r>
          </w:p>
        </w:tc>
      </w:tr>
      <w:tr>
        <w:tc>
          <w:tcPr>
            <w:tcW w:type="dxa" w:w="22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Built from</w:t>
            </w:r>
          </w:p>
        </w:tc>
        <w:tc>
          <w:tcPr>
            <w:tcW w:type="dxa" w:w="68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Your 50 discovery answers + the PRD (70 modules, portals, AI &amp; event engine)</w:t>
            </w:r>
          </w:p>
        </w:tc>
      </w:tr>
      <w:tr>
        <w:tc>
          <w:tcPr>
            <w:tcW w:type="dxa" w:w="2200"/>
            <w:tcMar>
              <w:top w:type="dxa" w:w="50"/>
              <w:left w:type="dxa" w:w="90"/>
              <w:bottom w:type="dxa" w:w="50"/>
              <w:right w:type="dxa" w:w="90"/>
            </w:tcMar>
            <w:vAlign w:val="center"/>
          </w:tcPr>
          <w:p>
            <w:pPr>
              <w:spacing w:after="0" w:line="240"/>
            </w:pPr>
            <w:r>
              <w:rPr>
                <w:b w:val="false"/>
                <w:bCs w:val="false"/>
                <w:color w:val="0A1128"/>
                <w:sz w:val="18"/>
                <w:szCs w:val="18"/>
              </w:rPr>
              <w:t xml:space="preserve">Model</w:t>
            </w:r>
          </w:p>
        </w:tc>
        <w:tc>
          <w:tcPr>
            <w:tcW w:type="dxa" w:w="6826"/>
            <w:tcMar>
              <w:top w:type="dxa" w:w="50"/>
              <w:left w:type="dxa" w:w="90"/>
              <w:bottom w:type="dxa" w:w="50"/>
              <w:right w:type="dxa" w:w="90"/>
            </w:tcMar>
            <w:vAlign w:val="center"/>
          </w:tcPr>
          <w:p>
            <w:pPr>
              <w:spacing w:after="0" w:line="240"/>
            </w:pPr>
            <w:r>
              <w:rPr>
                <w:b w:val="false"/>
                <w:bCs w:val="false"/>
                <w:color w:val="0A1128"/>
                <w:sz w:val="18"/>
                <w:szCs w:val="18"/>
              </w:rPr>
              <w:t xml:space="preserve">Multi-tenant SaaS · Node.js services · PostgreSQL · React/Vite PWA · bilingual EN/FR</w:t>
            </w:r>
          </w:p>
        </w:tc>
      </w:tr>
      <w:tr>
        <w:tc>
          <w:tcPr>
            <w:tcW w:type="dxa" w:w="22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Reads as</w:t>
            </w:r>
          </w:p>
        </w:tc>
        <w:tc>
          <w:tcPr>
            <w:tcW w:type="dxa" w:w="68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A journey: each stop = what you do + who else does what + who sees what</w:t>
            </w:r>
          </w:p>
        </w:tc>
      </w:tr>
      <w:tr>
        <w:tc>
          <w:tcPr>
            <w:tcW w:type="dxa" w:w="2200"/>
            <w:tcMar>
              <w:top w:type="dxa" w:w="50"/>
              <w:left w:type="dxa" w:w="90"/>
              <w:bottom w:type="dxa" w:w="50"/>
              <w:right w:type="dxa" w:w="90"/>
            </w:tcMar>
            <w:vAlign w:val="center"/>
          </w:tcPr>
          <w:p>
            <w:pPr>
              <w:spacing w:after="0" w:line="240"/>
            </w:pPr>
            <w:r>
              <w:rPr>
                <w:b w:val="false"/>
                <w:bCs w:val="false"/>
                <w:color w:val="0A1128"/>
                <w:sz w:val="18"/>
                <w:szCs w:val="18"/>
              </w:rPr>
              <w:t xml:space="preserve">Date</w:t>
            </w:r>
          </w:p>
        </w:tc>
        <w:tc>
          <w:tcPr>
            <w:tcW w:type="dxa" w:w="6826"/>
            <w:tcMar>
              <w:top w:type="dxa" w:w="50"/>
              <w:left w:type="dxa" w:w="90"/>
              <w:bottom w:type="dxa" w:w="50"/>
              <w:right w:type="dxa" w:w="90"/>
            </w:tcMar>
            <w:vAlign w:val="center"/>
          </w:tcPr>
          <w:p>
            <w:pPr>
              <w:spacing w:after="0" w:line="240"/>
            </w:pPr>
            <w:r>
              <w:rPr>
                <w:b w:val="false"/>
                <w:bCs w:val="false"/>
                <w:color w:val="0A1128"/>
                <w:sz w:val="18"/>
                <w:szCs w:val="18"/>
              </w:rPr>
              <w:t xml:space="preserve">30 June 2026</w:t>
            </w:r>
          </w:p>
        </w:tc>
      </w:tr>
    </w:tbl>
    <w:p>
      <w:r>
        <w:br w:type="page"/>
      </w:r>
    </w:p>
    <w:p>
      <w:pPr>
        <w:pStyle w:val="Heading1"/>
        <w:spacing w:after="140" w:before="280"/>
      </w:pPr>
      <w:r>
        <w:t xml:space="preserve">How to read this</w:t>
      </w:r>
    </w:p>
    <w:p>
      <w:pPr>
        <w:spacing w:after="110" w:line="264"/>
      </w:pPr>
      <w:r>
        <w:t xml:space="preserve">This is a walk-through, not a manual. We follow the Super Admin from the login screen, through setting up the company, building the team, and into every working area of the platform — finance, operations, warehouse, fleet, sales, HR, the portals and the AI. </w:t>
      </w:r>
    </w:p>
    <w:p>
      <w:pPr>
        <w:spacing w:after="110" w:line="264"/>
      </w:pPr>
      <w:r>
        <w:t xml:space="preserve">At each stop you get two things: a short, plain description of </w:t>
      </w:r>
      <w:r>
        <w:rPr>
          <w:b/>
          <w:bCs/>
        </w:rPr>
        <w:t xml:space="preserve">what happens</w:t>
      </w:r>
      <w:r>
        <w:t xml:space="preserve">, and a small panel showing </w:t>
      </w:r>
      <w:r>
        <w:rPr>
          <w:b/>
          <w:bCs/>
          <w:color w:val="0E7C86"/>
        </w:rPr>
        <w:t xml:space="preserve">who does what and who sees what</w:t>
      </w:r>
      <w:r>
        <w:t xml:space="preserve"> in that area. Sensitive numbers — margins, salaries, supplier costs — are called out wherever they appear, because not everyone is allowed to see them.</w:t>
      </w:r>
    </w:p>
    <w:tbl>
      <w:tblPr>
        <w:tblW w:type="dxa" w:w="9026"/>
        <w:tblBorders>
          <w:top w:val="single" w:color="E2E8EC" w:sz="1"/>
          <w:left w:val="single" w:color="0E7C86" w:sz="18"/>
          <w:bottom w:val="single" w:color="E2E8EC" w:sz="1"/>
          <w:right w:val="single" w:color="E2E8EC" w:sz="1"/>
          <w:insideH w:val="single" w:color="E2E8EC" w:sz="1"/>
          <w:insideV w:val="single" w:color="E2E8EC" w:sz="1"/>
        </w:tblBorders>
      </w:tblPr>
      <w:tblGrid>
        <w:gridCol w:w="9026"/>
      </w:tblGrid>
      <w:tr>
        <w:tc>
          <w:tcPr>
            <w:tcW w:type="dxa" w:w="9026"/>
            <w:shd w:fill="F2F8F9" w:color="auto" w:val="clear"/>
            <w:tcMar>
              <w:top w:type="dxa" w:w="120"/>
              <w:left w:type="dxa" w:w="190"/>
              <w:bottom w:type="dxa" w:w="120"/>
              <w:right w:type="dxa" w:w="150"/>
            </w:tcMar>
          </w:tcPr>
          <w:p>
            <w:pPr>
              <w:spacing w:after="60"/>
            </w:pPr>
            <w:r>
              <w:rPr>
                <w:b/>
                <w:bCs/>
                <w:color w:val="0E7C86"/>
                <w:sz w:val="21"/>
                <w:szCs w:val="21"/>
              </w:rPr>
              <w:t xml:space="preserve">The two lenses, at every stop</w:t>
            </w:r>
          </w:p>
          <w:p>
            <w:pPr>
              <w:spacing w:after="50" w:line="256"/>
            </w:pPr>
            <w:r>
              <w:rPr>
                <w:b/>
                <w:bCs/>
                <w:color w:val="0E7C86"/>
              </w:rPr>
              <w:t xml:space="preserve">DO — </w:t>
            </w:r>
            <w:r>
              <w:t xml:space="preserve">the actions a role can take (create, edit, approve, delete).</w:t>
            </w:r>
          </w:p>
          <w:p>
            <w:pPr>
              <w:spacing w:after="0" w:line="256"/>
            </w:pPr>
            <w:r>
              <w:rPr>
                <w:b/>
                <w:bCs/>
                <w:color w:val="0E7C86"/>
              </w:rPr>
              <w:t xml:space="preserve">SEE — </w:t>
            </w:r>
            <w:r>
              <w:t xml:space="preserve">what a role can view — and, just as important, what is hidden or masked from them.</w:t>
            </w:r>
          </w:p>
        </w:tc>
      </w:tr>
    </w:tbl>
    <w:p>
      <w:pPr>
        <w:spacing w:after="110" w:line="264"/>
      </w:pPr>
      <w:r>
        <w:t xml:space="preserve">A complete one-page access matrix, the field-confidentiality rules, the external-portal access and the document-authority model (Issuer / Validator / Approver) are gathered at the end for reference.</w:t>
      </w:r>
    </w:p>
    <w:p>
      <w:pPr>
        <w:pStyle w:val="Heading1"/>
        <w:spacing w:after="140" w:before="280"/>
      </w:pPr>
      <w:r>
        <w:t xml:space="preserve">The cast — who is in the system</w:t>
      </w:r>
    </w:p>
    <w:p>
      <w:pPr>
        <w:spacing w:after="110" w:line="264"/>
      </w:pPr>
      <w:r>
        <w:t xml:space="preserve">Access is built from three things working together: a role (your job area), a capability (your authority on documents), and a scope (the entity/branch you belong to). Here is the cast, in plain language.</w:t>
      </w:r>
    </w:p>
    <w:p>
      <w:pPr>
        <w:pStyle w:val="Heading2"/>
        <w:spacing w:after="100" w:before="220"/>
      </w:pPr>
      <w:r>
        <w:t xml:space="preserve">Platform tier (Praxis side — above any single company)</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500"/>
        <w:gridCol w:w="6526"/>
      </w:tblGrid>
      <w:tr>
        <w:trPr>
          <w:tblHeader/>
        </w:trPr>
        <w:tc>
          <w:tcPr>
            <w:tcW w:type="dxa" w:w="25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65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In one line</w:t>
            </w:r>
          </w:p>
        </w:tc>
      </w:tr>
      <w:tr>
        <w:tc>
          <w:tcPr>
            <w:tcW w:type="dxa" w:w="2500"/>
            <w:tcMar>
              <w:top w:type="dxa" w:w="50"/>
              <w:left w:type="dxa" w:w="90"/>
              <w:bottom w:type="dxa" w:w="50"/>
              <w:right w:type="dxa" w:w="90"/>
            </w:tcMar>
            <w:vAlign w:val="center"/>
          </w:tcPr>
          <w:p>
            <w:pPr>
              <w:spacing w:after="0" w:line="240"/>
            </w:pPr>
            <w:r>
              <w:rPr>
                <w:b/>
                <w:bCs/>
                <w:color w:val="13324B"/>
                <w:sz w:val="18"/>
                <w:szCs w:val="18"/>
              </w:rPr>
              <w:t xml:space="preserve">Platform Root Admin</w:t>
            </w:r>
          </w:p>
        </w:tc>
        <w:tc>
          <w:tcPr>
            <w:tcW w:type="dxa" w:w="6526"/>
            <w:tcMar>
              <w:top w:type="dxa" w:w="50"/>
              <w:left w:type="dxa" w:w="90"/>
              <w:bottom w:type="dxa" w:w="50"/>
              <w:right w:type="dxa" w:w="90"/>
            </w:tcMar>
            <w:vAlign w:val="center"/>
          </w:tcPr>
          <w:p>
            <w:pPr>
              <w:spacing w:after="0" w:line="240"/>
            </w:pPr>
            <w:r>
              <w:rPr>
                <w:b w:val="false"/>
                <w:bCs w:val="false"/>
                <w:color w:val="0A1128"/>
                <w:sz w:val="18"/>
                <w:szCs w:val="18"/>
              </w:rPr>
              <w:t xml:space="preserve">Praxis-side owner of the whole SaaS. Creates and configures each tenant (company) in a separate admin console, manages subdomains and server capacity. Does not work inside a tenant’s daily books.</w:t>
            </w:r>
          </w:p>
        </w:tc>
      </w:tr>
    </w:tbl>
    <w:p>
      <w:pPr>
        <w:pStyle w:val="Heading2"/>
        <w:spacing w:after="100" w:before="220"/>
      </w:pPr>
      <w:r>
        <w:t xml:space="preserve">Tenant tier (inside one company, e.g. SmartLS)</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500"/>
        <w:gridCol w:w="6526"/>
      </w:tblGrid>
      <w:tr>
        <w:trPr>
          <w:tblHeader/>
        </w:trPr>
        <w:tc>
          <w:tcPr>
            <w:tcW w:type="dxa" w:w="25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65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In one line</w:t>
            </w:r>
          </w:p>
        </w:tc>
      </w:tr>
      <w:tr>
        <w:tc>
          <w:tcPr>
            <w:tcW w:type="dxa" w:w="2500"/>
            <w:tcMar>
              <w:top w:type="dxa" w:w="50"/>
              <w:left w:type="dxa" w:w="90"/>
              <w:bottom w:type="dxa" w:w="50"/>
              <w:right w:type="dxa" w:w="90"/>
            </w:tcMar>
            <w:vAlign w:val="center"/>
          </w:tcPr>
          <w:p>
            <w:pPr>
              <w:spacing w:after="0" w:line="240"/>
            </w:pPr>
            <w:r>
              <w:rPr>
                <w:b/>
                <w:bCs/>
                <w:color w:val="0A1128"/>
                <w:sz w:val="18"/>
                <w:szCs w:val="18"/>
              </w:rPr>
              <w:t xml:space="preserve">Tenant Super Admin</w:t>
            </w:r>
          </w:p>
        </w:tc>
        <w:tc>
          <w:tcPr>
            <w:tcW w:type="dxa" w:w="6526"/>
            <w:tcMar>
              <w:top w:type="dxa" w:w="50"/>
              <w:left w:type="dxa" w:w="90"/>
              <w:bottom w:type="dxa" w:w="50"/>
              <w:right w:type="dxa" w:w="90"/>
            </w:tcMar>
            <w:vAlign w:val="center"/>
          </w:tcPr>
          <w:p>
            <w:pPr>
              <w:spacing w:after="0" w:line="240"/>
            </w:pPr>
            <w:r>
              <w:rPr>
                <w:b w:val="false"/>
                <w:bCs w:val="false"/>
                <w:color w:val="0A1128"/>
                <w:sz w:val="18"/>
                <w:szCs w:val="18"/>
              </w:rPr>
              <w:t xml:space="preserve">Runs one company’s instance end-to-end: setup, users, roles, configuration. The main character of this journey.</w:t>
            </w:r>
          </w:p>
        </w:tc>
      </w:tr>
      <w:tr>
        <w:tc>
          <w:tcPr>
            <w:tcW w:type="dxa" w:w="2500"/>
            <w:shd w:fill="F4F8F9" w:color="auto" w:val="clear"/>
            <w:tcMar>
              <w:top w:type="dxa" w:w="50"/>
              <w:left w:type="dxa" w:w="90"/>
              <w:bottom w:type="dxa" w:w="50"/>
              <w:right w:type="dxa" w:w="90"/>
            </w:tcMar>
            <w:vAlign w:val="center"/>
          </w:tcPr>
          <w:p>
            <w:pPr>
              <w:spacing w:after="0" w:line="240"/>
            </w:pPr>
            <w:r>
              <w:rPr>
                <w:b/>
                <w:bCs/>
                <w:color w:val="0A1128"/>
                <w:sz w:val="18"/>
                <w:szCs w:val="18"/>
              </w:rPr>
              <w:t xml:space="preserve">CEO / Executive</w:t>
            </w:r>
          </w:p>
        </w:tc>
        <w:tc>
          <w:tcPr>
            <w:tcW w:type="dxa" w:w="65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Top visibility and final approvals. Holds the God-Mode purge PIN (the only person who can permanently delete).</w:t>
            </w:r>
          </w:p>
        </w:tc>
      </w:tr>
      <w:tr>
        <w:tc>
          <w:tcPr>
            <w:tcW w:type="dxa" w:w="2500"/>
            <w:tcMar>
              <w:top w:type="dxa" w:w="50"/>
              <w:left w:type="dxa" w:w="90"/>
              <w:bottom w:type="dxa" w:w="50"/>
              <w:right w:type="dxa" w:w="90"/>
            </w:tcMar>
            <w:vAlign w:val="center"/>
          </w:tcPr>
          <w:p>
            <w:pPr>
              <w:spacing w:after="0" w:line="240"/>
            </w:pPr>
            <w:r>
              <w:rPr>
                <w:b/>
                <w:bCs/>
                <w:color w:val="0A1128"/>
                <w:sz w:val="18"/>
                <w:szCs w:val="18"/>
              </w:rPr>
              <w:t xml:space="preserve">Management</w:t>
            </w:r>
          </w:p>
        </w:tc>
        <w:tc>
          <w:tcPr>
            <w:tcW w:type="dxa" w:w="6526"/>
            <w:tcMar>
              <w:top w:type="dxa" w:w="50"/>
              <w:left w:type="dxa" w:w="90"/>
              <w:bottom w:type="dxa" w:w="50"/>
              <w:right w:type="dxa" w:w="90"/>
            </w:tcMar>
            <w:vAlign w:val="center"/>
          </w:tcPr>
          <w:p>
            <w:pPr>
              <w:spacing w:after="0" w:line="240"/>
            </w:pPr>
            <w:r>
              <w:rPr>
                <w:b w:val="false"/>
                <w:bCs w:val="false"/>
                <w:color w:val="0A1128"/>
                <w:sz w:val="18"/>
                <w:szCs w:val="18"/>
              </w:rPr>
              <w:t xml:space="preserve">Oversight and approvals across departments; reads everything, including margins and financials.</w:t>
            </w:r>
          </w:p>
        </w:tc>
      </w:tr>
      <w:tr>
        <w:tc>
          <w:tcPr>
            <w:tcW w:type="dxa" w:w="2500"/>
            <w:shd w:fill="F4F8F9" w:color="auto" w:val="clear"/>
            <w:tcMar>
              <w:top w:type="dxa" w:w="50"/>
              <w:left w:type="dxa" w:w="90"/>
              <w:bottom w:type="dxa" w:w="50"/>
              <w:right w:type="dxa" w:w="90"/>
            </w:tcMar>
            <w:vAlign w:val="center"/>
          </w:tcPr>
          <w:p>
            <w:pPr>
              <w:spacing w:after="0" w:line="240"/>
            </w:pPr>
            <w:r>
              <w:rPr>
                <w:b/>
                <w:bCs/>
                <w:color w:val="0A1128"/>
                <w:sz w:val="18"/>
                <w:szCs w:val="18"/>
              </w:rPr>
              <w:t xml:space="preserve">Finance / Treasury</w:t>
            </w:r>
          </w:p>
        </w:tc>
        <w:tc>
          <w:tcPr>
            <w:tcW w:type="dxa" w:w="65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Invoices, receivables, payments, cash, mobile-money and bank — usually a Validator/Approver.</w:t>
            </w:r>
          </w:p>
        </w:tc>
      </w:tr>
      <w:tr>
        <w:tc>
          <w:tcPr>
            <w:tcW w:type="dxa" w:w="2500"/>
            <w:tcMar>
              <w:top w:type="dxa" w:w="50"/>
              <w:left w:type="dxa" w:w="90"/>
              <w:bottom w:type="dxa" w:w="50"/>
              <w:right w:type="dxa" w:w="90"/>
            </w:tcMar>
            <w:vAlign w:val="center"/>
          </w:tcPr>
          <w:p>
            <w:pPr>
              <w:spacing w:after="0" w:line="240"/>
            </w:pPr>
            <w:r>
              <w:rPr>
                <w:b/>
                <w:bCs/>
                <w:color w:val="0A1128"/>
                <w:sz w:val="18"/>
                <w:szCs w:val="18"/>
              </w:rPr>
              <w:t xml:space="preserve">Accountant</w:t>
            </w:r>
          </w:p>
        </w:tc>
        <w:tc>
          <w:tcPr>
            <w:tcW w:type="dxa" w:w="6526"/>
            <w:tcMar>
              <w:top w:type="dxa" w:w="50"/>
              <w:left w:type="dxa" w:w="90"/>
              <w:bottom w:type="dxa" w:w="50"/>
              <w:right w:type="dxa" w:w="90"/>
            </w:tcMar>
            <w:vAlign w:val="center"/>
          </w:tcPr>
          <w:p>
            <w:pPr>
              <w:spacing w:after="0" w:line="240"/>
            </w:pPr>
            <w:r>
              <w:rPr>
                <w:b w:val="false"/>
                <w:bCs w:val="false"/>
                <w:color w:val="0A1128"/>
                <w:sz w:val="18"/>
                <w:szCs w:val="18"/>
              </w:rPr>
              <w:t xml:space="preserve">Journals, general ledger, OHADA statements, tax/DSF, bank reconciliation.</w:t>
            </w:r>
          </w:p>
        </w:tc>
      </w:tr>
      <w:tr>
        <w:tc>
          <w:tcPr>
            <w:tcW w:type="dxa" w:w="2500"/>
            <w:shd w:fill="F4F8F9" w:color="auto" w:val="clear"/>
            <w:tcMar>
              <w:top w:type="dxa" w:w="50"/>
              <w:left w:type="dxa" w:w="90"/>
              <w:bottom w:type="dxa" w:w="50"/>
              <w:right w:type="dxa" w:w="90"/>
            </w:tcMar>
            <w:vAlign w:val="center"/>
          </w:tcPr>
          <w:p>
            <w:pPr>
              <w:spacing w:after="0" w:line="240"/>
            </w:pPr>
            <w:r>
              <w:rPr>
                <w:b/>
                <w:bCs/>
                <w:color w:val="0A1128"/>
                <w:sz w:val="18"/>
                <w:szCs w:val="18"/>
              </w:rPr>
              <w:t xml:space="preserve">Sales / CRM</w:t>
            </w:r>
          </w:p>
        </w:tc>
        <w:tc>
          <w:tcPr>
            <w:tcW w:type="dxa" w:w="65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Leads, proposals, pipeline, campaigns, client relationships.</w:t>
            </w:r>
          </w:p>
        </w:tc>
      </w:tr>
      <w:tr>
        <w:tc>
          <w:tcPr>
            <w:tcW w:type="dxa" w:w="2500"/>
            <w:tcMar>
              <w:top w:type="dxa" w:w="50"/>
              <w:left w:type="dxa" w:w="90"/>
              <w:bottom w:type="dxa" w:w="50"/>
              <w:right w:type="dxa" w:w="90"/>
            </w:tcMar>
            <w:vAlign w:val="center"/>
          </w:tcPr>
          <w:p>
            <w:pPr>
              <w:spacing w:after="0" w:line="240"/>
            </w:pPr>
            <w:r>
              <w:rPr>
                <w:b/>
                <w:bCs/>
                <w:color w:val="0A1128"/>
                <w:sz w:val="18"/>
                <w:szCs w:val="18"/>
              </w:rPr>
              <w:t xml:space="preserve">Operations</w:t>
            </w:r>
          </w:p>
        </w:tc>
        <w:tc>
          <w:tcPr>
            <w:tcW w:type="dxa" w:w="6526"/>
            <w:tcMar>
              <w:top w:type="dxa" w:w="50"/>
              <w:left w:type="dxa" w:w="90"/>
              <w:bottom w:type="dxa" w:w="50"/>
              <w:right w:type="dxa" w:w="90"/>
            </w:tcMar>
            <w:vAlign w:val="center"/>
          </w:tcPr>
          <w:p>
            <w:pPr>
              <w:spacing w:after="0" w:line="240"/>
            </w:pPr>
            <w:r>
              <w:rPr>
                <w:b w:val="false"/>
                <w:bCs w:val="false"/>
                <w:color w:val="0A1128"/>
                <w:sz w:val="18"/>
                <w:szCs w:val="18"/>
              </w:rPr>
              <w:t xml:space="preserve">Operation files, transit orders, milestones, delivery notes, QA.</w:t>
            </w:r>
          </w:p>
        </w:tc>
      </w:tr>
      <w:tr>
        <w:tc>
          <w:tcPr>
            <w:tcW w:type="dxa" w:w="2500"/>
            <w:shd w:fill="F4F8F9" w:color="auto" w:val="clear"/>
            <w:tcMar>
              <w:top w:type="dxa" w:w="50"/>
              <w:left w:type="dxa" w:w="90"/>
              <w:bottom w:type="dxa" w:w="50"/>
              <w:right w:type="dxa" w:w="90"/>
            </w:tcMar>
            <w:vAlign w:val="center"/>
          </w:tcPr>
          <w:p>
            <w:pPr>
              <w:spacing w:after="0" w:line="240"/>
            </w:pPr>
            <w:r>
              <w:rPr>
                <w:b/>
                <w:bCs/>
                <w:color w:val="0A1128"/>
                <w:sz w:val="18"/>
                <w:szCs w:val="18"/>
              </w:rPr>
              <w:t xml:space="preserve">Warehouse (WMS)</w:t>
            </w:r>
          </w:p>
        </w:tc>
        <w:tc>
          <w:tcPr>
            <w:tcW w:type="dxa" w:w="65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Inbound/outbound, putaway, inventory, cycle counts.</w:t>
            </w:r>
          </w:p>
        </w:tc>
      </w:tr>
      <w:tr>
        <w:tc>
          <w:tcPr>
            <w:tcW w:type="dxa" w:w="2500"/>
            <w:tcMar>
              <w:top w:type="dxa" w:w="50"/>
              <w:left w:type="dxa" w:w="90"/>
              <w:bottom w:type="dxa" w:w="50"/>
              <w:right w:type="dxa" w:w="90"/>
            </w:tcMar>
            <w:vAlign w:val="center"/>
          </w:tcPr>
          <w:p>
            <w:pPr>
              <w:spacing w:after="0" w:line="240"/>
            </w:pPr>
            <w:r>
              <w:rPr>
                <w:b/>
                <w:bCs/>
                <w:color w:val="0A1128"/>
                <w:sz w:val="18"/>
                <w:szCs w:val="18"/>
              </w:rPr>
              <w:t xml:space="preserve">Fleet</w:t>
            </w:r>
          </w:p>
        </w:tc>
        <w:tc>
          <w:tcPr>
            <w:tcW w:type="dxa" w:w="6526"/>
            <w:tcMar>
              <w:top w:type="dxa" w:w="50"/>
              <w:left w:type="dxa" w:w="90"/>
              <w:bottom w:type="dxa" w:w="50"/>
              <w:right w:type="dxa" w:w="90"/>
            </w:tcMar>
            <w:vAlign w:val="center"/>
          </w:tcPr>
          <w:p>
            <w:pPr>
              <w:spacing w:after="0" w:line="240"/>
            </w:pPr>
            <w:r>
              <w:rPr>
                <w:b w:val="false"/>
                <w:bCs w:val="false"/>
                <w:color w:val="0A1128"/>
                <w:sz w:val="18"/>
                <w:szCs w:val="18"/>
              </w:rPr>
              <w:t xml:space="preserve">Vehicles, maintenance, dispatch, fuel, drivers.</w:t>
            </w:r>
          </w:p>
        </w:tc>
      </w:tr>
      <w:tr>
        <w:tc>
          <w:tcPr>
            <w:tcW w:type="dxa" w:w="2500"/>
            <w:shd w:fill="F4F8F9" w:color="auto" w:val="clear"/>
            <w:tcMar>
              <w:top w:type="dxa" w:w="50"/>
              <w:left w:type="dxa" w:w="90"/>
              <w:bottom w:type="dxa" w:w="50"/>
              <w:right w:type="dxa" w:w="90"/>
            </w:tcMar>
            <w:vAlign w:val="center"/>
          </w:tcPr>
          <w:p>
            <w:pPr>
              <w:spacing w:after="0" w:line="240"/>
            </w:pPr>
            <w:r>
              <w:rPr>
                <w:b/>
                <w:bCs/>
                <w:color w:val="0A1128"/>
                <w:sz w:val="18"/>
                <w:szCs w:val="18"/>
              </w:rPr>
              <w:t xml:space="preserve">Procurement</w:t>
            </w:r>
          </w:p>
        </w:tc>
        <w:tc>
          <w:tcPr>
            <w:tcW w:type="dxa" w:w="65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Purchase requests, purchase orders, goods received.</w:t>
            </w:r>
          </w:p>
        </w:tc>
      </w:tr>
      <w:tr>
        <w:tc>
          <w:tcPr>
            <w:tcW w:type="dxa" w:w="2500"/>
            <w:tcMar>
              <w:top w:type="dxa" w:w="50"/>
              <w:left w:type="dxa" w:w="90"/>
              <w:bottom w:type="dxa" w:w="50"/>
              <w:right w:type="dxa" w:w="90"/>
            </w:tcMar>
            <w:vAlign w:val="center"/>
          </w:tcPr>
          <w:p>
            <w:pPr>
              <w:spacing w:after="0" w:line="240"/>
            </w:pPr>
            <w:r>
              <w:rPr>
                <w:b/>
                <w:bCs/>
                <w:color w:val="0A1128"/>
                <w:sz w:val="18"/>
                <w:szCs w:val="18"/>
              </w:rPr>
              <w:t xml:space="preserve">HR</w:t>
            </w:r>
          </w:p>
        </w:tc>
        <w:tc>
          <w:tcPr>
            <w:tcW w:type="dxa" w:w="6526"/>
            <w:tcMar>
              <w:top w:type="dxa" w:w="50"/>
              <w:left w:type="dxa" w:w="90"/>
              <w:bottom w:type="dxa" w:w="50"/>
              <w:right w:type="dxa" w:w="90"/>
            </w:tcMar>
            <w:vAlign w:val="center"/>
          </w:tcPr>
          <w:p>
            <w:pPr>
              <w:spacing w:after="0" w:line="240"/>
            </w:pPr>
            <w:r>
              <w:rPr>
                <w:b w:val="false"/>
                <w:bCs w:val="false"/>
                <w:color w:val="0A1128"/>
                <w:sz w:val="18"/>
                <w:szCs w:val="18"/>
              </w:rPr>
              <w:t xml:space="preserve">Employees, contracts, payroll, leave, appraisals, training.</w:t>
            </w:r>
          </w:p>
        </w:tc>
      </w:tr>
      <w:tr>
        <w:tc>
          <w:tcPr>
            <w:tcW w:type="dxa" w:w="2500"/>
            <w:shd w:fill="F4F8F9" w:color="auto" w:val="clear"/>
            <w:tcMar>
              <w:top w:type="dxa" w:w="50"/>
              <w:left w:type="dxa" w:w="90"/>
              <w:bottom w:type="dxa" w:w="50"/>
              <w:right w:type="dxa" w:w="90"/>
            </w:tcMar>
            <w:vAlign w:val="center"/>
          </w:tcPr>
          <w:p>
            <w:pPr>
              <w:spacing w:after="0" w:line="240"/>
            </w:pPr>
            <w:r>
              <w:rPr>
                <w:b/>
                <w:bCs/>
                <w:color w:val="0A1128"/>
                <w:sz w:val="18"/>
                <w:szCs w:val="18"/>
              </w:rPr>
              <w:t xml:space="preserve">Line Manager</w:t>
            </w:r>
          </w:p>
        </w:tc>
        <w:tc>
          <w:tcPr>
            <w:tcW w:type="dxa" w:w="65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Approves for their own team (leave, appraisals, requests). A capability layered on any role.</w:t>
            </w:r>
          </w:p>
        </w:tc>
      </w:tr>
    </w:tbl>
    <w:p>
      <w:pPr>
        <w:pStyle w:val="Heading2"/>
        <w:spacing w:after="100" w:before="220"/>
      </w:pPr>
      <w:r>
        <w:t xml:space="preserve">External tier (portals — outside people, tightly scoped)</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500"/>
        <w:gridCol w:w="6526"/>
      </w:tblGrid>
      <w:tr>
        <w:trPr>
          <w:tblHeader/>
        </w:trPr>
        <w:tc>
          <w:tcPr>
            <w:tcW w:type="dxa" w:w="25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65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In one line</w:t>
            </w:r>
          </w:p>
        </w:tc>
      </w:tr>
      <w:tr>
        <w:tc>
          <w:tcPr>
            <w:tcW w:type="dxa" w:w="2500"/>
            <w:tcMar>
              <w:top w:type="dxa" w:w="50"/>
              <w:left w:type="dxa" w:w="90"/>
              <w:bottom w:type="dxa" w:w="50"/>
              <w:right w:type="dxa" w:w="90"/>
            </w:tcMar>
            <w:vAlign w:val="center"/>
          </w:tcPr>
          <w:p>
            <w:pPr>
              <w:spacing w:after="0" w:line="240"/>
            </w:pPr>
            <w:r>
              <w:rPr>
                <w:b/>
                <w:bCs/>
                <w:color w:val="B7791F"/>
                <w:sz w:val="18"/>
                <w:szCs w:val="18"/>
              </w:rPr>
              <w:t xml:space="preserve">Client</w:t>
            </w:r>
          </w:p>
        </w:tc>
        <w:tc>
          <w:tcPr>
            <w:tcW w:type="dxa" w:w="6526"/>
            <w:tcMar>
              <w:top w:type="dxa" w:w="50"/>
              <w:left w:type="dxa" w:w="90"/>
              <w:bottom w:type="dxa" w:w="50"/>
              <w:right w:type="dxa" w:w="90"/>
            </w:tcMar>
            <w:vAlign w:val="center"/>
          </w:tcPr>
          <w:p>
            <w:pPr>
              <w:spacing w:after="0" w:line="240"/>
            </w:pPr>
            <w:r>
              <w:rPr>
                <w:b w:val="false"/>
                <w:bCs w:val="false"/>
                <w:color w:val="0A1128"/>
                <w:sz w:val="18"/>
                <w:szCs w:val="18"/>
              </w:rPr>
              <w:t xml:space="preserve">Sees only their own projects, milestones, documents and messages through the Client Portal.</w:t>
            </w:r>
          </w:p>
        </w:tc>
      </w:tr>
      <w:tr>
        <w:tc>
          <w:tcPr>
            <w:tcW w:type="dxa" w:w="2500"/>
            <w:shd w:fill="F4F8F9" w:color="auto" w:val="clear"/>
            <w:tcMar>
              <w:top w:type="dxa" w:w="50"/>
              <w:left w:type="dxa" w:w="90"/>
              <w:bottom w:type="dxa" w:w="50"/>
              <w:right w:type="dxa" w:w="90"/>
            </w:tcMar>
            <w:vAlign w:val="center"/>
          </w:tcPr>
          <w:p>
            <w:pPr>
              <w:spacing w:after="0" w:line="240"/>
            </w:pPr>
            <w:r>
              <w:rPr>
                <w:b/>
                <w:bCs/>
                <w:color w:val="B7791F"/>
                <w:sz w:val="18"/>
                <w:szCs w:val="18"/>
              </w:rPr>
              <w:t xml:space="preserve">Investor / Board</w:t>
            </w:r>
          </w:p>
        </w:tc>
        <w:tc>
          <w:tcPr>
            <w:tcW w:type="dxa" w:w="65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Read-only dashboards and financial oversight via the Investor Terminal.</w:t>
            </w:r>
          </w:p>
        </w:tc>
      </w:tr>
      <w:tr>
        <w:tc>
          <w:tcPr>
            <w:tcW w:type="dxa" w:w="2500"/>
            <w:tcMar>
              <w:top w:type="dxa" w:w="50"/>
              <w:left w:type="dxa" w:w="90"/>
              <w:bottom w:type="dxa" w:w="50"/>
              <w:right w:type="dxa" w:w="90"/>
            </w:tcMar>
            <w:vAlign w:val="center"/>
          </w:tcPr>
          <w:p>
            <w:pPr>
              <w:spacing w:after="0" w:line="240"/>
            </w:pPr>
            <w:r>
              <w:rPr>
                <w:b/>
                <w:bCs/>
                <w:color w:val="B7791F"/>
                <w:sz w:val="18"/>
                <w:szCs w:val="18"/>
              </w:rPr>
              <w:t xml:space="preserve">External Auditor</w:t>
            </w:r>
          </w:p>
        </w:tc>
        <w:tc>
          <w:tcPr>
            <w:tcW w:type="dxa" w:w="6526"/>
            <w:tcMar>
              <w:top w:type="dxa" w:w="50"/>
              <w:left w:type="dxa" w:w="90"/>
              <w:bottom w:type="dxa" w:w="50"/>
              <w:right w:type="dxa" w:w="90"/>
            </w:tcMar>
            <w:vAlign w:val="center"/>
          </w:tcPr>
          <w:p>
            <w:pPr>
              <w:spacing w:after="0" w:line="240"/>
            </w:pPr>
            <w:r>
              <w:rPr>
                <w:b w:val="false"/>
                <w:bCs w:val="false"/>
                <w:color w:val="0A1128"/>
                <w:sz w:val="18"/>
                <w:szCs w:val="18"/>
              </w:rPr>
              <w:t xml:space="preserve">Scoped, time-boxed read access to records and the audit trail via the Audit Terminal.</w:t>
            </w:r>
          </w:p>
        </w:tc>
      </w:tr>
    </w:tbl>
    <w:tbl>
      <w:tblPr>
        <w:tblW w:type="dxa" w:w="9026"/>
        <w:tblBorders>
          <w:top w:val="single" w:color="E2E8EC" w:sz="1"/>
          <w:left w:val="single" w:color="B7791F" w:sz="18"/>
          <w:bottom w:val="single" w:color="E2E8EC" w:sz="1"/>
          <w:right w:val="single" w:color="E2E8EC" w:sz="1"/>
          <w:insideH w:val="single" w:color="E2E8EC" w:sz="1"/>
          <w:insideV w:val="single" w:color="E2E8EC" w:sz="1"/>
        </w:tblBorders>
      </w:tblPr>
      <w:tblGrid>
        <w:gridCol w:w="9026"/>
      </w:tblGrid>
      <w:tr>
        <w:tc>
          <w:tcPr>
            <w:tcW w:type="dxa" w:w="9026"/>
            <w:shd w:fill="FBF7EE" w:color="auto" w:val="clear"/>
            <w:tcMar>
              <w:top w:type="dxa" w:w="120"/>
              <w:left w:type="dxa" w:w="190"/>
              <w:bottom w:type="dxa" w:w="120"/>
              <w:right w:type="dxa" w:w="150"/>
            </w:tcMar>
          </w:tcPr>
          <w:p>
            <w:pPr>
              <w:spacing w:after="60"/>
            </w:pPr>
            <w:r>
              <w:rPr>
                <w:b/>
                <w:bCs/>
                <w:color w:val="B7791F"/>
                <w:sz w:val="21"/>
                <w:szCs w:val="21"/>
              </w:rPr>
              <w:t xml:space="preserve">The authority overlay — Issuer · Validator · Approver</w:t>
            </w:r>
          </w:p>
          <w:p>
            <w:pPr>
              <w:spacing w:after="0" w:line="256"/>
            </w:pPr>
            <w:r>
              <w:t xml:space="preserve">On top of the role, key documents (costings, invoices, payments, journals, purchase orders) move through three hands: </w:t>
            </w:r>
            <w:r>
              <w:rPr>
                <w:b/>
                <w:bCs/>
              </w:rPr>
              <w:t xml:space="preserve">Issuer</w:t>
            </w:r>
            <w:r>
              <w:t xml:space="preserve"> creates it, </w:t>
            </w:r>
            <w:r>
              <w:rPr>
                <w:b/>
                <w:bCs/>
              </w:rPr>
              <w:t xml:space="preserve">Validator</w:t>
            </w:r>
            <w:r>
              <w:t xml:space="preserve"> checks it, </w:t>
            </w:r>
            <w:r>
              <w:rPr>
                <w:b/>
                <w:bCs/>
              </w:rPr>
              <w:t xml:space="preserve">Approver</w:t>
            </w:r>
            <w:r>
              <w:t xml:space="preserve"> authorises it. One person cannot do all three on the same document — that is the segregation-of-duties rule the Smart Compliance Layer enforces.</w:t>
            </w:r>
          </w:p>
        </w:tc>
      </w:tr>
    </w:tbl>
    <w:p>
      <w:r>
        <w:br w:type="page"/>
      </w:r>
    </w:p>
    <w:p>
      <w:pPr>
        <w:pStyle w:val="Heading1"/>
        <w:spacing w:after="140" w:before="280"/>
      </w:pPr>
      <w:r>
        <w:t xml:space="preserve">The journey — through the whole platform</w:t>
      </w:r>
    </w:p>
    <w:p>
      <w:pPr>
        <w:pStyle w:val="Heading2"/>
        <w:spacing w:after="90" w:before="240"/>
      </w:pPr>
      <w:r>
        <w:rPr>
          <w:b/>
          <w:bCs/>
          <w:color w:val="0E7C86"/>
          <w:sz w:val="19"/>
          <w:szCs w:val="19"/>
        </w:rPr>
        <w:t xml:space="preserve">STOP 1   </w:t>
      </w:r>
      <w:r>
        <w:rPr>
          <w:b/>
          <w:bCs/>
          <w:color w:val="0A1128"/>
          <w:sz w:val="25"/>
          <w:szCs w:val="25"/>
        </w:rPr>
        <w:t xml:space="preserve">Signing in, and staying secure</w:t>
      </w:r>
    </w:p>
    <w:p>
      <w:pPr>
        <w:spacing w:after="110" w:line="264"/>
      </w:pPr>
      <w:r>
        <w:t xml:space="preserve">You open the company’s own address — </w:t>
      </w:r>
      <w:r>
        <w:rPr>
          <w:i/>
          <w:iCs/>
        </w:rPr>
        <w:t xml:space="preserve">smartls.praxisls.com</w:t>
      </w:r>
      <w:r>
        <w:t xml:space="preserve"> — and sign in. The system offers two-factor authentication (a one-time code); it is optional but strongly advised for you and for Finance. After thirty minutes of inactivity it logs you out automatically, and from your security screen you can see every active session and remotely sign out a lost or suspicious device.</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Super Admin</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Sets the 2FA policy; sees and kills any session</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All sessions, all devices, the full login history</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Everyone</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Signs in; turns on 2FA; manages own devices</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Only their own sessions</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CEO</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Same, plus holds the purge PIN (Stop 22)</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Their own sessions; full audit on request</w:t>
            </w:r>
          </w:p>
        </w:tc>
      </w:tr>
    </w:tbl>
    <w:p>
      <w:pPr>
        <w:pStyle w:val="Heading2"/>
        <w:spacing w:after="90" w:before="240"/>
      </w:pPr>
      <w:r>
        <w:rPr>
          <w:b/>
          <w:bCs/>
          <w:color w:val="0E7C86"/>
          <w:sz w:val="19"/>
          <w:szCs w:val="19"/>
        </w:rPr>
        <w:t xml:space="preserve">STOP 2   </w:t>
      </w:r>
      <w:r>
        <w:rPr>
          <w:b/>
          <w:bCs/>
          <w:color w:val="0A1128"/>
          <w:sz w:val="25"/>
          <w:szCs w:val="25"/>
        </w:rPr>
        <w:t xml:space="preserve">Two control rooms — platform vs company</w:t>
      </w:r>
    </w:p>
    <w:p>
      <w:pPr>
        <w:spacing w:after="110" w:line="264"/>
      </w:pPr>
      <w:r>
        <w:t xml:space="preserve">Because this is a multi-tenant platform, there are two separate admin areas. The </w:t>
      </w:r>
      <w:r>
        <w:rPr>
          <w:b/>
          <w:bCs/>
        </w:rPr>
        <w:t xml:space="preserve">Platform Root Admin</w:t>
      </w:r>
      <w:r>
        <w:t xml:space="preserve"> (Praxis) works in a console that lives apart from any company — that is where a new tenant is created, given its subdomain, branding and starting capacity. You, the </w:t>
      </w:r>
      <w:r>
        <w:rPr>
          <w:b/>
          <w:bCs/>
        </w:rPr>
        <w:t xml:space="preserve">Tenant Super Admin</w:t>
      </w:r>
      <w:r>
        <w:t xml:space="preserve">, work inside one company and never see another company’s data. As you take on more tenants, the server steps up with you (today’s 12 GB box → 24 GB / 8-core at the next tenant, and so on).</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13324B"/>
                <w:sz w:val="18"/>
                <w:szCs w:val="18"/>
              </w:rPr>
              <w:t xml:space="preserve">Platform Root Admin</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Creates/suspends tenants; assigns subdomain &amp; capacity</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Tenant list &amp; health — never a tenant’s working data</w:t>
            </w:r>
          </w:p>
        </w:tc>
      </w:tr>
      <w:tr>
        <w:tc>
          <w:tcPr>
            <w:tcW w:type="dxa" w:w="2100"/>
            <w:shd w:fill="F4F8F9" w:color="auto" w:val="clear"/>
            <w:tcMar>
              <w:top w:type="dxa" w:w="50"/>
              <w:left w:type="dxa" w:w="90"/>
              <w:bottom w:type="dxa" w:w="50"/>
              <w:right w:type="dxa" w:w="90"/>
            </w:tcMar>
            <w:vAlign w:val="center"/>
          </w:tcPr>
          <w:p>
            <w:pPr>
              <w:spacing w:after="0" w:line="240"/>
            </w:pPr>
            <w:r>
              <w:rPr>
                <w:b/>
                <w:bCs/>
                <w:color w:val="0A1128"/>
                <w:sz w:val="18"/>
                <w:szCs w:val="18"/>
              </w:rPr>
              <w:t xml:space="preserve">Tenant Super Admin</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Everything inside one company</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Only their own company</w:t>
            </w:r>
          </w:p>
        </w:tc>
      </w:tr>
    </w:tbl>
    <w:tbl>
      <w:tblPr>
        <w:tblW w:type="dxa" w:w="9026"/>
        <w:tblBorders>
          <w:top w:val="single" w:color="E2E8EC" w:sz="1"/>
          <w:left w:val="single" w:color="0E7C86" w:sz="18"/>
          <w:bottom w:val="single" w:color="E2E8EC" w:sz="1"/>
          <w:right w:val="single" w:color="E2E8EC" w:sz="1"/>
          <w:insideH w:val="single" w:color="E2E8EC" w:sz="1"/>
          <w:insideV w:val="single" w:color="E2E8EC" w:sz="1"/>
        </w:tblBorders>
      </w:tblPr>
      <w:tblGrid>
        <w:gridCol w:w="9026"/>
      </w:tblGrid>
      <w:tr>
        <w:tc>
          <w:tcPr>
            <w:tcW w:type="dxa" w:w="9026"/>
            <w:shd w:fill="F2F8F9" w:color="auto" w:val="clear"/>
            <w:tcMar>
              <w:top w:type="dxa" w:w="120"/>
              <w:left w:type="dxa" w:w="190"/>
              <w:bottom w:type="dxa" w:w="120"/>
              <w:right w:type="dxa" w:w="150"/>
            </w:tcMar>
          </w:tcPr>
          <w:p>
            <w:pPr>
              <w:spacing w:after="60"/>
            </w:pPr>
            <w:r>
              <w:rPr>
                <w:b/>
                <w:bCs/>
                <w:color w:val="0E7C86"/>
                <w:sz w:val="21"/>
                <w:szCs w:val="21"/>
              </w:rPr>
              <w:t xml:space="preserve">Why this separation matters</w:t>
            </w:r>
          </w:p>
          <w:p>
            <w:pPr>
              <w:spacing w:after="0" w:line="256"/>
            </w:pPr>
            <w:r>
              <w:rPr>
                <w:sz w:val="20"/>
                <w:szCs w:val="20"/>
              </w:rPr>
              <w:t xml:space="preserve">A client’s data is fully isolated. Even Praxis’s platform team sees that a tenant exists and is healthy — not its invoices, salaries or clients. That is the promise that lets you sell the same system to competitors.</w:t>
            </w:r>
          </w:p>
        </w:tc>
      </w:tr>
    </w:tbl>
    <w:p>
      <w:pPr>
        <w:pStyle w:val="Heading2"/>
        <w:spacing w:after="90" w:before="240"/>
      </w:pPr>
      <w:r>
        <w:rPr>
          <w:b/>
          <w:bCs/>
          <w:color w:val="0E7C86"/>
          <w:sz w:val="19"/>
          <w:szCs w:val="19"/>
        </w:rPr>
        <w:t xml:space="preserve">STOP 3   </w:t>
      </w:r>
      <w:r>
        <w:rPr>
          <w:b/>
          <w:bCs/>
          <w:color w:val="0A1128"/>
          <w:sz w:val="25"/>
          <w:szCs w:val="25"/>
        </w:rPr>
        <w:t xml:space="preserve">Landing — the Dashboard &amp; ‘My Workspace’</w:t>
      </w:r>
    </w:p>
    <w:p>
      <w:pPr>
        <w:spacing w:after="110" w:line="264"/>
      </w:pPr>
      <w:r>
        <w:t xml:space="preserve">After login you land on a two-tab home: a </w:t>
      </w:r>
      <w:r>
        <w:rPr>
          <w:b/>
          <w:bCs/>
        </w:rPr>
        <w:t xml:space="preserve">Dashboard</w:t>
      </w:r>
      <w:r>
        <w:t xml:space="preserve"> of KPIs and graphs, and </w:t>
      </w:r>
      <w:r>
        <w:rPr>
          <w:b/>
          <w:bCs/>
        </w:rPr>
        <w:t xml:space="preserve">My Workspace</w:t>
      </w:r>
      <w:r>
        <w:t xml:space="preserve"> — your personal to-dos, approvals waiting on you, and alerts pushed by the Event Engine. What each person sees here is already filtered by role: a salesperson sees pipeline and targets; finance sees cash and receivables; you see the whole house.</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Super Admin / CEO / Mgmt</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Configure tiles; act on alerts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Company-wide KPIs incl. revenue, margin, cash</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Finance / Accountant</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Act on finance alerts &amp; approvals</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Cash, receivables, payables, tax due — not sales commissions</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Sales / Ops / WMS / Fleet</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Act on their tasks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Only their own department’s KPIs; margins hidden</w:t>
            </w:r>
          </w:p>
        </w:tc>
      </w:tr>
    </w:tbl>
    <w:p>
      <w:pPr>
        <w:pStyle w:val="Heading2"/>
        <w:spacing w:after="90" w:before="240"/>
      </w:pPr>
      <w:r>
        <w:rPr>
          <w:b/>
          <w:bCs/>
          <w:color w:val="0E7C86"/>
          <w:sz w:val="19"/>
          <w:szCs w:val="19"/>
        </w:rPr>
        <w:t xml:space="preserve">STOP 4   </w:t>
      </w:r>
      <w:r>
        <w:rPr>
          <w:b/>
          <w:bCs/>
          <w:color w:val="0A1128"/>
          <w:sz w:val="25"/>
          <w:szCs w:val="25"/>
        </w:rPr>
        <w:t xml:space="preserve">Standing up the company</w:t>
      </w:r>
    </w:p>
    <w:p>
      <w:pPr>
        <w:spacing w:after="110" w:line="264"/>
      </w:pPr>
      <w:r>
        <w:t xml:space="preserve">First-run setup is a guided wizard: the company’s brand (logos, colours, fonts), legal identity (TIN and RCCM), document-numbering prefixes (SLAS / SLS), default language, and the treasury accounts. You then draw the </w:t>
      </w:r>
      <w:r>
        <w:rPr>
          <w:b/>
          <w:bCs/>
        </w:rPr>
        <w:t xml:space="preserve">organigramme</w:t>
      </w:r>
      <w:r>
        <w:t xml:space="preserve"> — departments, who approves what — and map workflows as simple </w:t>
      </w:r>
      <w:r>
        <w:rPr>
          <w:b/>
          <w:bCs/>
        </w:rPr>
        <w:t xml:space="preserve">Trigger → Act → Approve</w:t>
      </w:r>
      <w:r>
        <w:t xml:space="preserve"> chains. The Smart Compliance Layer is switched on here, ready to flag broken segregation-of-duties, missing approvals and ISO/ESG gaps.</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Super Admin</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Runs the whole wizard; defines departments, workflows, approvers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All settings</w:t>
            </w:r>
          </w:p>
        </w:tc>
      </w:tr>
      <w:tr>
        <w:tc>
          <w:tcPr>
            <w:tcW w:type="dxa" w:w="2100"/>
            <w:shd w:fill="F4F8F9" w:color="auto" w:val="clear"/>
            <w:tcMar>
              <w:top w:type="dxa" w:w="50"/>
              <w:left w:type="dxa" w:w="90"/>
              <w:bottom w:type="dxa" w:w="50"/>
              <w:right w:type="dxa" w:w="90"/>
            </w:tcMar>
            <w:vAlign w:val="center"/>
          </w:tcPr>
          <w:p>
            <w:pPr>
              <w:spacing w:after="0" w:line="240"/>
            </w:pPr>
            <w:r>
              <w:rPr>
                <w:b/>
                <w:bCs/>
                <w:color w:val="13324B"/>
                <w:sz w:val="18"/>
                <w:szCs w:val="18"/>
              </w:rPr>
              <w:t xml:space="preserve">Platform Root Admin</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Pre-loads brand &amp; legal IDs at onboarding</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Setup only, not operations</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Management</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Reviews the organigramme &amp; approval chains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Structure &amp; policies (read)</w:t>
            </w:r>
          </w:p>
        </w:tc>
      </w:tr>
    </w:tbl>
    <w:p>
      <w:pPr>
        <w:pStyle w:val="Heading2"/>
        <w:spacing w:after="90" w:before="240"/>
      </w:pPr>
      <w:r>
        <w:rPr>
          <w:b/>
          <w:bCs/>
          <w:color w:val="0E7C86"/>
          <w:sz w:val="19"/>
          <w:szCs w:val="19"/>
        </w:rPr>
        <w:t xml:space="preserve">STOP 5   </w:t>
      </w:r>
      <w:r>
        <w:rPr>
          <w:b/>
          <w:bCs/>
          <w:color w:val="0A1128"/>
          <w:sz w:val="25"/>
          <w:szCs w:val="25"/>
        </w:rPr>
        <w:t xml:space="preserve">Building the team — roles, rights, and what stays hidden</w:t>
      </w:r>
    </w:p>
    <w:p>
      <w:pPr>
        <w:spacing w:after="110" w:line="264"/>
      </w:pPr>
      <w:r>
        <w:t xml:space="preserve">This is where access is born. You create each user and give them a </w:t>
      </w:r>
      <w:r>
        <w:rPr>
          <w:b/>
          <w:bCs/>
        </w:rPr>
        <w:t xml:space="preserve">role</w:t>
      </w:r>
      <w:r>
        <w:t xml:space="preserve"> (their area), a </w:t>
      </w:r>
      <w:r>
        <w:rPr>
          <w:b/>
          <w:bCs/>
        </w:rPr>
        <w:t xml:space="preserve">capability</w:t>
      </w:r>
      <w:r>
        <w:t xml:space="preserve"> (Issuer / Validator / Approver), a </w:t>
      </w:r>
      <w:r>
        <w:rPr>
          <w:b/>
          <w:bCs/>
        </w:rPr>
        <w:t xml:space="preserve">scope</w:t>
      </w:r>
      <w:r>
        <w:t xml:space="preserve"> (which entity/branch), and — module by module — explicit Create, Read, Update and Delete rights. The same screen lets you decide field-level visibility: a salesperson can open a costing but the margin is masked; HR sees salaries, operations never does.</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Super Admin</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Creates users; assigns role + capability + scope + CRUD; sets field visibility</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Every permission in the system</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CEO / Management</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Request or approve elevated access</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Who-has-what access reports</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Everyone else</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Nothing here</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Their own profile only</w:t>
            </w:r>
          </w:p>
        </w:tc>
      </w:tr>
    </w:tbl>
    <w:tbl>
      <w:tblPr>
        <w:tblW w:type="dxa" w:w="9026"/>
        <w:tblBorders>
          <w:top w:val="single" w:color="E2E8EC" w:sz="1"/>
          <w:left w:val="single" w:color="0E7C86" w:sz="18"/>
          <w:bottom w:val="single" w:color="E2E8EC" w:sz="1"/>
          <w:right w:val="single" w:color="E2E8EC" w:sz="1"/>
          <w:insideH w:val="single" w:color="E2E8EC" w:sz="1"/>
          <w:insideV w:val="single" w:color="E2E8EC" w:sz="1"/>
        </w:tblBorders>
      </w:tblPr>
      <w:tblGrid>
        <w:gridCol w:w="9026"/>
      </w:tblGrid>
      <w:tr>
        <w:tc>
          <w:tcPr>
            <w:tcW w:type="dxa" w:w="9026"/>
            <w:shd w:fill="F2F8F9" w:color="auto" w:val="clear"/>
            <w:tcMar>
              <w:top w:type="dxa" w:w="120"/>
              <w:left w:type="dxa" w:w="190"/>
              <w:bottom w:type="dxa" w:w="120"/>
              <w:right w:type="dxa" w:w="150"/>
            </w:tcMar>
          </w:tcPr>
          <w:p>
            <w:pPr>
              <w:spacing w:after="60"/>
            </w:pPr>
            <w:r>
              <w:rPr>
                <w:b/>
                <w:bCs/>
                <w:color w:val="0E7C86"/>
                <w:sz w:val="21"/>
                <w:szCs w:val="21"/>
              </w:rPr>
              <w:t xml:space="preserve">This is the single source of truth for access</w:t>
            </w:r>
          </w:p>
          <w:p>
            <w:pPr>
              <w:spacing w:after="0" w:line="256"/>
            </w:pPr>
            <w:r>
              <w:rPr>
                <w:sz w:val="20"/>
                <w:szCs w:val="20"/>
              </w:rPr>
              <w:t xml:space="preserve">Every later ‘who can do/see what’ in this journey is decided here, once, and enforced on the server — not hidden in separate copies of screens like the old system.</w:t>
            </w:r>
          </w:p>
        </w:tc>
      </w:tr>
    </w:tbl>
    <w:p>
      <w:pPr>
        <w:pStyle w:val="Heading2"/>
        <w:spacing w:after="90" w:before="240"/>
      </w:pPr>
      <w:r>
        <w:rPr>
          <w:b/>
          <w:bCs/>
          <w:color w:val="0E7C86"/>
          <w:sz w:val="19"/>
          <w:szCs w:val="19"/>
        </w:rPr>
        <w:t xml:space="preserve">STOP 6   </w:t>
      </w:r>
      <w:r>
        <w:rPr>
          <w:b/>
          <w:bCs/>
          <w:color w:val="0A1128"/>
          <w:sz w:val="25"/>
          <w:szCs w:val="25"/>
        </w:rPr>
        <w:t xml:space="preserve">Master data — the shared backbone</w:t>
      </w:r>
    </w:p>
    <w:p>
      <w:pPr>
        <w:spacing w:after="110" w:line="264"/>
      </w:pPr>
      <w:r>
        <w:t xml:space="preserve">Now the reference data everything else leans on: corporate entities, clients, suppliers, the </w:t>
      </w:r>
      <w:r>
        <w:rPr>
          <w:b/>
          <w:bCs/>
        </w:rPr>
        <w:t xml:space="preserve">Financial Dictionary</w:t>
      </w:r>
      <w:r>
        <w:t xml:space="preserve"> (main and sub-accounts), the OHADA </w:t>
      </w:r>
      <w:r>
        <w:rPr>
          <w:b/>
          <w:bCs/>
        </w:rPr>
        <w:t xml:space="preserve">Chart of Accounts</w:t>
      </w:r>
      <w:r>
        <w:t xml:space="preserve">, the tax jurisdiction (TVA 19.25%, withholding 2.2% / 5.5%), currencies wired to the live exchange-rate feed, treasury accounts including mobile-money wallets, and expense-rate tables per shipping line. Every create or edit here writes to the immutable audit log automatically.</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Super Admin / Accountant</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Maintain chart of accounts, dictionary, tax, currencies, rates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All financial reference data</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Finance / Treasury</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Maintain treasury accounts &amp; wallets</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Bank, cash, mobile-money balances</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Sales / Ops</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Create clients/suppliers (if permitted)</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Names &amp; contacts — not cost rates or account balances</w:t>
            </w:r>
          </w:p>
        </w:tc>
      </w:tr>
    </w:tbl>
    <w:p>
      <w:pPr>
        <w:pStyle w:val="Heading2"/>
        <w:spacing w:after="90" w:before="240"/>
      </w:pPr>
      <w:r>
        <w:rPr>
          <w:b/>
          <w:bCs/>
          <w:color w:val="0E7C86"/>
          <w:sz w:val="19"/>
          <w:szCs w:val="19"/>
        </w:rPr>
        <w:t xml:space="preserve">STOP 7   </w:t>
      </w:r>
      <w:r>
        <w:rPr>
          <w:b/>
          <w:bCs/>
          <w:color w:val="0A1128"/>
          <w:sz w:val="25"/>
          <w:szCs w:val="25"/>
        </w:rPr>
        <w:t xml:space="preserve">Human Capital — hiring to payslip</w:t>
      </w:r>
    </w:p>
    <w:p>
      <w:pPr>
        <w:spacing w:after="110" w:line="264"/>
      </w:pPr>
      <w:r>
        <w:t xml:space="preserve">The HR suite runs the people lifecycle: post vacancies straight to the website, issue offer letters and contracts, set and rate monthly KPIs, track attendance and clock-in, manage leave / salary advances / mission allowances, hold SOPs and onboarding, run trainings, and plan succession. Payroll generates Tax/CNPS-compliant payslips and links them to a cash request — and posts the payroll journal to the books automatically. An employee self-service portal lets staff see their own payslips and request leave.</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HR</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Runs all HR; processes payroll</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All employee data &amp; salaries</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Line Manager</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Sets KPIs; approves own team’s leave</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Their team’s records — not other teams’ pay</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Finance</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Funds the payroll cash request; posts to ledger</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Payroll totals — not individual HR notes</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Employee (self-service)</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Views own payslip; requests leave</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Only their own record</w:t>
            </w:r>
          </w:p>
        </w:tc>
      </w:tr>
    </w:tbl>
    <w:p>
      <w:pPr>
        <w:pStyle w:val="Heading2"/>
        <w:spacing w:after="90" w:before="240"/>
      </w:pPr>
      <w:r>
        <w:rPr>
          <w:b/>
          <w:bCs/>
          <w:color w:val="0E7C86"/>
          <w:sz w:val="19"/>
          <w:szCs w:val="19"/>
        </w:rPr>
        <w:t xml:space="preserve">STOP 8   </w:t>
      </w:r>
      <w:r>
        <w:rPr>
          <w:b/>
          <w:bCs/>
          <w:color w:val="0A1128"/>
          <w:sz w:val="25"/>
          <w:szCs w:val="25"/>
        </w:rPr>
        <w:t xml:space="preserve">Sales &amp; CRM — from lead to signed project</w:t>
      </w:r>
    </w:p>
    <w:p>
      <w:pPr>
        <w:spacing w:after="110" w:line="264"/>
      </w:pPr>
      <w:r>
        <w:t xml:space="preserve">Leads arrive from the website (or are entered by hand), meetings and minutes are logged, campaigns are tracked, and the AI Proposal Generator drafts a proposal — which a human always reviews before it goes out. Deals move along a visual Kanban pipeline, and won projects are pushed into the project portfolio. Costs and margins behind a quote are visible to the people pricing it, not to the whole sales floor.</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Sales</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Works leads, proposals, pipeline, campaigns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Their clients &amp; deals; sell prices — margins masked unless authorised</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Management</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Reviews pipeline &amp; approves big deals</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All deals, full margins</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Finance</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Confirms commercial terms feed billing</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Approved prices &amp; terms</w:t>
            </w:r>
          </w:p>
        </w:tc>
      </w:tr>
    </w:tbl>
    <w:p>
      <w:pPr>
        <w:pStyle w:val="Heading2"/>
        <w:spacing w:after="90" w:before="240"/>
      </w:pPr>
      <w:r>
        <w:rPr>
          <w:b/>
          <w:bCs/>
          <w:color w:val="0E7C86"/>
          <w:sz w:val="19"/>
          <w:szCs w:val="19"/>
        </w:rPr>
        <w:t xml:space="preserve">STOP 9   </w:t>
      </w:r>
      <w:r>
        <w:rPr>
          <w:b/>
          <w:bCs/>
          <w:color w:val="0A1128"/>
          <w:sz w:val="25"/>
          <w:szCs w:val="25"/>
        </w:rPr>
        <w:t xml:space="preserve">Commercial &amp; pricing — the quick simulators</w:t>
      </w:r>
    </w:p>
    <w:p>
      <w:pPr>
        <w:spacing w:after="110" w:line="264"/>
      </w:pPr>
      <w:r>
        <w:t xml:space="preserve">For fast quotes that don’t need a full proposal, the </w:t>
      </w:r>
      <w:r>
        <w:rPr>
          <w:b/>
          <w:bCs/>
        </w:rPr>
        <w:t xml:space="preserve">Margin Simulator</w:t>
      </w:r>
      <w:r>
        <w:t xml:space="preserve"> and </w:t>
      </w:r>
      <w:r>
        <w:rPr>
          <w:b/>
          <w:bCs/>
        </w:rPr>
        <w:t xml:space="preserve">Extra-Charges Simulator</w:t>
      </w:r>
      <w:r>
        <w:t xml:space="preserve"> turn cost inputs into a price in seconds, drawing on the expense-rate tables. This is exactly where margin confidentiality bites: the price is shareable, the margin is not.</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Sales / Commercial</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Runs simulations; issues a quick quote</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Inputs &amp; final price; margin shown only if authorised</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Finance / Management</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Reviews &amp; approves pricing</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Full cost build-up and margin</w:t>
            </w:r>
          </w:p>
        </w:tc>
      </w:tr>
    </w:tbl>
    <w:p>
      <w:pPr>
        <w:pStyle w:val="Heading2"/>
        <w:spacing w:after="90" w:before="240"/>
      </w:pPr>
      <w:r>
        <w:rPr>
          <w:b/>
          <w:bCs/>
          <w:color w:val="0E7C86"/>
          <w:sz w:val="19"/>
          <w:szCs w:val="19"/>
        </w:rPr>
        <w:t xml:space="preserve">STOP 10   </w:t>
      </w:r>
      <w:r>
        <w:rPr>
          <w:b/>
          <w:bCs/>
          <w:color w:val="0A1128"/>
          <w:sz w:val="25"/>
          <w:szCs w:val="25"/>
        </w:rPr>
        <w:t xml:space="preserve">Operations — running the job</w:t>
      </w:r>
    </w:p>
    <w:p>
      <w:pPr>
        <w:spacing w:after="110" w:line="264"/>
      </w:pPr>
      <w:r>
        <w:t xml:space="preserve">An operation file is opened (container numbers, MBL, codes), transit orders are raised with notifications, and milestones are tracked — each milestone update pushes straight to the client’s portal. Delivery notes are issued and QA tickets resolved. Operations enter the costs they incur; what those costs do to the margin is a finance view.</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Operations</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Runs files, transit orders, milestones, delivery, QA</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Their operations &amp; costs incurred — not overall job profit</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Client (portal)</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Watches progress; raises QA feedback</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Only their own shipments’ milestones &amp; documents</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Finance</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Bills against the operation</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Operation costs and resulting margin</w:t>
            </w:r>
          </w:p>
        </w:tc>
      </w:tr>
    </w:tbl>
    <w:p>
      <w:pPr>
        <w:pStyle w:val="Heading2"/>
        <w:spacing w:after="90" w:before="240"/>
      </w:pPr>
      <w:r>
        <w:rPr>
          <w:b/>
          <w:bCs/>
          <w:color w:val="0E7C86"/>
          <w:sz w:val="19"/>
          <w:szCs w:val="19"/>
        </w:rPr>
        <w:t xml:space="preserve">STOP 11   </w:t>
      </w:r>
      <w:r>
        <w:rPr>
          <w:b/>
          <w:bCs/>
          <w:color w:val="0A1128"/>
          <w:sz w:val="25"/>
          <w:szCs w:val="25"/>
        </w:rPr>
        <w:t xml:space="preserve">Warehouse (WMS) — full from day one</w:t>
      </w:r>
    </w:p>
    <w:p>
      <w:pPr>
        <w:spacing w:after="110" w:line="264"/>
      </w:pPr>
      <w:r>
        <w:t xml:space="preserve">Goods arrive (GRN), go on QA/QC hold and inspection (with a certificate), then directed putaway places them by zone / aisle / rack / bin / yard. Inventory is tracked live; outbound runs pick, pack and dispatch; equipment is allocated; and blind cycle counts produce a certified Rapport d’Audit. (You chose full WMS — important, since some tenants will run full warehouses.)</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Warehouse</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GRN, putaway, picks, counts, dispatch</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Stock, locations, movements</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Operations</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Links warehouse activity to the job</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Stock status for their shipments</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Finance</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Values inventory to the ledger</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Stock valuation — not bin-level detail</w:t>
            </w:r>
          </w:p>
        </w:tc>
      </w:tr>
    </w:tbl>
    <w:p>
      <w:pPr>
        <w:pStyle w:val="Heading2"/>
        <w:spacing w:after="90" w:before="240"/>
      </w:pPr>
      <w:r>
        <w:rPr>
          <w:b/>
          <w:bCs/>
          <w:color w:val="0E7C86"/>
          <w:sz w:val="19"/>
          <w:szCs w:val="19"/>
        </w:rPr>
        <w:t xml:space="preserve">STOP 12   </w:t>
      </w:r>
      <w:r>
        <w:rPr>
          <w:b/>
          <w:bCs/>
          <w:color w:val="0A1128"/>
          <w:sz w:val="25"/>
          <w:szCs w:val="25"/>
        </w:rPr>
        <w:t xml:space="preserve">Fleet — vehicles that keep moving</w:t>
      </w:r>
    </w:p>
    <w:p>
      <w:pPr>
        <w:spacing w:after="110" w:line="264"/>
      </w:pPr>
      <w:r>
        <w:t xml:space="preserve">Vehicles and assets are registered; compliance and renewals (insurance, visite technique) raise alerts before they lapse; maintenance and work orders are scheduled; dispatch logs check-out/check-in; fuel and odometer readings flag variance; and driver licences/certifications are tracked, with incidents/claims as a fast-follow.</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Fleet</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Registry, maintenance, dispatch, fuel, drivers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All vehicle &amp; driver data</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Operations</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Requests a vehicle for a job</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Availability &amp; assignment</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Finance</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Posts fuel/maintenance cost &amp; depreciation</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Fleet costs — not driver personal data</w:t>
            </w:r>
          </w:p>
        </w:tc>
      </w:tr>
    </w:tbl>
    <w:p>
      <w:pPr>
        <w:pStyle w:val="Heading2"/>
        <w:spacing w:after="90" w:before="240"/>
      </w:pPr>
      <w:r>
        <w:rPr>
          <w:b/>
          <w:bCs/>
          <w:color w:val="0E7C86"/>
          <w:sz w:val="19"/>
          <w:szCs w:val="19"/>
        </w:rPr>
        <w:t xml:space="preserve">STOP 13   </w:t>
      </w:r>
      <w:r>
        <w:rPr>
          <w:b/>
          <w:bCs/>
          <w:color w:val="0A1128"/>
          <w:sz w:val="25"/>
          <w:szCs w:val="25"/>
        </w:rPr>
        <w:t xml:space="preserve">Ops costing — what the job really cost</w:t>
      </w:r>
    </w:p>
    <w:p>
      <w:pPr>
        <w:spacing w:after="110" w:line="264"/>
      </w:pPr>
      <w:r>
        <w:t xml:space="preserve">Per operation file, a </w:t>
      </w:r>
      <w:r>
        <w:rPr>
          <w:b/>
          <w:bCs/>
        </w:rPr>
        <w:t xml:space="preserve">project costing</w:t>
      </w:r>
      <w:r>
        <w:t xml:space="preserve"> is built and pushed to the ledger; costs are tracked by category; budget-vs-actual reconciliation shows the truth; and disbursals (cash/payment requests) carry the approved costing with them. This is the heart of margin — so it is firmly a finance-and-management view.</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Operations</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Enters costs; raises disbursal requests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Their file’s costs and budget</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Finance / Management</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Reconciles budget vs actual; approves disbursal</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Full margin and profitability</w:t>
            </w:r>
          </w:p>
        </w:tc>
      </w:tr>
      <w:tr>
        <w:tc>
          <w:tcPr>
            <w:tcW w:type="dxa" w:w="2100"/>
            <w:tcMar>
              <w:top w:type="dxa" w:w="50"/>
              <w:left w:type="dxa" w:w="90"/>
              <w:bottom w:type="dxa" w:w="50"/>
              <w:right w:type="dxa" w:w="90"/>
            </w:tcMar>
            <w:vAlign w:val="center"/>
          </w:tcPr>
          <w:p>
            <w:pPr>
              <w:spacing w:after="0" w:line="240"/>
            </w:pPr>
            <w:r>
              <w:rPr>
                <w:b/>
                <w:bCs/>
                <w:color w:val="B7791F"/>
                <w:sz w:val="18"/>
                <w:szCs w:val="18"/>
              </w:rPr>
              <w:t xml:space="preserve">Approver (capability)</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Authorises the disbursal</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The request, costing and budget</w:t>
            </w:r>
          </w:p>
        </w:tc>
      </w:tr>
    </w:tbl>
    <w:p>
      <w:pPr>
        <w:pStyle w:val="Heading2"/>
        <w:spacing w:after="90" w:before="240"/>
      </w:pPr>
      <w:r>
        <w:rPr>
          <w:b/>
          <w:bCs/>
          <w:color w:val="0E7C86"/>
          <w:sz w:val="19"/>
          <w:szCs w:val="19"/>
        </w:rPr>
        <w:t xml:space="preserve">STOP 14   </w:t>
      </w:r>
      <w:r>
        <w:rPr>
          <w:b/>
          <w:bCs/>
          <w:color w:val="0A1128"/>
          <w:sz w:val="25"/>
          <w:szCs w:val="25"/>
        </w:rPr>
        <w:t xml:space="preserve">Finance &amp; treasury — billing and money in/out</w:t>
      </w:r>
    </w:p>
    <w:p>
      <w:pPr>
        <w:spacing w:after="110" w:line="264"/>
      </w:pPr>
      <w:r>
        <w:t xml:space="preserve">Proforma and advance invoices, final invoices, the smart receivables ledger, payments and allocations, asset management with automatic OHADA depreciation, and project financing all live here. Treasury covers bank, cash and mobile-money, and the accountant can import a bank statement to reconcile. Invoices and payments follow the Issuer → Validator → Approver path.</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Finance / Treasury</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Issues invoices; records &amp; allocates payments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Receivables, payables, balances</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Accountant</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Reconciles bank/mobile-money; posts entries</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Ledger, statements, reconciliations</w:t>
            </w:r>
          </w:p>
        </w:tc>
      </w:tr>
      <w:tr>
        <w:tc>
          <w:tcPr>
            <w:tcW w:type="dxa" w:w="2100"/>
            <w:tcMar>
              <w:top w:type="dxa" w:w="50"/>
              <w:left w:type="dxa" w:w="90"/>
              <w:bottom w:type="dxa" w:w="50"/>
              <w:right w:type="dxa" w:w="90"/>
            </w:tcMar>
            <w:vAlign w:val="center"/>
          </w:tcPr>
          <w:p>
            <w:pPr>
              <w:spacing w:after="0" w:line="240"/>
            </w:pPr>
            <w:r>
              <w:rPr>
                <w:b/>
                <w:bCs/>
                <w:color w:val="B7791F"/>
                <w:sz w:val="18"/>
                <w:szCs w:val="18"/>
              </w:rPr>
              <w:t xml:space="preserve">Validator / Approver</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Checks then authorises invoices &amp; payments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The document and its backup</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Sales / Ops</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See their client’s invoice status</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Status &amp; amount — not the whole ledger</w:t>
            </w:r>
          </w:p>
        </w:tc>
      </w:tr>
    </w:tbl>
    <w:p>
      <w:pPr>
        <w:pStyle w:val="Heading2"/>
        <w:spacing w:after="90" w:before="240"/>
      </w:pPr>
      <w:r>
        <w:rPr>
          <w:b/>
          <w:bCs/>
          <w:color w:val="0E7C86"/>
          <w:sz w:val="19"/>
          <w:szCs w:val="19"/>
        </w:rPr>
        <w:t xml:space="preserve">STOP 15   </w:t>
      </w:r>
      <w:r>
        <w:rPr>
          <w:b/>
          <w:bCs/>
          <w:color w:val="0A1128"/>
          <w:sz w:val="25"/>
          <w:szCs w:val="25"/>
        </w:rPr>
        <w:t xml:space="preserve">The books — accounting that actually balances</w:t>
      </w:r>
    </w:p>
    <w:p>
      <w:pPr>
        <w:spacing w:after="110" w:line="264"/>
      </w:pPr>
      <w:r>
        <w:t xml:space="preserve">Everything above posts, once and at source, into double-entry </w:t>
      </w:r>
      <w:r>
        <w:rPr>
          <w:b/>
          <w:bCs/>
        </w:rPr>
        <w:t xml:space="preserve">OHADA journals</w:t>
      </w:r>
      <w:r>
        <w:t xml:space="preserve"> and the general ledger. At month-end a guided close produces the full Système Normal: </w:t>
      </w:r>
      <w:r>
        <w:rPr>
          <w:i/>
          <w:iCs/>
        </w:rPr>
        <w:t xml:space="preserve">Bilan, Compte de résultat, Tableau des flux de trésorerie and Notes annexes</w:t>
      </w:r>
      <w:r>
        <w:t xml:space="preserve">. Posted entries are immutable — corrections are made by reversing entries, never by editing history.</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Accountant</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Posts/reverses journals; runs the close; produces statements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The entire ledger &amp; all statements</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Finance / Management / CEO</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Review and sign off</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Statements and drill-down</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Everyone else</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Nothing</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No ledger access</w:t>
            </w:r>
          </w:p>
        </w:tc>
      </w:tr>
    </w:tbl>
    <w:p>
      <w:pPr>
        <w:pStyle w:val="Heading2"/>
        <w:spacing w:after="90" w:before="240"/>
      </w:pPr>
      <w:r>
        <w:rPr>
          <w:b/>
          <w:bCs/>
          <w:color w:val="0E7C86"/>
          <w:sz w:val="19"/>
          <w:szCs w:val="19"/>
        </w:rPr>
        <w:t xml:space="preserve">STOP 16   </w:t>
      </w:r>
      <w:r>
        <w:rPr>
          <w:b/>
          <w:bCs/>
          <w:color w:val="0A1128"/>
          <w:sz w:val="25"/>
          <w:szCs w:val="25"/>
        </w:rPr>
        <w:t xml:space="preserve">Tax &amp; statutory — filing without fear</w:t>
      </w:r>
    </w:p>
    <w:p>
      <w:pPr>
        <w:spacing w:after="110" w:line="264"/>
      </w:pPr>
      <w:r>
        <w:t xml:space="preserve">From the same ledger, the jurisdiction engine computes TVA (19.25%), withholding (2.2% / 5.5%), CIT / minimum tax and CNPS, and assembles the </w:t>
      </w:r>
      <w:r>
        <w:rPr>
          <w:b/>
          <w:bCs/>
        </w:rPr>
        <w:t xml:space="preserve">DSF</w:t>
      </w:r>
      <w:r>
        <w:t xml:space="preserve"> dataset ready to file by the 15 April / 15 May deadline. Nothing is re-keyed; the numbers trace straight back to the entries that made them.</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Accountant</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Generates tax returns &amp; the DSF pack</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All tax workings</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External Auditor (portal)</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Inspects the basis of the figures</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Read-only records &amp; trail, time-boxed</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Management / CEO</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Approve filings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Summaries &amp; liabilities</w:t>
            </w:r>
          </w:p>
        </w:tc>
      </w:tr>
    </w:tbl>
    <w:p>
      <w:pPr>
        <w:pStyle w:val="Heading2"/>
        <w:spacing w:after="90" w:before="240"/>
      </w:pPr>
      <w:r>
        <w:rPr>
          <w:b/>
          <w:bCs/>
          <w:color w:val="0E7C86"/>
          <w:sz w:val="19"/>
          <w:szCs w:val="19"/>
        </w:rPr>
        <w:t xml:space="preserve">STOP 17   </w:t>
      </w:r>
      <w:r>
        <w:rPr>
          <w:b/>
          <w:bCs/>
          <w:color w:val="0A1128"/>
          <w:sz w:val="25"/>
          <w:szCs w:val="25"/>
        </w:rPr>
        <w:t xml:space="preserve">Procurement — controlled spending</w:t>
      </w:r>
    </w:p>
    <w:p>
      <w:pPr>
        <w:spacing w:after="110" w:line="264"/>
      </w:pPr>
      <w:r>
        <w:t xml:space="preserve">A purchase request is raised, approved, turned into a purchase order, and matched against goods received and the supplier invoice — a three-way match — before anything posts. No PO, no payment.</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Procurement</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Raises PR/PO; records goods received</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Suppliers, orders, receipts</w:t>
            </w:r>
          </w:p>
        </w:tc>
      </w:tr>
      <w:tr>
        <w:tc>
          <w:tcPr>
            <w:tcW w:type="dxa" w:w="2100"/>
            <w:shd w:fill="F4F8F9" w:color="auto" w:val="clear"/>
            <w:tcMar>
              <w:top w:type="dxa" w:w="50"/>
              <w:left w:type="dxa" w:w="90"/>
              <w:bottom w:type="dxa" w:w="50"/>
              <w:right w:type="dxa" w:w="90"/>
            </w:tcMar>
            <w:vAlign w:val="center"/>
          </w:tcPr>
          <w:p>
            <w:pPr>
              <w:spacing w:after="0" w:line="240"/>
            </w:pPr>
            <w:r>
              <w:rPr>
                <w:b/>
                <w:bCs/>
                <w:color w:val="B7791F"/>
                <w:sz w:val="18"/>
                <w:szCs w:val="18"/>
              </w:rPr>
              <w:t xml:space="preserve">Approver</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Approves the PR/PO within limits</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Request &amp; budget impact</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Finance</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Three-way matches &amp; pays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Matched documents &amp; ledger effect</w:t>
            </w:r>
          </w:p>
        </w:tc>
      </w:tr>
    </w:tbl>
    <w:p>
      <w:pPr>
        <w:pStyle w:val="Heading2"/>
        <w:spacing w:after="90" w:before="240"/>
      </w:pPr>
      <w:r>
        <w:rPr>
          <w:b/>
          <w:bCs/>
          <w:color w:val="0E7C86"/>
          <w:sz w:val="19"/>
          <w:szCs w:val="19"/>
        </w:rPr>
        <w:t xml:space="preserve">STOP 18   </w:t>
      </w:r>
      <w:r>
        <w:rPr>
          <w:b/>
          <w:bCs/>
          <w:color w:val="0A1128"/>
          <w:sz w:val="25"/>
          <w:szCs w:val="25"/>
        </w:rPr>
        <w:t xml:space="preserve">Document vault, compliance checker &amp; QR</w:t>
      </w:r>
    </w:p>
    <w:p>
      <w:pPr>
        <w:spacing w:after="110" w:line="264"/>
      </w:pPr>
      <w:r>
        <w:t xml:space="preserve">Every file lands in a central vault. The </w:t>
      </w:r>
      <w:r>
        <w:rPr>
          <w:b/>
          <w:bCs/>
        </w:rPr>
        <w:t xml:space="preserve">Compliance Checker</w:t>
      </w:r>
      <w:r>
        <w:t xml:space="preserve"> automatically flags missing evidence (e.g. a job without its bill of lading), and verified documents carry a QR code for instant public or internal verification.</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Super Admin / Compliance</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Set required-document rules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All documents &amp; flags</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Each department</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Uploads &amp; retrieves their files</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Their area’s documents</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Client / Auditor (portal)</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View shared/verified documents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Only what’s shared with them</w:t>
            </w:r>
          </w:p>
        </w:tc>
      </w:tr>
    </w:tbl>
    <w:p>
      <w:pPr>
        <w:pStyle w:val="Heading2"/>
        <w:spacing w:after="90" w:before="240"/>
      </w:pPr>
      <w:r>
        <w:rPr>
          <w:b/>
          <w:bCs/>
          <w:color w:val="0E7C86"/>
          <w:sz w:val="19"/>
          <w:szCs w:val="19"/>
        </w:rPr>
        <w:t xml:space="preserve">STOP 19   </w:t>
      </w:r>
      <w:r>
        <w:rPr>
          <w:b/>
          <w:bCs/>
          <w:color w:val="0A1128"/>
          <w:sz w:val="25"/>
          <w:szCs w:val="25"/>
        </w:rPr>
        <w:t xml:space="preserve">The AI assistant, agentic actions &amp; the Event Engine</w:t>
      </w:r>
    </w:p>
    <w:p>
      <w:pPr>
        <w:spacing w:after="110" w:line="264"/>
      </w:pPr>
      <w:r>
        <w:t xml:space="preserve">A floating assistant runs on Gemini (drafting), DeepSeek (reasoning) and Groq (voice-to-text). Ask it in plain language — “raise a PO for 10 laptops at 250k each” — and it prepares the action by calling whitelisted Node functions, then </w:t>
      </w:r>
      <w:r>
        <w:rPr>
          <w:b/>
          <w:bCs/>
        </w:rPr>
        <w:t xml:space="preserve">waits for your explicit confirmation</w:t>
      </w:r>
      <w:r>
        <w:t xml:space="preserve"> before committing; every AI action is logged and sensitive fields are redacted before anything leaves the system. The Universal Event Engine ties it together: standardized events drive workflows, approvals and the print → sign → mail → WhatsApp execution cards with secure approval links. There is no RAG / vector store — the AI fetches the exact record it needs.</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Super Admin</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Defines events, whitelisted AI actions, usage caps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All AI logs &amp; event flows</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Each role</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Uses AI within their own permissions</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AI can only touch what the user already can</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CEO / Management</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Approve via secure tokenized links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The action awaiting approval</w:t>
            </w:r>
          </w:p>
        </w:tc>
      </w:tr>
    </w:tbl>
    <w:tbl>
      <w:tblPr>
        <w:tblW w:type="dxa" w:w="9026"/>
        <w:tblBorders>
          <w:top w:val="single" w:color="E2E8EC" w:sz="1"/>
          <w:left w:val="single" w:color="0E7C86" w:sz="18"/>
          <w:bottom w:val="single" w:color="E2E8EC" w:sz="1"/>
          <w:right w:val="single" w:color="E2E8EC" w:sz="1"/>
          <w:insideH w:val="single" w:color="E2E8EC" w:sz="1"/>
          <w:insideV w:val="single" w:color="E2E8EC" w:sz="1"/>
        </w:tblBorders>
      </w:tblPr>
      <w:tblGrid>
        <w:gridCol w:w="9026"/>
      </w:tblGrid>
      <w:tr>
        <w:tc>
          <w:tcPr>
            <w:tcW w:type="dxa" w:w="9026"/>
            <w:shd w:fill="F2F8F9" w:color="auto" w:val="clear"/>
            <w:tcMar>
              <w:top w:type="dxa" w:w="120"/>
              <w:left w:type="dxa" w:w="190"/>
              <w:bottom w:type="dxa" w:w="120"/>
              <w:right w:type="dxa" w:w="150"/>
            </w:tcMar>
          </w:tcPr>
          <w:p>
            <w:pPr>
              <w:spacing w:after="60"/>
            </w:pPr>
            <w:r>
              <w:rPr>
                <w:b/>
                <w:bCs/>
                <w:color w:val="0E7C86"/>
                <w:sz w:val="21"/>
                <w:szCs w:val="21"/>
              </w:rPr>
              <w:t xml:space="preserve">The AI never exceeds the person using it</w:t>
            </w:r>
          </w:p>
          <w:p>
            <w:pPr>
              <w:spacing w:after="0" w:line="256"/>
            </w:pPr>
            <w:r>
              <w:rPr>
                <w:sz w:val="20"/>
                <w:szCs w:val="20"/>
              </w:rPr>
              <w:t xml:space="preserve">An agentic action runs with your permissions, needs your confirmation, and is fully logged. The AI cannot see or do anything you couldn’t — and sensitive figures are redacted before any external model is called.</w:t>
            </w:r>
          </w:p>
        </w:tc>
      </w:tr>
    </w:tbl>
    <w:p>
      <w:pPr>
        <w:pStyle w:val="Heading2"/>
        <w:spacing w:after="90" w:before="240"/>
      </w:pPr>
      <w:r>
        <w:rPr>
          <w:b/>
          <w:bCs/>
          <w:color w:val="0E7C86"/>
          <w:sz w:val="19"/>
          <w:szCs w:val="19"/>
        </w:rPr>
        <w:t xml:space="preserve">STOP 20   </w:t>
      </w:r>
      <w:r>
        <w:rPr>
          <w:b/>
          <w:bCs/>
          <w:color w:val="0A1128"/>
          <w:sz w:val="25"/>
          <w:szCs w:val="25"/>
        </w:rPr>
        <w:t xml:space="preserve">The portals — clients, board, auditors</w:t>
      </w:r>
    </w:p>
    <w:p>
      <w:pPr>
        <w:spacing w:after="110" w:line="264"/>
      </w:pPr>
      <w:r>
        <w:t xml:space="preserve">Three front doors for outsiders, each tightly scoped. The </w:t>
      </w:r>
      <w:r>
        <w:rPr>
          <w:b/>
          <w:bCs/>
        </w:rPr>
        <w:t xml:space="preserve">Client Portal</w:t>
      </w:r>
      <w:r>
        <w:t xml:space="preserve"> shows a client only their own projects, milestones, documents, messaging (with a certified PDF of the chat) and onboarding — with self-service quoting/booking. The </w:t>
      </w:r>
      <w:r>
        <w:rPr>
          <w:b/>
          <w:bCs/>
        </w:rPr>
        <w:t xml:space="preserve">Investor / Board Terminal</w:t>
      </w:r>
      <w:r>
        <w:t xml:space="preserve"> is read-only KPIs and financials (with an optional IFRS view). The </w:t>
      </w:r>
      <w:r>
        <w:rPr>
          <w:b/>
          <w:bCs/>
        </w:rPr>
        <w:t xml:space="preserve">Audit Terminal</w:t>
      </w:r>
      <w:r>
        <w:t xml:space="preserve"> gives an external auditor scoped, time-boxed read access plus a data room.</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B7791F"/>
                <w:sz w:val="18"/>
                <w:szCs w:val="18"/>
              </w:rPr>
              <w:t xml:space="preserve">Client</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Tracks own jobs; messages; requests quotes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Only their own data</w:t>
            </w:r>
          </w:p>
        </w:tc>
      </w:tr>
      <w:tr>
        <w:tc>
          <w:tcPr>
            <w:tcW w:type="dxa" w:w="2100"/>
            <w:shd w:fill="F4F8F9" w:color="auto" w:val="clear"/>
            <w:tcMar>
              <w:top w:type="dxa" w:w="50"/>
              <w:left w:type="dxa" w:w="90"/>
              <w:bottom w:type="dxa" w:w="50"/>
              <w:right w:type="dxa" w:w="90"/>
            </w:tcMar>
            <w:vAlign w:val="center"/>
          </w:tcPr>
          <w:p>
            <w:pPr>
              <w:spacing w:after="0" w:line="240"/>
            </w:pPr>
            <w:r>
              <w:rPr>
                <w:b/>
                <w:bCs/>
                <w:color w:val="B7791F"/>
                <w:sz w:val="18"/>
                <w:szCs w:val="18"/>
              </w:rPr>
              <w:t xml:space="preserve">Investor / Board</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Reviews performance</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Read-only KPIs &amp; financials — no operational detail</w:t>
            </w:r>
          </w:p>
        </w:tc>
      </w:tr>
      <w:tr>
        <w:tc>
          <w:tcPr>
            <w:tcW w:type="dxa" w:w="2100"/>
            <w:tcMar>
              <w:top w:type="dxa" w:w="50"/>
              <w:left w:type="dxa" w:w="90"/>
              <w:bottom w:type="dxa" w:w="50"/>
              <w:right w:type="dxa" w:w="90"/>
            </w:tcMar>
            <w:vAlign w:val="center"/>
          </w:tcPr>
          <w:p>
            <w:pPr>
              <w:spacing w:after="0" w:line="240"/>
            </w:pPr>
            <w:r>
              <w:rPr>
                <w:b/>
                <w:bCs/>
                <w:color w:val="B7791F"/>
                <w:sz w:val="18"/>
                <w:szCs w:val="18"/>
              </w:rPr>
              <w:t xml:space="preserve">External Auditor</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Inspects records &amp; trail</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Time-boxed, read-only, logged</w:t>
            </w:r>
          </w:p>
        </w:tc>
      </w:tr>
    </w:tbl>
    <w:p>
      <w:pPr>
        <w:pStyle w:val="Heading2"/>
        <w:spacing w:after="90" w:before="240"/>
      </w:pPr>
      <w:r>
        <w:rPr>
          <w:b/>
          <w:bCs/>
          <w:color w:val="0E7C86"/>
          <w:sz w:val="19"/>
          <w:szCs w:val="19"/>
        </w:rPr>
        <w:t xml:space="preserve">STOP 21   </w:t>
      </w:r>
      <w:r>
        <w:rPr>
          <w:b/>
          <w:bCs/>
          <w:color w:val="0A1128"/>
          <w:sz w:val="25"/>
          <w:szCs w:val="25"/>
        </w:rPr>
        <w:t xml:space="preserve">Communications — corporate, WhatsApp-style</w:t>
      </w:r>
    </w:p>
    <w:p>
      <w:pPr>
        <w:spacing w:after="110" w:line="264"/>
      </w:pPr>
      <w:r>
        <w:t xml:space="preserve">Messaging feels like WhatsApp built for the company: real-time chat over sockets, working groups per department or project, and media sharing under 10 MB. There is </w:t>
      </w:r>
      <w:r>
        <w:rPr>
          <w:b/>
          <w:bCs/>
        </w:rPr>
        <w:t xml:space="preserve">no in-app calling</w:t>
      </w:r>
      <w:r>
        <w:t xml:space="preserve"> — instead, a contact’s number opens </w:t>
      </w:r>
      <w:r>
        <w:rPr>
          <w:i/>
          <w:iCs/>
        </w:rPr>
        <w:t xml:space="preserve">wa.me</w:t>
      </w:r>
      <w:r>
        <w:t xml:space="preserve"> or a </w:t>
      </w:r>
      <w:r>
        <w:rPr>
          <w:i/>
          <w:iCs/>
        </w:rPr>
        <w:t xml:space="preserve">tel:</w:t>
      </w:r>
      <w:r>
        <w:t xml:space="preserve"> dialler, and their email opens </w:t>
      </w:r>
      <w:r>
        <w:rPr>
          <w:i/>
          <w:iCs/>
        </w:rPr>
        <w:t xml:space="preserve">mailto:</w:t>
      </w:r>
      <w:r>
        <w:t xml:space="preserve">. Client-facing chats can be exported as a certified PDF.</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0A1128"/>
                <w:sz w:val="18"/>
                <w:szCs w:val="18"/>
              </w:rPr>
              <w:t xml:space="preserve">All internal users</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Chat, form groups, share media</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Their groups &amp; direct messages</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Client (portal)</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Messages their account team</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Only their own thread</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Super Admin</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Sets group policy; exports certified chat</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Channel list &amp; compliance exports</w:t>
            </w:r>
          </w:p>
        </w:tc>
      </w:tr>
    </w:tbl>
    <w:p>
      <w:pPr>
        <w:pStyle w:val="Heading2"/>
        <w:spacing w:after="90" w:before="240"/>
      </w:pPr>
      <w:r>
        <w:rPr>
          <w:b/>
          <w:bCs/>
          <w:color w:val="0E7C86"/>
          <w:sz w:val="19"/>
          <w:szCs w:val="19"/>
        </w:rPr>
        <w:t xml:space="preserve">STOP 22   </w:t>
      </w:r>
      <w:r>
        <w:rPr>
          <w:b/>
          <w:bCs/>
          <w:color w:val="0A1128"/>
          <w:sz w:val="25"/>
          <w:szCs w:val="25"/>
        </w:rPr>
        <w:t xml:space="preserve">Security, the immutable ledger &amp; God Mode</w:t>
      </w:r>
    </w:p>
    <w:p>
      <w:pPr>
        <w:spacing w:after="110" w:line="264"/>
      </w:pPr>
      <w:r>
        <w:t xml:space="preserve">Everything anyone does is written to an </w:t>
      </w:r>
      <w:r>
        <w:rPr>
          <w:b/>
          <w:bCs/>
        </w:rPr>
        <w:t xml:space="preserve">immutable ledger</w:t>
      </w:r>
      <w:r>
        <w:t xml:space="preserve"> — user, action, date, IP, module — filterable for audit. Normal deletes are soft-deletes that can be restored by a second admin. The one exception is </w:t>
      </w:r>
      <w:r>
        <w:rPr>
          <w:b/>
          <w:bCs/>
          <w:color w:val="B0341D"/>
        </w:rPr>
        <w:t xml:space="preserve">God Mode</w:t>
      </w:r>
      <w:r>
        <w:t xml:space="preserve">: a true purge engine reserved for the </w:t>
      </w:r>
      <w:r>
        <w:rPr>
          <w:b/>
          <w:bCs/>
        </w:rPr>
        <w:t xml:space="preserve">CEO alone</w:t>
      </w:r>
      <w:r>
        <w:t xml:space="preserve">, unlocked with a personal PIN, and even then the full payload of whatever was purged is written to the immutable record. No one else — not even the Super Admin — can hard-delete.</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100"/>
        <w:gridCol w:w="3700"/>
        <w:gridCol w:w="3226"/>
      </w:tblGrid>
      <w:tr>
        <w:trPr>
          <w:tblHeader/>
        </w:trPr>
        <w:tc>
          <w:tcPr>
            <w:tcW w:type="dxa" w:w="21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Role</w:t>
            </w:r>
          </w:p>
        </w:tc>
        <w:tc>
          <w:tcPr>
            <w:tcW w:type="dxa" w:w="3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DO here</w:t>
            </w:r>
          </w:p>
        </w:tc>
        <w:tc>
          <w:tcPr>
            <w:tcW w:type="dxa" w:w="32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What they SEE here</w:t>
            </w:r>
          </w:p>
        </w:tc>
      </w:tr>
      <w:tr>
        <w:tc>
          <w:tcPr>
            <w:tcW w:type="dxa" w:w="2100"/>
            <w:tcMar>
              <w:top w:type="dxa" w:w="50"/>
              <w:left w:type="dxa" w:w="90"/>
              <w:bottom w:type="dxa" w:w="50"/>
              <w:right w:type="dxa" w:w="90"/>
            </w:tcMar>
            <w:vAlign w:val="center"/>
          </w:tcPr>
          <w:p>
            <w:pPr>
              <w:spacing w:after="0" w:line="240"/>
            </w:pPr>
            <w:r>
              <w:rPr>
                <w:b/>
                <w:bCs/>
                <w:color w:val="B0341D"/>
                <w:sz w:val="18"/>
                <w:szCs w:val="18"/>
              </w:rPr>
              <w:t xml:space="preserve">CEO</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God-Mode purge via PIN (only role that can hard-delete)</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Full immutable ledger incl. purge payloads</w:t>
            </w:r>
          </w:p>
        </w:tc>
      </w:tr>
      <w:tr>
        <w:tc>
          <w:tcPr>
            <w:tcW w:type="dxa" w:w="2100"/>
            <w:shd w:fill="F4F8F9" w:color="auto" w:val="clear"/>
            <w:tcMar>
              <w:top w:type="dxa" w:w="50"/>
              <w:left w:type="dxa" w:w="90"/>
              <w:bottom w:type="dxa" w:w="50"/>
              <w:right w:type="dxa" w:w="90"/>
            </w:tcMar>
            <w:vAlign w:val="center"/>
          </w:tcPr>
          <w:p>
            <w:pPr>
              <w:spacing w:after="0" w:line="240"/>
            </w:pPr>
            <w:r>
              <w:rPr>
                <w:b/>
                <w:bCs/>
                <w:color w:val="0A1128"/>
                <w:sz w:val="18"/>
                <w:szCs w:val="18"/>
              </w:rPr>
              <w:t xml:space="preserve">Super Admin</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Soft-delete; restore; read the trail; kill sessions</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The whole audit trail — but cannot purge</w:t>
            </w:r>
          </w:p>
        </w:tc>
      </w:tr>
      <w:tr>
        <w:tc>
          <w:tcPr>
            <w:tcW w:type="dxa" w:w="2100"/>
            <w:tcMar>
              <w:top w:type="dxa" w:w="50"/>
              <w:left w:type="dxa" w:w="90"/>
              <w:bottom w:type="dxa" w:w="50"/>
              <w:right w:type="dxa" w:w="90"/>
            </w:tcMar>
            <w:vAlign w:val="center"/>
          </w:tcPr>
          <w:p>
            <w:pPr>
              <w:spacing w:after="0" w:line="240"/>
            </w:pPr>
            <w:r>
              <w:rPr>
                <w:b w:val="false"/>
                <w:bCs w:val="false"/>
                <w:color w:val="0A1128"/>
                <w:sz w:val="18"/>
                <w:szCs w:val="18"/>
              </w:rPr>
              <w:t xml:space="preserve">Second Admin</w:t>
            </w:r>
          </w:p>
        </w:tc>
        <w:tc>
          <w:tcPr>
            <w:tcW w:type="dxa" w:w="3700"/>
            <w:tcMar>
              <w:top w:type="dxa" w:w="50"/>
              <w:left w:type="dxa" w:w="90"/>
              <w:bottom w:type="dxa" w:w="50"/>
              <w:right w:type="dxa" w:w="90"/>
            </w:tcMar>
            <w:vAlign w:val="center"/>
          </w:tcPr>
          <w:p>
            <w:pPr>
              <w:spacing w:after="0" w:line="240"/>
            </w:pPr>
            <w:r>
              <w:rPr>
                <w:b w:val="false"/>
                <w:bCs w:val="false"/>
                <w:color w:val="0A1128"/>
                <w:sz w:val="18"/>
                <w:szCs w:val="18"/>
              </w:rPr>
              <w:t xml:space="preserve">Co-approves restores</w:t>
            </w:r>
          </w:p>
        </w:tc>
        <w:tc>
          <w:tcPr>
            <w:tcW w:type="dxa" w:w="3226"/>
            <w:tcMar>
              <w:top w:type="dxa" w:w="50"/>
              <w:left w:type="dxa" w:w="90"/>
              <w:bottom w:type="dxa" w:w="50"/>
              <w:right w:type="dxa" w:w="90"/>
            </w:tcMar>
            <w:vAlign w:val="center"/>
          </w:tcPr>
          <w:p>
            <w:pPr>
              <w:spacing w:after="0" w:line="240"/>
            </w:pPr>
            <w:r>
              <w:rPr>
                <w:b w:val="false"/>
                <w:bCs w:val="false"/>
                <w:color w:val="0A1128"/>
                <w:sz w:val="18"/>
                <w:szCs w:val="18"/>
              </w:rPr>
              <w:t xml:space="preserve">The action being restored</w:t>
            </w:r>
          </w:p>
        </w:tc>
      </w:tr>
      <w:tr>
        <w:tc>
          <w:tcPr>
            <w:tcW w:type="dxa" w:w="21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External Auditor</w:t>
            </w:r>
          </w:p>
        </w:tc>
        <w:tc>
          <w:tcPr>
            <w:tcW w:type="dxa" w:w="37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Reads the trail</w:t>
            </w:r>
          </w:p>
        </w:tc>
        <w:tc>
          <w:tcPr>
            <w:tcW w:type="dxa" w:w="32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Time-boxed, read-only</w:t>
            </w:r>
          </w:p>
        </w:tc>
      </w:tr>
    </w:tbl>
    <w:tbl>
      <w:tblPr>
        <w:tblW w:type="dxa" w:w="9026"/>
        <w:tblBorders>
          <w:top w:val="single" w:color="E2E8EC" w:sz="1"/>
          <w:left w:val="single" w:color="B0341D" w:sz="18"/>
          <w:bottom w:val="single" w:color="E2E8EC" w:sz="1"/>
          <w:right w:val="single" w:color="E2E8EC" w:sz="1"/>
          <w:insideH w:val="single" w:color="E2E8EC" w:sz="1"/>
          <w:insideV w:val="single" w:color="E2E8EC" w:sz="1"/>
        </w:tblBorders>
      </w:tblPr>
      <w:tblGrid>
        <w:gridCol w:w="9026"/>
      </w:tblGrid>
      <w:tr>
        <w:tc>
          <w:tcPr>
            <w:tcW w:type="dxa" w:w="9026"/>
            <w:shd w:fill="FBF1EF" w:color="auto" w:val="clear"/>
            <w:tcMar>
              <w:top w:type="dxa" w:w="120"/>
              <w:left w:type="dxa" w:w="190"/>
              <w:bottom w:type="dxa" w:w="120"/>
              <w:right w:type="dxa" w:w="150"/>
            </w:tcMar>
          </w:tcPr>
          <w:p>
            <w:pPr>
              <w:spacing w:after="60"/>
            </w:pPr>
            <w:r>
              <w:rPr>
                <w:b/>
                <w:bCs/>
                <w:color w:val="B0341D"/>
                <w:sz w:val="21"/>
                <w:szCs w:val="21"/>
              </w:rPr>
              <w:t xml:space="preserve">The deletion rule, in one breath</w:t>
            </w:r>
          </w:p>
          <w:p>
            <w:pPr>
              <w:spacing w:after="0" w:line="256"/>
            </w:pPr>
            <w:r>
              <w:rPr>
                <w:b/>
                <w:bCs/>
              </w:rPr>
              <w:t xml:space="preserve">Soft-delete (reversible, two admins) is the everyday norm. </w:t>
            </w:r>
            <w:r>
              <w:t xml:space="preserve">Hard purge is CEO-only, PIN-gated, and itself permanently logged with everything it removed. Power is concentrated and accountable — never silent.</w:t>
            </w:r>
          </w:p>
        </w:tc>
      </w:tr>
    </w:tbl>
    <w:p>
      <w:r>
        <w:br w:type="page"/>
      </w:r>
    </w:p>
    <w:p>
      <w:pPr>
        <w:pStyle w:val="Heading1"/>
        <w:spacing w:after="140" w:before="280"/>
      </w:pPr>
      <w:r>
        <w:t xml:space="preserve">Who sees the sensitive numbers</w:t>
      </w:r>
    </w:p>
    <w:p>
      <w:pPr>
        <w:spacing w:after="110" w:line="264"/>
      </w:pPr>
      <w:r>
        <w:t xml:space="preserve">Field-level confidentiality is applied to the same screens, so the data — not the page — decides who sees what. The headline rules:</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700"/>
        <w:gridCol w:w="3263"/>
        <w:gridCol w:w="3063"/>
      </w:tblGrid>
      <w:tr>
        <w:trPr>
          <w:tblHeader/>
        </w:trPr>
        <w:tc>
          <w:tcPr>
            <w:tcW w:type="dxa" w:w="27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Sensitive data</w:t>
            </w:r>
          </w:p>
        </w:tc>
        <w:tc>
          <w:tcPr>
            <w:tcW w:type="dxa" w:w="3263"/>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Can see</w:t>
            </w:r>
          </w:p>
        </w:tc>
        <w:tc>
          <w:tcPr>
            <w:tcW w:type="dxa" w:w="3063"/>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Hidden / masked from</w:t>
            </w:r>
          </w:p>
        </w:tc>
      </w:tr>
      <w:tr>
        <w:tc>
          <w:tcPr>
            <w:tcW w:type="dxa" w:w="2700"/>
            <w:tcMar>
              <w:top w:type="dxa" w:w="50"/>
              <w:left w:type="dxa" w:w="90"/>
              <w:bottom w:type="dxa" w:w="50"/>
              <w:right w:type="dxa" w:w="90"/>
            </w:tcMar>
            <w:vAlign w:val="center"/>
          </w:tcPr>
          <w:p>
            <w:pPr>
              <w:spacing w:after="0" w:line="240"/>
            </w:pPr>
            <w:r>
              <w:rPr>
                <w:b/>
                <w:bCs/>
                <w:color w:val="0A1128"/>
                <w:sz w:val="18"/>
                <w:szCs w:val="18"/>
              </w:rPr>
              <w:t xml:space="preserve">Job margins &amp; profitability</w:t>
            </w:r>
          </w:p>
        </w:tc>
        <w:tc>
          <w:tcPr>
            <w:tcW w:type="dxa" w:w="3263"/>
            <w:tcMar>
              <w:top w:type="dxa" w:w="50"/>
              <w:left w:type="dxa" w:w="90"/>
              <w:bottom w:type="dxa" w:w="50"/>
              <w:right w:type="dxa" w:w="90"/>
            </w:tcMar>
            <w:vAlign w:val="center"/>
          </w:tcPr>
          <w:p>
            <w:pPr>
              <w:spacing w:after="0" w:line="240"/>
            </w:pPr>
            <w:r>
              <w:rPr>
                <w:b w:val="false"/>
                <w:bCs w:val="false"/>
                <w:color w:val="0A1128"/>
                <w:sz w:val="18"/>
                <w:szCs w:val="18"/>
              </w:rPr>
              <w:t xml:space="preserve">CEO, Management, Finance, Accountant</w:t>
            </w:r>
          </w:p>
        </w:tc>
        <w:tc>
          <w:tcPr>
            <w:tcW w:type="dxa" w:w="3063"/>
            <w:tcMar>
              <w:top w:type="dxa" w:w="50"/>
              <w:left w:type="dxa" w:w="90"/>
              <w:bottom w:type="dxa" w:w="50"/>
              <w:right w:type="dxa" w:w="90"/>
            </w:tcMar>
            <w:vAlign w:val="center"/>
          </w:tcPr>
          <w:p>
            <w:pPr>
              <w:spacing w:after="0" w:line="240"/>
            </w:pPr>
            <w:r>
              <w:rPr>
                <w:b w:val="false"/>
                <w:bCs w:val="false"/>
                <w:color w:val="0A1128"/>
                <w:sz w:val="18"/>
                <w:szCs w:val="18"/>
              </w:rPr>
              <w:t xml:space="preserve">Sales, Operations, Warehouse, Fleet, Procurement, all portals</w:t>
            </w:r>
          </w:p>
        </w:tc>
      </w:tr>
      <w:tr>
        <w:tc>
          <w:tcPr>
            <w:tcW w:type="dxa" w:w="2700"/>
            <w:shd w:fill="F4F8F9" w:color="auto" w:val="clear"/>
            <w:tcMar>
              <w:top w:type="dxa" w:w="50"/>
              <w:left w:type="dxa" w:w="90"/>
              <w:bottom w:type="dxa" w:w="50"/>
              <w:right w:type="dxa" w:w="90"/>
            </w:tcMar>
            <w:vAlign w:val="center"/>
          </w:tcPr>
          <w:p>
            <w:pPr>
              <w:spacing w:after="0" w:line="240"/>
            </w:pPr>
            <w:r>
              <w:rPr>
                <w:b/>
                <w:bCs/>
                <w:color w:val="0A1128"/>
                <w:sz w:val="18"/>
                <w:szCs w:val="18"/>
              </w:rPr>
              <w:t xml:space="preserve">Salaries &amp; payroll detail</w:t>
            </w:r>
          </w:p>
        </w:tc>
        <w:tc>
          <w:tcPr>
            <w:tcW w:type="dxa" w:w="3263"/>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HR, CEO, (Finance: totals only)</w:t>
            </w:r>
          </w:p>
        </w:tc>
        <w:tc>
          <w:tcPr>
            <w:tcW w:type="dxa" w:w="3063"/>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Everyone else, including Management line detail</w:t>
            </w:r>
          </w:p>
        </w:tc>
      </w:tr>
      <w:tr>
        <w:tc>
          <w:tcPr>
            <w:tcW w:type="dxa" w:w="2700"/>
            <w:tcMar>
              <w:top w:type="dxa" w:w="50"/>
              <w:left w:type="dxa" w:w="90"/>
              <w:bottom w:type="dxa" w:w="50"/>
              <w:right w:type="dxa" w:w="90"/>
            </w:tcMar>
            <w:vAlign w:val="center"/>
          </w:tcPr>
          <w:p>
            <w:pPr>
              <w:spacing w:after="0" w:line="240"/>
            </w:pPr>
            <w:r>
              <w:rPr>
                <w:b/>
                <w:bCs/>
                <w:color w:val="0A1128"/>
                <w:sz w:val="18"/>
                <w:szCs w:val="18"/>
              </w:rPr>
              <w:t xml:space="preserve">Supplier cost rates</w:t>
            </w:r>
          </w:p>
        </w:tc>
        <w:tc>
          <w:tcPr>
            <w:tcW w:type="dxa" w:w="3263"/>
            <w:tcMar>
              <w:top w:type="dxa" w:w="50"/>
              <w:left w:type="dxa" w:w="90"/>
              <w:bottom w:type="dxa" w:w="50"/>
              <w:right w:type="dxa" w:w="90"/>
            </w:tcMar>
            <w:vAlign w:val="center"/>
          </w:tcPr>
          <w:p>
            <w:pPr>
              <w:spacing w:after="0" w:line="240"/>
            </w:pPr>
            <w:r>
              <w:rPr>
                <w:b w:val="false"/>
                <w:bCs w:val="false"/>
                <w:color w:val="0A1128"/>
                <w:sz w:val="18"/>
                <w:szCs w:val="18"/>
              </w:rPr>
              <w:t xml:space="preserve">Finance, Accountant, Procurement, Management</w:t>
            </w:r>
          </w:p>
        </w:tc>
        <w:tc>
          <w:tcPr>
            <w:tcW w:type="dxa" w:w="3063"/>
            <w:tcMar>
              <w:top w:type="dxa" w:w="50"/>
              <w:left w:type="dxa" w:w="90"/>
              <w:bottom w:type="dxa" w:w="50"/>
              <w:right w:type="dxa" w:w="90"/>
            </w:tcMar>
            <w:vAlign w:val="center"/>
          </w:tcPr>
          <w:p>
            <w:pPr>
              <w:spacing w:after="0" w:line="240"/>
            </w:pPr>
            <w:r>
              <w:rPr>
                <w:b w:val="false"/>
                <w:bCs w:val="false"/>
                <w:color w:val="0A1128"/>
                <w:sz w:val="18"/>
                <w:szCs w:val="18"/>
              </w:rPr>
              <w:t xml:space="preserve">Sales, Operations, clients</w:t>
            </w:r>
          </w:p>
        </w:tc>
      </w:tr>
      <w:tr>
        <w:tc>
          <w:tcPr>
            <w:tcW w:type="dxa" w:w="2700"/>
            <w:shd w:fill="F4F8F9" w:color="auto" w:val="clear"/>
            <w:tcMar>
              <w:top w:type="dxa" w:w="50"/>
              <w:left w:type="dxa" w:w="90"/>
              <w:bottom w:type="dxa" w:w="50"/>
              <w:right w:type="dxa" w:w="90"/>
            </w:tcMar>
            <w:vAlign w:val="center"/>
          </w:tcPr>
          <w:p>
            <w:pPr>
              <w:spacing w:after="0" w:line="240"/>
            </w:pPr>
            <w:r>
              <w:rPr>
                <w:b/>
                <w:bCs/>
                <w:color w:val="0A1128"/>
                <w:sz w:val="18"/>
                <w:szCs w:val="18"/>
              </w:rPr>
              <w:t xml:space="preserve">Full general ledger</w:t>
            </w:r>
          </w:p>
        </w:tc>
        <w:tc>
          <w:tcPr>
            <w:tcW w:type="dxa" w:w="3263"/>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Accountant, Finance, CEO, Auditor (read)</w:t>
            </w:r>
          </w:p>
        </w:tc>
        <w:tc>
          <w:tcPr>
            <w:tcW w:type="dxa" w:w="3063"/>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All operational roles</w:t>
            </w:r>
          </w:p>
        </w:tc>
      </w:tr>
      <w:tr>
        <w:tc>
          <w:tcPr>
            <w:tcW w:type="dxa" w:w="2700"/>
            <w:tcMar>
              <w:top w:type="dxa" w:w="50"/>
              <w:left w:type="dxa" w:w="90"/>
              <w:bottom w:type="dxa" w:w="50"/>
              <w:right w:type="dxa" w:w="90"/>
            </w:tcMar>
            <w:vAlign w:val="center"/>
          </w:tcPr>
          <w:p>
            <w:pPr>
              <w:spacing w:after="0" w:line="240"/>
            </w:pPr>
            <w:r>
              <w:rPr>
                <w:b/>
                <w:bCs/>
                <w:color w:val="0A1128"/>
                <w:sz w:val="18"/>
                <w:szCs w:val="18"/>
              </w:rPr>
              <w:t xml:space="preserve">Other tenants’ data</w:t>
            </w:r>
          </w:p>
        </w:tc>
        <w:tc>
          <w:tcPr>
            <w:tcW w:type="dxa" w:w="3263"/>
            <w:tcMar>
              <w:top w:type="dxa" w:w="50"/>
              <w:left w:type="dxa" w:w="90"/>
              <w:bottom w:type="dxa" w:w="50"/>
              <w:right w:type="dxa" w:w="90"/>
            </w:tcMar>
            <w:vAlign w:val="center"/>
          </w:tcPr>
          <w:p>
            <w:pPr>
              <w:spacing w:after="0" w:line="240"/>
            </w:pPr>
            <w:r>
              <w:rPr>
                <w:b w:val="false"/>
                <w:bCs w:val="false"/>
                <w:color w:val="0A1128"/>
                <w:sz w:val="18"/>
                <w:szCs w:val="18"/>
              </w:rPr>
              <w:t xml:space="preserve">No one across the boundary</w:t>
            </w:r>
          </w:p>
        </w:tc>
        <w:tc>
          <w:tcPr>
            <w:tcW w:type="dxa" w:w="3063"/>
            <w:tcMar>
              <w:top w:type="dxa" w:w="50"/>
              <w:left w:type="dxa" w:w="90"/>
              <w:bottom w:type="dxa" w:w="50"/>
              <w:right w:type="dxa" w:w="90"/>
            </w:tcMar>
            <w:vAlign w:val="center"/>
          </w:tcPr>
          <w:p>
            <w:pPr>
              <w:spacing w:after="0" w:line="240"/>
            </w:pPr>
            <w:r>
              <w:rPr>
                <w:b w:val="false"/>
                <w:bCs w:val="false"/>
                <w:color w:val="0A1128"/>
                <w:sz w:val="18"/>
                <w:szCs w:val="18"/>
              </w:rPr>
              <w:t xml:space="preserve">Every role — enforced by isolation</w:t>
            </w:r>
          </w:p>
        </w:tc>
      </w:tr>
    </w:tbl>
    <w:p>
      <w:pPr>
        <w:pStyle w:val="Heading1"/>
        <w:spacing w:after="140" w:before="280"/>
      </w:pPr>
      <w:r>
        <w:t xml:space="preserve">The authority overlay — segregation of duties</w:t>
      </w:r>
    </w:p>
    <w:p>
      <w:pPr>
        <w:spacing w:after="110" w:line="264"/>
      </w:pPr>
      <w:r>
        <w:t xml:space="preserve">Independent of role, these document types must pass through different hands. The Smart Compliance Layer blocks one person from holding two conflicting hats on the same document.</w:t>
      </w:r>
    </w:p>
    <w:tbl>
      <w:tblPr>
        <w:tblW w:type="dxa" w:w="9026"/>
        <w:tblBorders>
          <w:top w:val="single" w:color="CDD9DE" w:sz="1"/>
          <w:left w:val="single" w:color="CDD9DE" w:sz="1"/>
          <w:bottom w:val="single" w:color="CDD9DE" w:sz="1"/>
          <w:right w:val="single" w:color="CDD9DE" w:sz="1"/>
          <w:insideH w:val="single" w:color="CDD9DE" w:sz="1"/>
          <w:insideV w:val="single" w:color="CDD9DE" w:sz="1"/>
        </w:tblBorders>
      </w:tblPr>
      <w:tblGrid>
        <w:gridCol w:w="2200"/>
        <w:gridCol w:w="2300"/>
        <w:gridCol w:w="2200"/>
        <w:gridCol w:w="2326"/>
      </w:tblGrid>
      <w:tr>
        <w:trPr>
          <w:tblHeader/>
        </w:trPr>
        <w:tc>
          <w:tcPr>
            <w:tcW w:type="dxa" w:w="22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Document</w:t>
            </w:r>
          </w:p>
        </w:tc>
        <w:tc>
          <w:tcPr>
            <w:tcW w:type="dxa" w:w="23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Issuer (creates)</w:t>
            </w:r>
          </w:p>
        </w:tc>
        <w:tc>
          <w:tcPr>
            <w:tcW w:type="dxa" w:w="220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Validator (checks)</w:t>
            </w:r>
          </w:p>
        </w:tc>
        <w:tc>
          <w:tcPr>
            <w:tcW w:type="dxa" w:w="2326"/>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Approver (authorises)</w:t>
            </w:r>
          </w:p>
        </w:tc>
      </w:tr>
      <w:tr>
        <w:tc>
          <w:tcPr>
            <w:tcW w:type="dxa" w:w="2200"/>
            <w:tcMar>
              <w:top w:type="dxa" w:w="50"/>
              <w:left w:type="dxa" w:w="90"/>
              <w:bottom w:type="dxa" w:w="50"/>
              <w:right w:type="dxa" w:w="90"/>
            </w:tcMar>
            <w:vAlign w:val="center"/>
          </w:tcPr>
          <w:p>
            <w:pPr>
              <w:spacing w:after="0" w:line="240"/>
            </w:pPr>
            <w:r>
              <w:rPr>
                <w:b w:val="false"/>
                <w:bCs w:val="false"/>
                <w:color w:val="0A1128"/>
                <w:sz w:val="18"/>
                <w:szCs w:val="18"/>
              </w:rPr>
              <w:t xml:space="preserve">Costing</w:t>
            </w:r>
          </w:p>
        </w:tc>
        <w:tc>
          <w:tcPr>
            <w:tcW w:type="dxa" w:w="2300"/>
            <w:tcMar>
              <w:top w:type="dxa" w:w="50"/>
              <w:left w:type="dxa" w:w="90"/>
              <w:bottom w:type="dxa" w:w="50"/>
              <w:right w:type="dxa" w:w="90"/>
            </w:tcMar>
            <w:vAlign w:val="center"/>
          </w:tcPr>
          <w:p>
            <w:pPr>
              <w:spacing w:after="0" w:line="240"/>
            </w:pPr>
            <w:r>
              <w:rPr>
                <w:b w:val="false"/>
                <w:bCs w:val="false"/>
                <w:color w:val="0A1128"/>
                <w:sz w:val="18"/>
                <w:szCs w:val="18"/>
              </w:rPr>
              <w:t xml:space="preserve">Operations / Commercial</w:t>
            </w:r>
          </w:p>
        </w:tc>
        <w:tc>
          <w:tcPr>
            <w:tcW w:type="dxa" w:w="2200"/>
            <w:tcMar>
              <w:top w:type="dxa" w:w="50"/>
              <w:left w:type="dxa" w:w="90"/>
              <w:bottom w:type="dxa" w:w="50"/>
              <w:right w:type="dxa" w:w="90"/>
            </w:tcMar>
            <w:vAlign w:val="center"/>
          </w:tcPr>
          <w:p>
            <w:pPr>
              <w:spacing w:after="0" w:line="240"/>
            </w:pPr>
            <w:r>
              <w:rPr>
                <w:b w:val="false"/>
                <w:bCs w:val="false"/>
                <w:color w:val="0A1128"/>
                <w:sz w:val="18"/>
                <w:szCs w:val="18"/>
              </w:rPr>
              <w:t xml:space="preserve">Finance</w:t>
            </w:r>
          </w:p>
        </w:tc>
        <w:tc>
          <w:tcPr>
            <w:tcW w:type="dxa" w:w="2326"/>
            <w:tcMar>
              <w:top w:type="dxa" w:w="50"/>
              <w:left w:type="dxa" w:w="90"/>
              <w:bottom w:type="dxa" w:w="50"/>
              <w:right w:type="dxa" w:w="90"/>
            </w:tcMar>
            <w:vAlign w:val="center"/>
          </w:tcPr>
          <w:p>
            <w:pPr>
              <w:spacing w:after="0" w:line="240"/>
            </w:pPr>
            <w:r>
              <w:rPr>
                <w:b w:val="false"/>
                <w:bCs w:val="false"/>
                <w:color w:val="0A1128"/>
                <w:sz w:val="18"/>
                <w:szCs w:val="18"/>
              </w:rPr>
              <w:t xml:space="preserve">Management</w:t>
            </w:r>
          </w:p>
        </w:tc>
      </w:tr>
      <w:tr>
        <w:tc>
          <w:tcPr>
            <w:tcW w:type="dxa" w:w="22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Invoice</w:t>
            </w:r>
          </w:p>
        </w:tc>
        <w:tc>
          <w:tcPr>
            <w:tcW w:type="dxa" w:w="23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Finance</w:t>
            </w:r>
          </w:p>
        </w:tc>
        <w:tc>
          <w:tcPr>
            <w:tcW w:type="dxa" w:w="22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Finance (2nd)</w:t>
            </w:r>
          </w:p>
        </w:tc>
        <w:tc>
          <w:tcPr>
            <w:tcW w:type="dxa" w:w="23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Management / CEO (by value)</w:t>
            </w:r>
          </w:p>
        </w:tc>
      </w:tr>
      <w:tr>
        <w:tc>
          <w:tcPr>
            <w:tcW w:type="dxa" w:w="2200"/>
            <w:tcMar>
              <w:top w:type="dxa" w:w="50"/>
              <w:left w:type="dxa" w:w="90"/>
              <w:bottom w:type="dxa" w:w="50"/>
              <w:right w:type="dxa" w:w="90"/>
            </w:tcMar>
            <w:vAlign w:val="center"/>
          </w:tcPr>
          <w:p>
            <w:pPr>
              <w:spacing w:after="0" w:line="240"/>
            </w:pPr>
            <w:r>
              <w:rPr>
                <w:b w:val="false"/>
                <w:bCs w:val="false"/>
                <w:color w:val="0A1128"/>
                <w:sz w:val="18"/>
                <w:szCs w:val="18"/>
              </w:rPr>
              <w:t xml:space="preserve">Payment / disbursal</w:t>
            </w:r>
          </w:p>
        </w:tc>
        <w:tc>
          <w:tcPr>
            <w:tcW w:type="dxa" w:w="2300"/>
            <w:tcMar>
              <w:top w:type="dxa" w:w="50"/>
              <w:left w:type="dxa" w:w="90"/>
              <w:bottom w:type="dxa" w:w="50"/>
              <w:right w:type="dxa" w:w="90"/>
            </w:tcMar>
            <w:vAlign w:val="center"/>
          </w:tcPr>
          <w:p>
            <w:pPr>
              <w:spacing w:after="0" w:line="240"/>
            </w:pPr>
            <w:r>
              <w:rPr>
                <w:b w:val="false"/>
                <w:bCs w:val="false"/>
                <w:color w:val="0A1128"/>
                <w:sz w:val="18"/>
                <w:szCs w:val="18"/>
              </w:rPr>
              <w:t xml:space="preserve">Finance</w:t>
            </w:r>
          </w:p>
        </w:tc>
        <w:tc>
          <w:tcPr>
            <w:tcW w:type="dxa" w:w="2200"/>
            <w:tcMar>
              <w:top w:type="dxa" w:w="50"/>
              <w:left w:type="dxa" w:w="90"/>
              <w:bottom w:type="dxa" w:w="50"/>
              <w:right w:type="dxa" w:w="90"/>
            </w:tcMar>
            <w:vAlign w:val="center"/>
          </w:tcPr>
          <w:p>
            <w:pPr>
              <w:spacing w:after="0" w:line="240"/>
            </w:pPr>
            <w:r>
              <w:rPr>
                <w:b w:val="false"/>
                <w:bCs w:val="false"/>
                <w:color w:val="0A1128"/>
                <w:sz w:val="18"/>
                <w:szCs w:val="18"/>
              </w:rPr>
              <w:t xml:space="preserve">Accountant</w:t>
            </w:r>
          </w:p>
        </w:tc>
        <w:tc>
          <w:tcPr>
            <w:tcW w:type="dxa" w:w="2326"/>
            <w:tcMar>
              <w:top w:type="dxa" w:w="50"/>
              <w:left w:type="dxa" w:w="90"/>
              <w:bottom w:type="dxa" w:w="50"/>
              <w:right w:type="dxa" w:w="90"/>
            </w:tcMar>
            <w:vAlign w:val="center"/>
          </w:tcPr>
          <w:p>
            <w:pPr>
              <w:spacing w:after="0" w:line="240"/>
            </w:pPr>
            <w:r>
              <w:rPr>
                <w:b w:val="false"/>
                <w:bCs w:val="false"/>
                <w:color w:val="0A1128"/>
                <w:sz w:val="18"/>
                <w:szCs w:val="18"/>
              </w:rPr>
              <w:t xml:space="preserve">Approver by limit / CEO</w:t>
            </w:r>
          </w:p>
        </w:tc>
      </w:tr>
      <w:tr>
        <w:tc>
          <w:tcPr>
            <w:tcW w:type="dxa" w:w="22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Purchase order</w:t>
            </w:r>
          </w:p>
        </w:tc>
        <w:tc>
          <w:tcPr>
            <w:tcW w:type="dxa" w:w="23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Procurement</w:t>
            </w:r>
          </w:p>
        </w:tc>
        <w:tc>
          <w:tcPr>
            <w:tcW w:type="dxa" w:w="22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Finance</w:t>
            </w:r>
          </w:p>
        </w:tc>
        <w:tc>
          <w:tcPr>
            <w:tcW w:type="dxa" w:w="2326"/>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Approver by limit</w:t>
            </w:r>
          </w:p>
        </w:tc>
      </w:tr>
      <w:tr>
        <w:tc>
          <w:tcPr>
            <w:tcW w:type="dxa" w:w="2200"/>
            <w:tcMar>
              <w:top w:type="dxa" w:w="50"/>
              <w:left w:type="dxa" w:w="90"/>
              <w:bottom w:type="dxa" w:w="50"/>
              <w:right w:type="dxa" w:w="90"/>
            </w:tcMar>
            <w:vAlign w:val="center"/>
          </w:tcPr>
          <w:p>
            <w:pPr>
              <w:spacing w:after="0" w:line="240"/>
            </w:pPr>
            <w:r>
              <w:rPr>
                <w:b w:val="false"/>
                <w:bCs w:val="false"/>
                <w:color w:val="0A1128"/>
                <w:sz w:val="18"/>
                <w:szCs w:val="18"/>
              </w:rPr>
              <w:t xml:space="preserve">Journal entry</w:t>
            </w:r>
          </w:p>
        </w:tc>
        <w:tc>
          <w:tcPr>
            <w:tcW w:type="dxa" w:w="2300"/>
            <w:tcMar>
              <w:top w:type="dxa" w:w="50"/>
              <w:left w:type="dxa" w:w="90"/>
              <w:bottom w:type="dxa" w:w="50"/>
              <w:right w:type="dxa" w:w="90"/>
            </w:tcMar>
            <w:vAlign w:val="center"/>
          </w:tcPr>
          <w:p>
            <w:pPr>
              <w:spacing w:after="0" w:line="240"/>
            </w:pPr>
            <w:r>
              <w:rPr>
                <w:b w:val="false"/>
                <w:bCs w:val="false"/>
                <w:color w:val="0A1128"/>
                <w:sz w:val="18"/>
                <w:szCs w:val="18"/>
              </w:rPr>
              <w:t xml:space="preserve">Accountant</w:t>
            </w:r>
          </w:p>
        </w:tc>
        <w:tc>
          <w:tcPr>
            <w:tcW w:type="dxa" w:w="2200"/>
            <w:tcMar>
              <w:top w:type="dxa" w:w="50"/>
              <w:left w:type="dxa" w:w="90"/>
              <w:bottom w:type="dxa" w:w="50"/>
              <w:right w:type="dxa" w:w="90"/>
            </w:tcMar>
            <w:vAlign w:val="center"/>
          </w:tcPr>
          <w:p>
            <w:pPr>
              <w:spacing w:after="0" w:line="240"/>
            </w:pPr>
            <w:r>
              <w:rPr>
                <w:b w:val="false"/>
                <w:bCs w:val="false"/>
                <w:color w:val="0A1128"/>
                <w:sz w:val="18"/>
                <w:szCs w:val="18"/>
              </w:rPr>
              <w:t xml:space="preserve">Accountant (2nd)</w:t>
            </w:r>
          </w:p>
        </w:tc>
        <w:tc>
          <w:tcPr>
            <w:tcW w:type="dxa" w:w="2326"/>
            <w:tcMar>
              <w:top w:type="dxa" w:w="50"/>
              <w:left w:type="dxa" w:w="90"/>
              <w:bottom w:type="dxa" w:w="50"/>
              <w:right w:type="dxa" w:w="90"/>
            </w:tcMar>
            <w:vAlign w:val="center"/>
          </w:tcPr>
          <w:p>
            <w:pPr>
              <w:spacing w:after="0" w:line="240"/>
            </w:pPr>
            <w:r>
              <w:rPr>
                <w:b w:val="false"/>
                <w:bCs w:val="false"/>
                <w:color w:val="0A1128"/>
                <w:sz w:val="18"/>
                <w:szCs w:val="18"/>
              </w:rPr>
              <w:t xml:space="preserve">Finance / CEO</w:t>
            </w:r>
          </w:p>
        </w:tc>
      </w:tr>
    </w:tbl>
    <w:p>
      <w:r>
        <w:br w:type="page"/>
      </w:r>
    </w:p>
    <w:p>
      <w:pPr>
        <w:pStyle w:val="Heading1"/>
        <w:spacing w:after="140" w:before="280"/>
      </w:pPr>
      <w:r>
        <w:t xml:space="preserve">“If we get 10 tenants, what happens?”</w:t>
      </w:r>
    </w:p>
    <w:p>
      <w:pPr>
        <w:spacing w:after="110" w:line="264"/>
      </w:pPr>
      <w:r>
        <w:t xml:space="preserve">A fair question, since you chose full multi-tenant now and step the server up per tenant. In short:</w:t>
      </w:r>
    </w:p>
    <w:p>
      <w:pPr>
        <w:pStyle w:val="ListParagraph"/>
        <w:numPr>
          <w:ilvl w:val="0"/>
          <w:numId w:val="2"/>
        </w:numPr>
        <w:spacing w:after="60" w:line="258"/>
      </w:pPr>
      <w:r>
        <w:rPr>
          <w:b/>
          <w:bCs/>
        </w:rPr>
        <w:t xml:space="preserve">Isolation holds: </w:t>
      </w:r>
      <w:r>
        <w:t xml:space="preserve">each tenant’s data stays separate (own schema/row-isolation in PostgreSQL), so more tenants never means leakage.</w:t>
      </w:r>
    </w:p>
    <w:p>
      <w:pPr>
        <w:pStyle w:val="ListParagraph"/>
        <w:numPr>
          <w:ilvl w:val="0"/>
          <w:numId w:val="2"/>
        </w:numPr>
        <w:spacing w:after="60" w:line="258"/>
      </w:pPr>
      <w:r>
        <w:rPr>
          <w:b/>
          <w:bCs/>
        </w:rPr>
        <w:t xml:space="preserve">Capacity is the variable, not correctness: </w:t>
      </w:r>
      <w:r>
        <w:t xml:space="preserve">one 12 GB box comfortably serves the first tenant. As tenants and load grow, you step up (24 GB / 8-core, then more), and — because the app is containerized — heavy parts (AI worker, reporting, WMS) can move to their own machine without a rewrite.</w:t>
      </w:r>
    </w:p>
    <w:p>
      <w:pPr>
        <w:pStyle w:val="ListParagraph"/>
        <w:numPr>
          <w:ilvl w:val="0"/>
          <w:numId w:val="2"/>
        </w:numPr>
        <w:spacing w:after="60" w:line="258"/>
      </w:pPr>
      <w:r>
        <w:rPr>
          <w:b/>
          <w:bCs/>
        </w:rPr>
        <w:t xml:space="preserve">Around 8–10 active tenants, </w:t>
      </w:r>
      <w:r>
        <w:t xml:space="preserve">the sensible move is to split services across two or three servers (app, database, jobs/AI) behind a load balancer — the Docker/k3s design already anticipates this, which is why we kept microservice boundaries even inside the early monolith.</w:t>
      </w:r>
    </w:p>
    <w:p>
      <w:pPr>
        <w:pStyle w:val="ListParagraph"/>
        <w:numPr>
          <w:ilvl w:val="0"/>
          <w:numId w:val="2"/>
        </w:numPr>
        <w:spacing w:after="60" w:line="258"/>
      </w:pPr>
      <w:r>
        <w:rPr>
          <w:b/>
          <w:bCs/>
        </w:rPr>
        <w:t xml:space="preserve">The watch-points: </w:t>
      </w:r>
      <w:r>
        <w:t xml:space="preserve">the shared PostgreSQL and the document store. Plan a read-replica for the database and move the vault to object storage (you chose local-for-now — revisit this before the 75 GB fills or the third tenant lands).</w:t>
      </w:r>
    </w:p>
    <w:tbl>
      <w:tblPr>
        <w:tblW w:type="dxa" w:w="9026"/>
        <w:tblBorders>
          <w:top w:val="single" w:color="E2E8EC" w:sz="1"/>
          <w:left w:val="single" w:color="0E7C86" w:sz="18"/>
          <w:bottom w:val="single" w:color="E2E8EC" w:sz="1"/>
          <w:right w:val="single" w:color="E2E8EC" w:sz="1"/>
          <w:insideH w:val="single" w:color="E2E8EC" w:sz="1"/>
          <w:insideV w:val="single" w:color="E2E8EC" w:sz="1"/>
        </w:tblBorders>
      </w:tblPr>
      <w:tblGrid>
        <w:gridCol w:w="9026"/>
      </w:tblGrid>
      <w:tr>
        <w:tc>
          <w:tcPr>
            <w:tcW w:type="dxa" w:w="9026"/>
            <w:shd w:fill="F2F8F9" w:color="auto" w:val="clear"/>
            <w:tcMar>
              <w:top w:type="dxa" w:w="120"/>
              <w:left w:type="dxa" w:w="190"/>
              <w:bottom w:type="dxa" w:w="120"/>
              <w:right w:type="dxa" w:w="150"/>
            </w:tcMar>
          </w:tcPr>
          <w:p>
            <w:pPr>
              <w:spacing w:after="60"/>
            </w:pPr>
            <w:r>
              <w:rPr>
                <w:b/>
                <w:bCs/>
                <w:color w:val="0E7C86"/>
                <w:sz w:val="21"/>
                <w:szCs w:val="21"/>
              </w:rPr>
              <w:t xml:space="preserve">Rule of thumb</w:t>
            </w:r>
          </w:p>
          <w:p>
            <w:pPr>
              <w:spacing w:after="0" w:line="256"/>
            </w:pPr>
            <w:r>
              <w:rPr>
                <w:sz w:val="20"/>
                <w:szCs w:val="20"/>
              </w:rPr>
              <w:t xml:space="preserve">1 tenant: the current box. 2–4 tenants: step RAM/cores up as planned. 5–10 tenants: separate the database and the AI/jobs worker onto their own servers. Beyond that: replicate the database and externalize the document store. Nothing here requires re-architecting — only adding hardware to a design that already expects it.</w:t>
            </w:r>
          </w:p>
        </w:tc>
      </w:tr>
    </w:tbl>
    <w:p>
      <w:pPr>
        <w:pStyle w:val="Heading1"/>
        <w:spacing w:after="140" w:before="280"/>
      </w:pPr>
      <w:r>
        <w:t xml:space="preserve">What happens next</w:t>
      </w:r>
    </w:p>
    <w:p>
      <w:pPr>
        <w:spacing w:after="110" w:line="264"/>
      </w:pPr>
      <w:r>
        <w:t xml:space="preserve">This journey is the human-readable contract for how the system behaves and who is trusted with what. From here we:</w:t>
      </w:r>
    </w:p>
    <w:p>
      <w:pPr>
        <w:pStyle w:val="ListParagraph"/>
        <w:numPr>
          <w:ilvl w:val="0"/>
          <w:numId w:val="2"/>
        </w:numPr>
        <w:spacing w:after="60" w:line="258"/>
      </w:pPr>
      <w:r>
        <w:t xml:space="preserve">Turn each stop into screen-level designs (the new UI/UX you’re building from scratch), keeping the access rules exactly as drawn here.</w:t>
      </w:r>
    </w:p>
    <w:p>
      <w:pPr>
        <w:pStyle w:val="ListParagraph"/>
        <w:numPr>
          <w:ilvl w:val="0"/>
          <w:numId w:val="2"/>
        </w:numPr>
        <w:spacing w:after="60" w:line="258"/>
      </w:pPr>
      <w:r>
        <w:t xml:space="preserve">Encode this RBAC — roles, capabilities, scopes, explicit CRUD and field rules — as the central policy every service checks.</w:t>
      </w:r>
    </w:p>
    <w:p>
      <w:pPr>
        <w:pStyle w:val="ListParagraph"/>
        <w:numPr>
          <w:ilvl w:val="0"/>
          <w:numId w:val="2"/>
        </w:numPr>
        <w:spacing w:after="60" w:line="258"/>
      </w:pPr>
      <w:r>
        <w:t xml:space="preserve">Sequence the build around the accounting core first, then operations, WMS/fleet, portals and AI, with your data migration to PostgreSQL run after the build, by you.</w:t>
      </w:r>
    </w:p>
    <w:p>
      <w:pPr>
        <w:spacing w:after="40"/>
      </w:pPr>
      <w:r>
        <w:t xml:space="preserve"/>
      </w:r>
    </w:p>
    <w:p>
      <w:pPr>
        <w:spacing w:after="110" w:line="264"/>
      </w:pPr>
      <w:r>
        <w:rPr>
          <w:i/>
          <w:iCs/>
          <w:color w:val="667085"/>
        </w:rPr>
        <w:t xml:space="preserve">Tell me where a role should do or see more (or less) than shown, and I’ll adjust the map before it becomes design.</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60"/>
      </w:pPr>
      <w:r>
        <w:t xml:space="preserve">The full access matrix — at a glance</w:t>
      </w:r>
    </w:p>
    <w:p>
      <w:pPr>
        <w:spacing w:after="120"/>
      </w:pPr>
      <w:r>
        <w:rPr>
          <w:b/>
          <w:bCs/>
          <w:sz w:val="18"/>
          <w:szCs w:val="18"/>
        </w:rPr>
        <w:t xml:space="preserve">Legend:  </w:t>
      </w:r>
      <w:r>
        <w:rPr>
          <w:color w:val="1E7D45"/>
          <w:sz w:val="18"/>
          <w:szCs w:val="18"/>
        </w:rPr>
        <w:t xml:space="preserve">● Full (create/edit/delete)   </w:t>
      </w:r>
      <w:r>
        <w:rPr>
          <w:color w:val="0E7C86"/>
          <w:sz w:val="18"/>
          <w:szCs w:val="18"/>
        </w:rPr>
        <w:t xml:space="preserve">◑ Create / edit   </w:t>
      </w:r>
      <w:r>
        <w:rPr>
          <w:color w:val="667085"/>
          <w:sz w:val="18"/>
          <w:szCs w:val="18"/>
        </w:rPr>
        <w:t xml:space="preserve">○ View only   </w:t>
      </w:r>
      <w:r>
        <w:rPr>
          <w:color w:val="B7791F"/>
          <w:sz w:val="18"/>
          <w:szCs w:val="18"/>
        </w:rPr>
        <w:t xml:space="preserve">▲ Approve   </w:t>
      </w:r>
      <w:r>
        <w:rPr>
          <w:color w:val="667085"/>
          <w:sz w:val="18"/>
          <w:szCs w:val="18"/>
        </w:rPr>
        <w:t xml:space="preserve">– none</w:t>
      </w:r>
    </w:p>
    <w:tbl>
      <w:tblPr>
        <w:tblW w:type="dxa" w:w="13958"/>
        <w:tblBorders>
          <w:top w:val="single" w:color="CDD9DE" w:sz="1"/>
          <w:left w:val="single" w:color="CDD9DE" w:sz="1"/>
          <w:bottom w:val="single" w:color="CDD9DE" w:sz="1"/>
          <w:right w:val="single" w:color="CDD9DE" w:sz="1"/>
          <w:insideH w:val="single" w:color="CDD9DE" w:sz="1"/>
          <w:insideV w:val="single" w:color="CDD9DE" w:sz="1"/>
        </w:tblBorders>
      </w:tblPr>
      <w:tblGrid>
        <w:gridCol w:w="2750"/>
        <w:gridCol w:w="1018"/>
        <w:gridCol w:w="1018"/>
        <w:gridCol w:w="1018"/>
        <w:gridCol w:w="1018"/>
        <w:gridCol w:w="1018"/>
        <w:gridCol w:w="1018"/>
        <w:gridCol w:w="1018"/>
        <w:gridCol w:w="1018"/>
        <w:gridCol w:w="1018"/>
        <w:gridCol w:w="1018"/>
        <w:gridCol w:w="1018"/>
      </w:tblGrid>
      <w:tr>
        <w:trPr>
          <w:tblHeader/>
        </w:trPr>
        <w:tc>
          <w:tcPr>
            <w:tcW w:type="dxa" w:w="2750"/>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Module group</w:t>
            </w:r>
          </w:p>
        </w:tc>
        <w:tc>
          <w:tcPr>
            <w:tcW w:type="dxa" w:w="1018"/>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SA</w:t>
            </w:r>
          </w:p>
        </w:tc>
        <w:tc>
          <w:tcPr>
            <w:tcW w:type="dxa" w:w="1018"/>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CEO</w:t>
            </w:r>
          </w:p>
        </w:tc>
        <w:tc>
          <w:tcPr>
            <w:tcW w:type="dxa" w:w="1018"/>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MGT</w:t>
            </w:r>
          </w:p>
        </w:tc>
        <w:tc>
          <w:tcPr>
            <w:tcW w:type="dxa" w:w="1018"/>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FIN</w:t>
            </w:r>
          </w:p>
        </w:tc>
        <w:tc>
          <w:tcPr>
            <w:tcW w:type="dxa" w:w="1018"/>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ACC</w:t>
            </w:r>
          </w:p>
        </w:tc>
        <w:tc>
          <w:tcPr>
            <w:tcW w:type="dxa" w:w="1018"/>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SAL</w:t>
            </w:r>
          </w:p>
        </w:tc>
        <w:tc>
          <w:tcPr>
            <w:tcW w:type="dxa" w:w="1018"/>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OPS</w:t>
            </w:r>
          </w:p>
        </w:tc>
        <w:tc>
          <w:tcPr>
            <w:tcW w:type="dxa" w:w="1018"/>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WH</w:t>
            </w:r>
          </w:p>
        </w:tc>
        <w:tc>
          <w:tcPr>
            <w:tcW w:type="dxa" w:w="1018"/>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FLT</w:t>
            </w:r>
          </w:p>
        </w:tc>
        <w:tc>
          <w:tcPr>
            <w:tcW w:type="dxa" w:w="1018"/>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PRC</w:t>
            </w:r>
          </w:p>
        </w:tc>
        <w:tc>
          <w:tcPr>
            <w:tcW w:type="dxa" w:w="1018"/>
            <w:shd w:fill="0E7C86" w:color="auto" w:val="clear"/>
            <w:tcMar>
              <w:top w:type="dxa" w:w="50"/>
              <w:left w:type="dxa" w:w="90"/>
              <w:bottom w:type="dxa" w:w="50"/>
              <w:right w:type="dxa" w:w="90"/>
            </w:tcMar>
            <w:vAlign w:val="center"/>
          </w:tcPr>
          <w:p>
            <w:pPr>
              <w:spacing w:after="0" w:line="240"/>
            </w:pPr>
            <w:r>
              <w:rPr>
                <w:b/>
                <w:bCs/>
                <w:color w:val="FFFFFF"/>
                <w:sz w:val="18"/>
                <w:szCs w:val="18"/>
              </w:rPr>
              <w:t xml:space="preserve">HR</w:t>
            </w:r>
          </w:p>
        </w:tc>
      </w:tr>
      <w:tr>
        <w:tc>
          <w:tcPr>
            <w:tcW w:type="dxa" w:w="2750"/>
            <w:tcMar>
              <w:top w:type="dxa" w:w="50"/>
              <w:left w:type="dxa" w:w="90"/>
              <w:bottom w:type="dxa" w:w="50"/>
              <w:right w:type="dxa" w:w="90"/>
            </w:tcMar>
            <w:vAlign w:val="center"/>
          </w:tcPr>
          <w:p>
            <w:pPr>
              <w:spacing w:after="0" w:line="240"/>
            </w:pPr>
            <w:r>
              <w:rPr>
                <w:b/>
                <w:bCs/>
                <w:color w:val="0A1128"/>
                <w:sz w:val="17"/>
                <w:szCs w:val="17"/>
              </w:rPr>
              <w:t xml:space="preserve">Tenant / company setup</w:t>
            </w:r>
          </w:p>
        </w:tc>
        <w:tc>
          <w:tcPr>
            <w:tcW w:type="dxa" w:w="1018"/>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r>
        <w:tc>
          <w:tcPr>
            <w:tcW w:type="dxa" w:w="2750"/>
            <w:shd w:fill="F4F8F9" w:color="auto" w:val="clear"/>
            <w:tcMar>
              <w:top w:type="dxa" w:w="50"/>
              <w:left w:type="dxa" w:w="90"/>
              <w:bottom w:type="dxa" w:w="50"/>
              <w:right w:type="dxa" w:w="90"/>
            </w:tcMar>
            <w:vAlign w:val="center"/>
          </w:tcPr>
          <w:p>
            <w:pPr>
              <w:spacing w:after="0" w:line="240"/>
            </w:pPr>
            <w:r>
              <w:rPr>
                <w:b/>
                <w:bCs/>
                <w:color w:val="0A1128"/>
                <w:sz w:val="17"/>
                <w:szCs w:val="17"/>
              </w:rPr>
              <w:t xml:space="preserve">IAM &amp; user access</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B7791F"/>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r>
        <w:tc>
          <w:tcPr>
            <w:tcW w:type="dxa" w:w="2750"/>
            <w:tcMar>
              <w:top w:type="dxa" w:w="50"/>
              <w:left w:type="dxa" w:w="90"/>
              <w:bottom w:type="dxa" w:w="50"/>
              <w:right w:type="dxa" w:w="90"/>
            </w:tcMar>
            <w:vAlign w:val="center"/>
          </w:tcPr>
          <w:p>
            <w:pPr>
              <w:spacing w:after="0" w:line="240"/>
            </w:pPr>
            <w:r>
              <w:rPr>
                <w:b/>
                <w:bCs/>
                <w:color w:val="0A1128"/>
                <w:sz w:val="17"/>
                <w:szCs w:val="17"/>
              </w:rPr>
              <w:t xml:space="preserve">Master data &amp; dictionary</w:t>
            </w:r>
          </w:p>
        </w:tc>
        <w:tc>
          <w:tcPr>
            <w:tcW w:type="dxa" w:w="1018"/>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0E7C86"/>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r>
        <w:tc>
          <w:tcPr>
            <w:tcW w:type="dxa" w:w="2750"/>
            <w:shd w:fill="F4F8F9" w:color="auto" w:val="clear"/>
            <w:tcMar>
              <w:top w:type="dxa" w:w="50"/>
              <w:left w:type="dxa" w:w="90"/>
              <w:bottom w:type="dxa" w:w="50"/>
              <w:right w:type="dxa" w:w="90"/>
            </w:tcMar>
            <w:vAlign w:val="center"/>
          </w:tcPr>
          <w:p>
            <w:pPr>
              <w:spacing w:after="0" w:line="240"/>
            </w:pPr>
            <w:r>
              <w:rPr>
                <w:b/>
                <w:bCs/>
                <w:color w:val="0A1128"/>
                <w:sz w:val="17"/>
                <w:szCs w:val="17"/>
              </w:rPr>
              <w:t xml:space="preserve">Chart of accounts / tax</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0E7C86"/>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r>
        <w:tc>
          <w:tcPr>
            <w:tcW w:type="dxa" w:w="2750"/>
            <w:tcMar>
              <w:top w:type="dxa" w:w="50"/>
              <w:left w:type="dxa" w:w="90"/>
              <w:bottom w:type="dxa" w:w="50"/>
              <w:right w:type="dxa" w:w="90"/>
            </w:tcMar>
            <w:vAlign w:val="center"/>
          </w:tcPr>
          <w:p>
            <w:pPr>
              <w:spacing w:after="0" w:line="240"/>
            </w:pPr>
            <w:r>
              <w:rPr>
                <w:b/>
                <w:bCs/>
                <w:color w:val="0A1128"/>
                <w:sz w:val="17"/>
                <w:szCs w:val="17"/>
              </w:rPr>
              <w:t xml:space="preserve">HR &amp; payroll</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bCs/>
                <w:color w:val="1E7D45"/>
                <w:sz w:val="18"/>
                <w:szCs w:val="18"/>
              </w:rPr>
              <w:t xml:space="preserve">●</w:t>
            </w:r>
          </w:p>
        </w:tc>
      </w:tr>
      <w:tr>
        <w:tc>
          <w:tcPr>
            <w:tcW w:type="dxa" w:w="2750"/>
            <w:shd w:fill="F4F8F9" w:color="auto" w:val="clear"/>
            <w:tcMar>
              <w:top w:type="dxa" w:w="50"/>
              <w:left w:type="dxa" w:w="90"/>
              <w:bottom w:type="dxa" w:w="50"/>
              <w:right w:type="dxa" w:w="90"/>
            </w:tcMar>
            <w:vAlign w:val="center"/>
          </w:tcPr>
          <w:p>
            <w:pPr>
              <w:spacing w:after="0" w:line="240"/>
            </w:pPr>
            <w:r>
              <w:rPr>
                <w:b/>
                <w:bCs/>
                <w:color w:val="0A1128"/>
                <w:sz w:val="17"/>
                <w:szCs w:val="17"/>
              </w:rPr>
              <w:t xml:space="preserve">Sales &amp; CRM</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B7791F"/>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r>
        <w:tc>
          <w:tcPr>
            <w:tcW w:type="dxa" w:w="2750"/>
            <w:tcMar>
              <w:top w:type="dxa" w:w="50"/>
              <w:left w:type="dxa" w:w="90"/>
              <w:bottom w:type="dxa" w:w="50"/>
              <w:right w:type="dxa" w:w="90"/>
            </w:tcMar>
            <w:vAlign w:val="center"/>
          </w:tcPr>
          <w:p>
            <w:pPr>
              <w:spacing w:after="0" w:line="240"/>
            </w:pPr>
            <w:r>
              <w:rPr>
                <w:b/>
                <w:bCs/>
                <w:color w:val="0A1128"/>
                <w:sz w:val="17"/>
                <w:szCs w:val="17"/>
              </w:rPr>
              <w:t xml:space="preserve">Commercial / pricing</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bCs/>
                <w:color w:val="B7791F"/>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bCs/>
                <w:color w:val="B7791F"/>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0E7C86"/>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r>
        <w:tc>
          <w:tcPr>
            <w:tcW w:type="dxa" w:w="2750"/>
            <w:shd w:fill="F4F8F9" w:color="auto" w:val="clear"/>
            <w:tcMar>
              <w:top w:type="dxa" w:w="50"/>
              <w:left w:type="dxa" w:w="90"/>
              <w:bottom w:type="dxa" w:w="50"/>
              <w:right w:type="dxa" w:w="90"/>
            </w:tcMar>
            <w:vAlign w:val="center"/>
          </w:tcPr>
          <w:p>
            <w:pPr>
              <w:spacing w:after="0" w:line="240"/>
            </w:pPr>
            <w:r>
              <w:rPr>
                <w:b/>
                <w:bCs/>
                <w:color w:val="0A1128"/>
                <w:sz w:val="17"/>
                <w:szCs w:val="17"/>
              </w:rPr>
              <w:t xml:space="preserve">Operations</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r>
        <w:tc>
          <w:tcPr>
            <w:tcW w:type="dxa" w:w="2750"/>
            <w:tcMar>
              <w:top w:type="dxa" w:w="50"/>
              <w:left w:type="dxa" w:w="90"/>
              <w:bottom w:type="dxa" w:w="50"/>
              <w:right w:type="dxa" w:w="90"/>
            </w:tcMar>
            <w:vAlign w:val="center"/>
          </w:tcPr>
          <w:p>
            <w:pPr>
              <w:spacing w:after="0" w:line="240"/>
            </w:pPr>
            <w:r>
              <w:rPr>
                <w:b/>
                <w:bCs/>
                <w:color w:val="0A1128"/>
                <w:sz w:val="17"/>
                <w:szCs w:val="17"/>
              </w:rPr>
              <w:t xml:space="preserve">Warehouse (WMS)</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r>
        <w:tc>
          <w:tcPr>
            <w:tcW w:type="dxa" w:w="2750"/>
            <w:shd w:fill="F4F8F9" w:color="auto" w:val="clear"/>
            <w:tcMar>
              <w:top w:type="dxa" w:w="50"/>
              <w:left w:type="dxa" w:w="90"/>
              <w:bottom w:type="dxa" w:w="50"/>
              <w:right w:type="dxa" w:w="90"/>
            </w:tcMar>
            <w:vAlign w:val="center"/>
          </w:tcPr>
          <w:p>
            <w:pPr>
              <w:spacing w:after="0" w:line="240"/>
            </w:pPr>
            <w:r>
              <w:rPr>
                <w:b/>
                <w:bCs/>
                <w:color w:val="0A1128"/>
                <w:sz w:val="17"/>
                <w:szCs w:val="17"/>
              </w:rPr>
              <w:t xml:space="preserve">Fleet</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r>
        <w:tc>
          <w:tcPr>
            <w:tcW w:type="dxa" w:w="2750"/>
            <w:tcMar>
              <w:top w:type="dxa" w:w="50"/>
              <w:left w:type="dxa" w:w="90"/>
              <w:bottom w:type="dxa" w:w="50"/>
              <w:right w:type="dxa" w:w="90"/>
            </w:tcMar>
            <w:vAlign w:val="center"/>
          </w:tcPr>
          <w:p>
            <w:pPr>
              <w:spacing w:after="0" w:line="240"/>
            </w:pPr>
            <w:r>
              <w:rPr>
                <w:b/>
                <w:bCs/>
                <w:color w:val="0A1128"/>
                <w:sz w:val="17"/>
                <w:szCs w:val="17"/>
              </w:rPr>
              <w:t xml:space="preserve">Ops costing</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bCs/>
                <w:color w:val="B7791F"/>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0E7C86"/>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r>
        <w:tc>
          <w:tcPr>
            <w:tcW w:type="dxa" w:w="2750"/>
            <w:shd w:fill="F4F8F9" w:color="auto" w:val="clear"/>
            <w:tcMar>
              <w:top w:type="dxa" w:w="50"/>
              <w:left w:type="dxa" w:w="90"/>
              <w:bottom w:type="dxa" w:w="50"/>
              <w:right w:type="dxa" w:w="90"/>
            </w:tcMar>
            <w:vAlign w:val="center"/>
          </w:tcPr>
          <w:p>
            <w:pPr>
              <w:spacing w:after="0" w:line="240"/>
            </w:pPr>
            <w:r>
              <w:rPr>
                <w:b/>
                <w:bCs/>
                <w:color w:val="0A1128"/>
                <w:sz w:val="17"/>
                <w:szCs w:val="17"/>
              </w:rPr>
              <w:t xml:space="preserve">Finance &amp; treasury</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B7791F"/>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B7791F"/>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r>
        <w:tc>
          <w:tcPr>
            <w:tcW w:type="dxa" w:w="2750"/>
            <w:tcMar>
              <w:top w:type="dxa" w:w="50"/>
              <w:left w:type="dxa" w:w="90"/>
              <w:bottom w:type="dxa" w:w="50"/>
              <w:right w:type="dxa" w:w="90"/>
            </w:tcMar>
            <w:vAlign w:val="center"/>
          </w:tcPr>
          <w:p>
            <w:pPr>
              <w:spacing w:after="0" w:line="240"/>
            </w:pPr>
            <w:r>
              <w:rPr>
                <w:b/>
                <w:bCs/>
                <w:color w:val="0A1128"/>
                <w:sz w:val="17"/>
                <w:szCs w:val="17"/>
              </w:rPr>
              <w:t xml:space="preserve">Accounting / GL / statements</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r>
        <w:tc>
          <w:tcPr>
            <w:tcW w:type="dxa" w:w="2750"/>
            <w:shd w:fill="F4F8F9" w:color="auto" w:val="clear"/>
            <w:tcMar>
              <w:top w:type="dxa" w:w="50"/>
              <w:left w:type="dxa" w:w="90"/>
              <w:bottom w:type="dxa" w:w="50"/>
              <w:right w:type="dxa" w:w="90"/>
            </w:tcMar>
            <w:vAlign w:val="center"/>
          </w:tcPr>
          <w:p>
            <w:pPr>
              <w:spacing w:after="0" w:line="240"/>
            </w:pPr>
            <w:r>
              <w:rPr>
                <w:b/>
                <w:bCs/>
                <w:color w:val="0A1128"/>
                <w:sz w:val="17"/>
                <w:szCs w:val="17"/>
              </w:rPr>
              <w:t xml:space="preserve">Procurement</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B7791F"/>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B7791F"/>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r>
        <w:tc>
          <w:tcPr>
            <w:tcW w:type="dxa" w:w="2750"/>
            <w:tcMar>
              <w:top w:type="dxa" w:w="50"/>
              <w:left w:type="dxa" w:w="90"/>
              <w:bottom w:type="dxa" w:w="50"/>
              <w:right w:type="dxa" w:w="90"/>
            </w:tcMar>
            <w:vAlign w:val="center"/>
          </w:tcPr>
          <w:p>
            <w:pPr>
              <w:spacing w:after="0" w:line="240"/>
            </w:pPr>
            <w:r>
              <w:rPr>
                <w:b/>
                <w:bCs/>
                <w:color w:val="0A1128"/>
                <w:sz w:val="17"/>
                <w:szCs w:val="17"/>
              </w:rPr>
              <w:t xml:space="preserve">Document vault &amp; compliance</w:t>
            </w:r>
          </w:p>
        </w:tc>
        <w:tc>
          <w:tcPr>
            <w:tcW w:type="dxa" w:w="1018"/>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0E7C86"/>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0E7C86"/>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0E7C86"/>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0E7C86"/>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0E7C86"/>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0E7C86"/>
                <w:sz w:val="18"/>
                <w:szCs w:val="18"/>
              </w:rPr>
              <w:t xml:space="preserve">◑</w:t>
            </w:r>
          </w:p>
        </w:tc>
      </w:tr>
      <w:tr>
        <w:tc>
          <w:tcPr>
            <w:tcW w:type="dxa" w:w="2750"/>
            <w:shd w:fill="F4F8F9" w:color="auto" w:val="clear"/>
            <w:tcMar>
              <w:top w:type="dxa" w:w="50"/>
              <w:left w:type="dxa" w:w="90"/>
              <w:bottom w:type="dxa" w:w="50"/>
              <w:right w:type="dxa" w:w="90"/>
            </w:tcMar>
            <w:vAlign w:val="center"/>
          </w:tcPr>
          <w:p>
            <w:pPr>
              <w:spacing w:after="0" w:line="240"/>
            </w:pPr>
            <w:r>
              <w:rPr>
                <w:b/>
                <w:bCs/>
                <w:color w:val="0A1128"/>
                <w:sz w:val="17"/>
                <w:szCs w:val="17"/>
              </w:rPr>
              <w:t xml:space="preserve">AI &amp; event engine</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r>
        <w:tc>
          <w:tcPr>
            <w:tcW w:type="dxa" w:w="2750"/>
            <w:tcMar>
              <w:top w:type="dxa" w:w="50"/>
              <w:left w:type="dxa" w:w="90"/>
              <w:bottom w:type="dxa" w:w="50"/>
              <w:right w:type="dxa" w:w="90"/>
            </w:tcMar>
            <w:vAlign w:val="center"/>
          </w:tcPr>
          <w:p>
            <w:pPr>
              <w:spacing w:after="0" w:line="240"/>
            </w:pPr>
            <w:r>
              <w:rPr>
                <w:b/>
                <w:bCs/>
                <w:color w:val="0A1128"/>
                <w:sz w:val="17"/>
                <w:szCs w:val="17"/>
              </w:rPr>
              <w:t xml:space="preserve">Comms &amp; portals admin</w:t>
            </w:r>
          </w:p>
        </w:tc>
        <w:tc>
          <w:tcPr>
            <w:tcW w:type="dxa" w:w="1018"/>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r>
        <w:tc>
          <w:tcPr>
            <w:tcW w:type="dxa" w:w="2750"/>
            <w:shd w:fill="F4F8F9" w:color="auto" w:val="clear"/>
            <w:tcMar>
              <w:top w:type="dxa" w:w="50"/>
              <w:left w:type="dxa" w:w="90"/>
              <w:bottom w:type="dxa" w:w="50"/>
              <w:right w:type="dxa" w:w="90"/>
            </w:tcMar>
            <w:vAlign w:val="center"/>
          </w:tcPr>
          <w:p>
            <w:pPr>
              <w:spacing w:after="0" w:line="240"/>
            </w:pPr>
            <w:r>
              <w:rPr>
                <w:b/>
                <w:bCs/>
                <w:color w:val="0A1128"/>
                <w:sz w:val="17"/>
                <w:szCs w:val="17"/>
              </w:rPr>
              <w:t xml:space="preserve">Security / God Mode purge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bCs/>
                <w:color w:val="1E7D4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c>
          <w:tcPr>
            <w:tcW w:type="dxa" w:w="1018"/>
            <w:shd w:fill="F4F8F9" w:color="auto" w:val="clear"/>
            <w:tcMar>
              <w:top w:type="dxa" w:w="50"/>
              <w:left w:type="dxa" w:w="90"/>
              <w:bottom w:type="dxa" w:w="50"/>
              <w:right w:type="dxa" w:w="90"/>
            </w:tcMar>
            <w:vAlign w:val="center"/>
          </w:tcPr>
          <w:p>
            <w:pPr>
              <w:spacing w:after="0" w:line="240"/>
              <w:jc w:val="center"/>
            </w:pPr>
            <w:r>
              <w:rPr>
                <w:b w:val="false"/>
                <w:bCs w:val="false"/>
                <w:color w:val="667085"/>
                <w:sz w:val="18"/>
                <w:szCs w:val="18"/>
              </w:rPr>
              <w:t xml:space="preserve">–</w:t>
            </w:r>
          </w:p>
        </w:tc>
      </w:tr>
    </w:tbl>
    <w:p>
      <w:pPr>
        <w:spacing w:before="100"/>
      </w:pPr>
      <w:r>
        <w:rPr>
          <w:color w:val="667085"/>
          <w:sz w:val="16"/>
          <w:szCs w:val="16"/>
        </w:rPr>
        <w:t xml:space="preserve">Key: SA Super Admin · CEO · MGT Management · FIN Finance/Treasury · ACC Accountant · SAL Sales · OPS Operations · WH Warehouse · FLT Fleet · PRC Procurement · HR Human Resources. Platform Root Admin sits above this grid (tenant provisioning only). Clients, Investors/Board and External Auditors are external — see the portal table.</w:t>
      </w:r>
    </w:p>
    <w:p>
      <w:pPr>
        <w:spacing w:after="60"/>
      </w:pPr>
      <w:r>
        <w:t xml:space="preserve"/>
      </w:r>
    </w:p>
    <w:p>
      <w:pPr>
        <w:spacing w:after="60"/>
      </w:pPr>
      <w:r>
        <w:rPr>
          <w:b/>
          <w:bCs/>
          <w:color w:val="0A1128"/>
          <w:sz w:val="22"/>
          <w:szCs w:val="22"/>
        </w:rPr>
        <w:t xml:space="preserve">External portals — scoped read access</w:t>
      </w:r>
    </w:p>
    <w:tbl>
      <w:tblPr>
        <w:tblW w:type="dxa" w:w="13958"/>
        <w:tblBorders>
          <w:top w:val="single" w:color="CDD9DE" w:sz="1"/>
          <w:left w:val="single" w:color="CDD9DE" w:sz="1"/>
          <w:bottom w:val="single" w:color="CDD9DE" w:sz="1"/>
          <w:right w:val="single" w:color="CDD9DE" w:sz="1"/>
          <w:insideH w:val="single" w:color="CDD9DE" w:sz="1"/>
          <w:insideV w:val="single" w:color="CDD9DE" w:sz="1"/>
        </w:tblBorders>
      </w:tblPr>
      <w:tblGrid>
        <w:gridCol w:w="2300"/>
        <w:gridCol w:w="3900"/>
        <w:gridCol w:w="4000"/>
        <w:gridCol w:w="3758"/>
      </w:tblGrid>
      <w:tr>
        <w:trPr>
          <w:tblHeader/>
        </w:trPr>
        <w:tc>
          <w:tcPr>
            <w:tcW w:type="dxa" w:w="2300"/>
            <w:shd w:fill="13324B" w:color="auto" w:val="clear"/>
            <w:tcMar>
              <w:top w:type="dxa" w:w="50"/>
              <w:left w:type="dxa" w:w="90"/>
              <w:bottom w:type="dxa" w:w="50"/>
              <w:right w:type="dxa" w:w="90"/>
            </w:tcMar>
            <w:vAlign w:val="center"/>
          </w:tcPr>
          <w:p>
            <w:pPr>
              <w:spacing w:after="0" w:line="240"/>
            </w:pPr>
            <w:r>
              <w:rPr>
                <w:b/>
                <w:bCs/>
                <w:color w:val="FFFFFF"/>
                <w:sz w:val="18"/>
                <w:szCs w:val="18"/>
              </w:rPr>
              <w:t xml:space="preserve">External role</w:t>
            </w:r>
          </w:p>
        </w:tc>
        <w:tc>
          <w:tcPr>
            <w:tcW w:type="dxa" w:w="3900"/>
            <w:shd w:fill="13324B" w:color="auto" w:val="clear"/>
            <w:tcMar>
              <w:top w:type="dxa" w:w="50"/>
              <w:left w:type="dxa" w:w="90"/>
              <w:bottom w:type="dxa" w:w="50"/>
              <w:right w:type="dxa" w:w="90"/>
            </w:tcMar>
            <w:vAlign w:val="center"/>
          </w:tcPr>
          <w:p>
            <w:pPr>
              <w:spacing w:after="0" w:line="240"/>
            </w:pPr>
            <w:r>
              <w:rPr>
                <w:b/>
                <w:bCs/>
                <w:color w:val="FFFFFF"/>
                <w:sz w:val="18"/>
                <w:szCs w:val="18"/>
              </w:rPr>
              <w:t xml:space="preserve">Can do</w:t>
            </w:r>
          </w:p>
        </w:tc>
        <w:tc>
          <w:tcPr>
            <w:tcW w:type="dxa" w:w="4000"/>
            <w:shd w:fill="13324B" w:color="auto" w:val="clear"/>
            <w:tcMar>
              <w:top w:type="dxa" w:w="50"/>
              <w:left w:type="dxa" w:w="90"/>
              <w:bottom w:type="dxa" w:w="50"/>
              <w:right w:type="dxa" w:w="90"/>
            </w:tcMar>
            <w:vAlign w:val="center"/>
          </w:tcPr>
          <w:p>
            <w:pPr>
              <w:spacing w:after="0" w:line="240"/>
            </w:pPr>
            <w:r>
              <w:rPr>
                <w:b/>
                <w:bCs/>
                <w:color w:val="FFFFFF"/>
                <w:sz w:val="18"/>
                <w:szCs w:val="18"/>
              </w:rPr>
              <w:t xml:space="preserve">Can see</w:t>
            </w:r>
          </w:p>
        </w:tc>
        <w:tc>
          <w:tcPr>
            <w:tcW w:type="dxa" w:w="3758"/>
            <w:shd w:fill="13324B" w:color="auto" w:val="clear"/>
            <w:tcMar>
              <w:top w:type="dxa" w:w="50"/>
              <w:left w:type="dxa" w:w="90"/>
              <w:bottom w:type="dxa" w:w="50"/>
              <w:right w:type="dxa" w:w="90"/>
            </w:tcMar>
            <w:vAlign w:val="center"/>
          </w:tcPr>
          <w:p>
            <w:pPr>
              <w:spacing w:after="0" w:line="240"/>
            </w:pPr>
            <w:r>
              <w:rPr>
                <w:b/>
                <w:bCs/>
                <w:color w:val="FFFFFF"/>
                <w:sz w:val="18"/>
                <w:szCs w:val="18"/>
              </w:rPr>
              <w:t xml:space="preserve">Cannot see</w:t>
            </w:r>
          </w:p>
        </w:tc>
      </w:tr>
      <w:tr>
        <w:tc>
          <w:tcPr>
            <w:tcW w:type="dxa" w:w="2300"/>
            <w:tcMar>
              <w:top w:type="dxa" w:w="50"/>
              <w:left w:type="dxa" w:w="90"/>
              <w:bottom w:type="dxa" w:w="50"/>
              <w:right w:type="dxa" w:w="90"/>
            </w:tcMar>
            <w:vAlign w:val="center"/>
          </w:tcPr>
          <w:p>
            <w:pPr>
              <w:spacing w:after="0" w:line="240"/>
            </w:pPr>
            <w:r>
              <w:rPr>
                <w:b w:val="false"/>
                <w:bCs w:val="false"/>
                <w:color w:val="0A1128"/>
                <w:sz w:val="18"/>
                <w:szCs w:val="18"/>
              </w:rPr>
              <w:t xml:space="preserve">Client</w:t>
            </w:r>
          </w:p>
        </w:tc>
        <w:tc>
          <w:tcPr>
            <w:tcW w:type="dxa" w:w="3900"/>
            <w:tcMar>
              <w:top w:type="dxa" w:w="50"/>
              <w:left w:type="dxa" w:w="90"/>
              <w:bottom w:type="dxa" w:w="50"/>
              <w:right w:type="dxa" w:w="90"/>
            </w:tcMar>
            <w:vAlign w:val="center"/>
          </w:tcPr>
          <w:p>
            <w:pPr>
              <w:spacing w:after="0" w:line="240"/>
            </w:pPr>
            <w:r>
              <w:rPr>
                <w:b w:val="false"/>
                <w:bCs w:val="false"/>
                <w:color w:val="0A1128"/>
                <w:sz w:val="18"/>
                <w:szCs w:val="18"/>
              </w:rPr>
              <w:t xml:space="preserve">Track own jobs, message, request quotes, view shared docs</w:t>
            </w:r>
          </w:p>
        </w:tc>
        <w:tc>
          <w:tcPr>
            <w:tcW w:type="dxa" w:w="4000"/>
            <w:tcMar>
              <w:top w:type="dxa" w:w="50"/>
              <w:left w:type="dxa" w:w="90"/>
              <w:bottom w:type="dxa" w:w="50"/>
              <w:right w:type="dxa" w:w="90"/>
            </w:tcMar>
            <w:vAlign w:val="center"/>
          </w:tcPr>
          <w:p>
            <w:pPr>
              <w:spacing w:after="0" w:line="240"/>
            </w:pPr>
            <w:r>
              <w:rPr>
                <w:b w:val="false"/>
                <w:bCs w:val="false"/>
                <w:color w:val="0A1128"/>
                <w:sz w:val="18"/>
                <w:szCs w:val="18"/>
              </w:rPr>
              <w:t xml:space="preserve">Own projects, milestones, invoices status, shared documents</w:t>
            </w:r>
          </w:p>
        </w:tc>
        <w:tc>
          <w:tcPr>
            <w:tcW w:type="dxa" w:w="3758"/>
            <w:tcMar>
              <w:top w:type="dxa" w:w="50"/>
              <w:left w:type="dxa" w:w="90"/>
              <w:bottom w:type="dxa" w:w="50"/>
              <w:right w:type="dxa" w:w="90"/>
            </w:tcMar>
            <w:vAlign w:val="center"/>
          </w:tcPr>
          <w:p>
            <w:pPr>
              <w:spacing w:after="0" w:line="240"/>
            </w:pPr>
            <w:r>
              <w:rPr>
                <w:b w:val="false"/>
                <w:bCs w:val="false"/>
                <w:color w:val="0A1128"/>
                <w:sz w:val="18"/>
                <w:szCs w:val="18"/>
              </w:rPr>
              <w:t xml:space="preserve">Other clients, margins, internal costs, the ledger</w:t>
            </w:r>
          </w:p>
        </w:tc>
      </w:tr>
      <w:tr>
        <w:tc>
          <w:tcPr>
            <w:tcW w:type="dxa" w:w="23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Investor / Board</w:t>
            </w:r>
          </w:p>
        </w:tc>
        <w:tc>
          <w:tcPr>
            <w:tcW w:type="dxa" w:w="39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Review performance (read-only)</w:t>
            </w:r>
          </w:p>
        </w:tc>
        <w:tc>
          <w:tcPr>
            <w:tcW w:type="dxa" w:w="4000"/>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Company KPIs, financial statements, optional IFRS view</w:t>
            </w:r>
          </w:p>
        </w:tc>
        <w:tc>
          <w:tcPr>
            <w:tcW w:type="dxa" w:w="3758"/>
            <w:shd w:fill="F4F8F9" w:color="auto" w:val="clear"/>
            <w:tcMar>
              <w:top w:type="dxa" w:w="50"/>
              <w:left w:type="dxa" w:w="90"/>
              <w:bottom w:type="dxa" w:w="50"/>
              <w:right w:type="dxa" w:w="90"/>
            </w:tcMar>
            <w:vAlign w:val="center"/>
          </w:tcPr>
          <w:p>
            <w:pPr>
              <w:spacing w:after="0" w:line="240"/>
            </w:pPr>
            <w:r>
              <w:rPr>
                <w:b w:val="false"/>
                <w:bCs w:val="false"/>
                <w:color w:val="0A1128"/>
                <w:sz w:val="18"/>
                <w:szCs w:val="18"/>
              </w:rPr>
              <w:t xml:space="preserve">Operational detail, client lists, salaries</w:t>
            </w:r>
          </w:p>
        </w:tc>
      </w:tr>
      <w:tr>
        <w:tc>
          <w:tcPr>
            <w:tcW w:type="dxa" w:w="2300"/>
            <w:tcMar>
              <w:top w:type="dxa" w:w="50"/>
              <w:left w:type="dxa" w:w="90"/>
              <w:bottom w:type="dxa" w:w="50"/>
              <w:right w:type="dxa" w:w="90"/>
            </w:tcMar>
            <w:vAlign w:val="center"/>
          </w:tcPr>
          <w:p>
            <w:pPr>
              <w:spacing w:after="0" w:line="240"/>
            </w:pPr>
            <w:r>
              <w:rPr>
                <w:b w:val="false"/>
                <w:bCs w:val="false"/>
                <w:color w:val="0A1128"/>
                <w:sz w:val="18"/>
                <w:szCs w:val="18"/>
              </w:rPr>
              <w:t xml:space="preserve">External Auditor</w:t>
            </w:r>
          </w:p>
        </w:tc>
        <w:tc>
          <w:tcPr>
            <w:tcW w:type="dxa" w:w="3900"/>
            <w:tcMar>
              <w:top w:type="dxa" w:w="50"/>
              <w:left w:type="dxa" w:w="90"/>
              <w:bottom w:type="dxa" w:w="50"/>
              <w:right w:type="dxa" w:w="90"/>
            </w:tcMar>
            <w:vAlign w:val="center"/>
          </w:tcPr>
          <w:p>
            <w:pPr>
              <w:spacing w:after="0" w:line="240"/>
            </w:pPr>
            <w:r>
              <w:rPr>
                <w:b w:val="false"/>
                <w:bCs w:val="false"/>
                <w:color w:val="0A1128"/>
                <w:sz w:val="18"/>
                <w:szCs w:val="18"/>
              </w:rPr>
              <w:t xml:space="preserve">Inspect records &amp; audit trail (time-boxed)</w:t>
            </w:r>
          </w:p>
        </w:tc>
        <w:tc>
          <w:tcPr>
            <w:tcW w:type="dxa" w:w="4000"/>
            <w:tcMar>
              <w:top w:type="dxa" w:w="50"/>
              <w:left w:type="dxa" w:w="90"/>
              <w:bottom w:type="dxa" w:w="50"/>
              <w:right w:type="dxa" w:w="90"/>
            </w:tcMar>
            <w:vAlign w:val="center"/>
          </w:tcPr>
          <w:p>
            <w:pPr>
              <w:spacing w:after="0" w:line="240"/>
            </w:pPr>
            <w:r>
              <w:rPr>
                <w:b w:val="false"/>
                <w:bCs w:val="false"/>
                <w:color w:val="0A1128"/>
                <w:sz w:val="18"/>
                <w:szCs w:val="18"/>
              </w:rPr>
              <w:t xml:space="preserve">Ledger, statements, supporting docs, immutable trail</w:t>
            </w:r>
          </w:p>
        </w:tc>
        <w:tc>
          <w:tcPr>
            <w:tcW w:type="dxa" w:w="3758"/>
            <w:tcMar>
              <w:top w:type="dxa" w:w="50"/>
              <w:left w:type="dxa" w:w="90"/>
              <w:bottom w:type="dxa" w:w="50"/>
              <w:right w:type="dxa" w:w="90"/>
            </w:tcMar>
            <w:vAlign w:val="center"/>
          </w:tcPr>
          <w:p>
            <w:pPr>
              <w:spacing w:after="0" w:line="240"/>
            </w:pPr>
            <w:r>
              <w:rPr>
                <w:b w:val="false"/>
                <w:bCs w:val="false"/>
                <w:color w:val="0A1128"/>
                <w:sz w:val="18"/>
                <w:szCs w:val="18"/>
              </w:rPr>
              <w:t xml:space="preserve">Edit anything; data beyond the audit scope/window</w:t>
            </w:r>
          </w:p>
        </w:tc>
      </w:tr>
    </w:tbl>
    <w:sectPr>
      <w:headerReference w:type="default" r:id="rId9"/>
      <w:footerReference w:type="default" r:id="rId10"/>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Confidential  ·  SmartLS / Praxis-LS  ·  Page </w:t>
    </w:r>
    <w:r>
      <w:rPr>
        <w:color w:val="667085"/>
        <w:sz w:val="16"/>
        <w:szCs w:val="16"/>
      </w:rPr>
      <w:fldChar w:fldCharType="begin"/>
      <w:instrText xml:space="preserve">PAGE</w:instrText>
      <w:fldChar w:fldCharType="separate"/>
      <w:fldChar w:fldCharType="end"/>
    </w:r>
    <w:r>
      <w:rPr>
        <w:color w:val="667085"/>
        <w:sz w:val="16"/>
        <w:szCs w:val="16"/>
      </w:rPr>
      <w:t xml:space="preserve"> of </w:t>
    </w:r>
    <w:r>
      <w:rPr>
        <w:color w:val="66708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Confidential  ·  SmartLS / Praxis-LS  ·  Page </w:t>
    </w:r>
    <w:r>
      <w:rPr>
        <w:color w:val="667085"/>
        <w:sz w:val="16"/>
        <w:szCs w:val="16"/>
      </w:rPr>
      <w:fldChar w:fldCharType="begin"/>
      <w:instrText xml:space="preserve">PAGE</w:instrText>
      <w:fldChar w:fldCharType="separate"/>
      <w:fldChar w:fldCharType="end"/>
    </w:r>
    <w:r>
      <w:rPr>
        <w:color w:val="667085"/>
        <w:sz w:val="16"/>
        <w:szCs w:val="16"/>
      </w:rPr>
      <w:t xml:space="preserve"> of </w:t>
    </w:r>
    <w:r>
      <w:rPr>
        <w:color w:val="6670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EC" w:sz="4" w:space="4"/>
      </w:pBdr>
      <w:jc w:val="right"/>
    </w:pPr>
    <w:r>
      <w:rPr>
        <w:color w:val="667085"/>
        <w:sz w:val="16"/>
        <w:szCs w:val="16"/>
      </w:rPr>
      <w:t xml:space="preserve">Super-Admin User Journey &amp; Access Map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EC" w:sz="4" w:space="4"/>
      </w:pBdr>
      <w:jc w:val="right"/>
    </w:pPr>
    <w:r>
      <w:rPr>
        <w:color w:val="667085"/>
        <w:sz w:val="16"/>
        <w:szCs w:val="16"/>
      </w:rPr>
      <w:t xml:space="preserve">Full Access Matrix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1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DD9DE" w:sz="8" w:space="4"/>
      </w:pBdr>
      <w:spacing w:after="140" w:before="280"/>
      <w:outlineLvl w:val="0"/>
    </w:pPr>
    <w:rPr>
      <w:rFonts w:ascii="Arial" w:cs="Arial" w:eastAsia="Arial" w:hAnsi="Arial"/>
      <w:b/>
      <w:bCs/>
      <w:color w:val="0E7C86"/>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A112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Super-Admin User Journey &amp; RBAC</dc:title>
  <dc:creator>SmartLS Revamp</dc:creator>
  <cp:lastModifiedBy>Un-named</cp:lastModifiedBy>
  <cp:revision>1</cp:revision>
  <dcterms:created xsi:type="dcterms:W3CDTF">2026-06-30T20:24:27.135Z</dcterms:created>
  <dcterms:modified xsi:type="dcterms:W3CDTF">2026-06-30T20:24:27.163Z</dcterms:modified>
</cp:coreProperties>
</file>

<file path=docProps/custom.xml><?xml version="1.0" encoding="utf-8"?>
<Properties xmlns="http://schemas.openxmlformats.org/officeDocument/2006/custom-properties" xmlns:vt="http://schemas.openxmlformats.org/officeDocument/2006/docPropsVTypes"/>
</file>