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Updated Design Document</w:t>
        <w:br/>
        <w:t>Detailed Review &amp; Recommendations</w:t>
      </w:r>
    </w:p>
    <w:p>
      <w:pPr>
        <w:jc w:val="center"/>
      </w:pPr>
      <w:r>
        <w:rPr>
          <w:b/>
          <w:sz w:val="24"/>
        </w:rPr>
        <w:t>TradingAgents → NautilusTrader Research-to-Execution Bridge</w:t>
      </w:r>
    </w:p>
    <w:p>
      <w:pPr>
        <w:jc w:val="center"/>
      </w:pPr>
      <w:r>
        <w:rPr>
          <w:i/>
        </w:rPr>
        <w:t>Review of the updated revision • October 2026</w:t>
      </w:r>
    </w:p>
    <w:p>
      <w:pPr>
        <w:pStyle w:val="Heading1"/>
      </w:pPr>
      <w:r>
        <w:t>Executive Summary</w:t>
      </w:r>
    </w:p>
    <w:p>
      <w:r>
        <w:t>The updated revision is materially stronger than the previous version. The core architecture is now coherent and close to implementation-ready: TradingAgents produces bounded research claims and opinions, while NautilusTrader remains the authority for market, portfolio, risk, order, and fill state. The remaining work is primarily to remove ambiguity from the boundary contract rather than redesign the architecture.</w:t>
      </w:r>
    </w:p>
    <w:p>
      <w:r>
        <w:t>Overall assessment: approximately 90% implementation-ready. The most important remaining issues are gate precedence, temporal semantics, HOLD/SELL mapping, allocation validation, and replay behavior after venue rejection.</w:t>
      </w:r>
    </w:p>
    <w:p>
      <w:pPr>
        <w:pStyle w:val="Heading1"/>
      </w:pPr>
      <w:r>
        <w:t>1. Overall Assessment</w:t>
      </w:r>
    </w:p>
    <w:tbl>
      <w:tblPr>
        <w:tblStyle w:val="TableGrid"/>
        <w:tblW w:type="auto" w:w="0"/>
        <w:jc w:val="center"/>
        <w:tblLook w:firstColumn="1" w:firstRow="1" w:lastColumn="0" w:lastRow="0" w:noHBand="0" w:noVBand="1" w:val="04A0"/>
      </w:tblPr>
      <w:tblGrid>
        <w:gridCol w:w="5040"/>
        <w:gridCol w:w="5040"/>
      </w:tblGrid>
      <w:tr>
        <w:tc>
          <w:tcPr>
            <w:tcW w:type="dxa" w:w="5040"/>
            <w:shd w:fill="E9EFF7"/>
            <w:vAlign w:val="center"/>
          </w:tcPr>
          <w:p>
            <w:r>
              <w:rPr>
                <w:b/>
              </w:rPr>
              <w:t>Area</w:t>
            </w:r>
          </w:p>
        </w:tc>
        <w:tc>
          <w:tcPr>
            <w:tcW w:type="dxa" w:w="5040"/>
            <w:shd w:fill="E9EFF7"/>
            <w:vAlign w:val="center"/>
          </w:tcPr>
          <w:p>
            <w:r>
              <w:rPr>
                <w:b/>
              </w:rPr>
              <w:t>Assessment</w:t>
            </w:r>
          </w:p>
        </w:tc>
      </w:tr>
      <w:tr>
        <w:tc>
          <w:tcPr>
            <w:tcW w:type="dxa" w:w="5040"/>
            <w:vAlign w:val="top"/>
          </w:tcPr>
          <w:p>
            <w:r>
              <w:t>Authority separation</w:t>
            </w:r>
          </w:p>
        </w:tc>
        <w:tc>
          <w:tcPr>
            <w:tcW w:type="dxa" w:w="5040"/>
            <w:vAlign w:val="top"/>
          </w:tcPr>
          <w:p>
            <w:r>
              <w:t>Excellent</w:t>
            </w:r>
          </w:p>
        </w:tc>
      </w:tr>
      <w:tr>
        <w:tc>
          <w:tcPr>
            <w:tcW w:type="dxa" w:w="5040"/>
            <w:vAlign w:val="top"/>
          </w:tcPr>
          <w:p>
            <w:r>
              <w:t>Research / engine boundary</w:t>
            </w:r>
          </w:p>
        </w:tc>
        <w:tc>
          <w:tcPr>
            <w:tcW w:type="dxa" w:w="5040"/>
            <w:vAlign w:val="top"/>
          </w:tcPr>
          <w:p>
            <w:r>
              <w:t>Excellent</w:t>
            </w:r>
          </w:p>
        </w:tc>
      </w:tr>
      <w:tr>
        <w:tc>
          <w:tcPr>
            <w:tcW w:type="dxa" w:w="5040"/>
            <w:vAlign w:val="top"/>
          </w:tcPr>
          <w:p>
            <w:r>
              <w:t>Look-ahead controls</w:t>
            </w:r>
          </w:p>
        </w:tc>
        <w:tc>
          <w:tcPr>
            <w:tcW w:type="dxa" w:w="5040"/>
            <w:vAlign w:val="top"/>
          </w:tcPr>
          <w:p>
            <w:r>
              <w:t>Very strong</w:t>
            </w:r>
          </w:p>
        </w:tc>
      </w:tr>
      <w:tr>
        <w:tc>
          <w:tcPr>
            <w:tcW w:type="dxa" w:w="5040"/>
            <w:vAlign w:val="top"/>
          </w:tcPr>
          <w:p>
            <w:r>
              <w:t>Risk authority</w:t>
            </w:r>
          </w:p>
        </w:tc>
        <w:tc>
          <w:tcPr>
            <w:tcW w:type="dxa" w:w="5040"/>
            <w:vAlign w:val="top"/>
          </w:tcPr>
          <w:p>
            <w:r>
              <w:t>Excellent</w:t>
            </w:r>
          </w:p>
        </w:tc>
      </w:tr>
      <w:tr>
        <w:tc>
          <w:tcPr>
            <w:tcW w:type="dxa" w:w="5040"/>
            <w:vAlign w:val="top"/>
          </w:tcPr>
          <w:p>
            <w:r>
              <w:t>Allocation handling</w:t>
            </w:r>
          </w:p>
        </w:tc>
        <w:tc>
          <w:tcPr>
            <w:tcW w:type="dxa" w:w="5040"/>
            <w:vAlign w:val="top"/>
          </w:tcPr>
          <w:p>
            <w:r>
              <w:t>Very strong</w:t>
            </w:r>
          </w:p>
        </w:tc>
      </w:tr>
      <w:tr>
        <w:tc>
          <w:tcPr>
            <w:tcW w:type="dxa" w:w="5040"/>
            <w:vAlign w:val="top"/>
          </w:tcPr>
          <w:p>
            <w:r>
              <w:t>Tradability handling</w:t>
            </w:r>
          </w:p>
        </w:tc>
        <w:tc>
          <w:tcPr>
            <w:tcW w:type="dxa" w:w="5040"/>
            <w:vAlign w:val="top"/>
          </w:tcPr>
          <w:p>
            <w:r>
              <w:t>Very strong</w:t>
            </w:r>
          </w:p>
        </w:tc>
      </w:tr>
      <w:tr>
        <w:tc>
          <w:tcPr>
            <w:tcW w:type="dxa" w:w="5040"/>
            <w:vAlign w:val="top"/>
          </w:tcPr>
          <w:p>
            <w:r>
              <w:t>Idempotency design</w:t>
            </w:r>
          </w:p>
        </w:tc>
        <w:tc>
          <w:tcPr>
            <w:tcW w:type="dxa" w:w="5040"/>
            <w:vAlign w:val="top"/>
          </w:tcPr>
          <w:p>
            <w:r>
              <w:t>Very strong</w:t>
            </w:r>
          </w:p>
        </w:tc>
      </w:tr>
      <w:tr>
        <w:tc>
          <w:tcPr>
            <w:tcW w:type="dxa" w:w="5040"/>
            <w:vAlign w:val="top"/>
          </w:tcPr>
          <w:p>
            <w:r>
              <w:t>Refusal / audit model</w:t>
            </w:r>
          </w:p>
        </w:tc>
        <w:tc>
          <w:tcPr>
            <w:tcW w:type="dxa" w:w="5040"/>
            <w:vAlign w:val="top"/>
          </w:tcPr>
          <w:p>
            <w:r>
              <w:t>Excellent</w:t>
            </w:r>
          </w:p>
        </w:tc>
      </w:tr>
      <w:tr>
        <w:tc>
          <w:tcPr>
            <w:tcW w:type="dxa" w:w="5040"/>
            <w:vAlign w:val="top"/>
          </w:tcPr>
          <w:p>
            <w:r>
              <w:t>Measurement framework</w:t>
            </w:r>
          </w:p>
        </w:tc>
        <w:tc>
          <w:tcPr>
            <w:tcW w:type="dxa" w:w="5040"/>
            <w:vAlign w:val="top"/>
          </w:tcPr>
          <w:p>
            <w:r>
              <w:t>Strong</w:t>
            </w:r>
          </w:p>
        </w:tc>
      </w:tr>
      <w:tr>
        <w:tc>
          <w:tcPr>
            <w:tcW w:type="dxa" w:w="5040"/>
            <w:vAlign w:val="top"/>
          </w:tcPr>
          <w:p>
            <w:r>
              <w:t>Temporal execution semantics</w:t>
            </w:r>
          </w:p>
        </w:tc>
        <w:tc>
          <w:tcPr>
            <w:tcW w:type="dxa" w:w="5040"/>
            <w:vAlign w:val="top"/>
          </w:tcPr>
          <w:p>
            <w:r>
              <w:t>Needs clarification</w:t>
            </w:r>
          </w:p>
        </w:tc>
      </w:tr>
      <w:tr>
        <w:tc>
          <w:tcPr>
            <w:tcW w:type="dxa" w:w="5040"/>
            <w:vAlign w:val="top"/>
          </w:tcPr>
          <w:p>
            <w:r>
              <w:t>Gate precedence</w:t>
            </w:r>
          </w:p>
        </w:tc>
        <w:tc>
          <w:tcPr>
            <w:tcW w:type="dxa" w:w="5040"/>
            <w:vAlign w:val="top"/>
          </w:tcPr>
          <w:p>
            <w:r>
              <w:t>Needs clarification</w:t>
            </w:r>
          </w:p>
        </w:tc>
      </w:tr>
      <w:tr>
        <w:tc>
          <w:tcPr>
            <w:tcW w:type="dxa" w:w="5040"/>
            <w:vAlign w:val="top"/>
          </w:tcPr>
          <w:p>
            <w:r>
              <w:t>HOLD semantics</w:t>
            </w:r>
          </w:p>
        </w:tc>
        <w:tc>
          <w:tcPr>
            <w:tcW w:type="dxa" w:w="5040"/>
            <w:vAlign w:val="top"/>
          </w:tcPr>
          <w:p>
            <w:r>
              <w:t>Needs clarification</w:t>
            </w:r>
          </w:p>
        </w:tc>
      </w:tr>
      <w:tr>
        <w:tc>
          <w:tcPr>
            <w:tcW w:type="dxa" w:w="5040"/>
            <w:vAlign w:val="top"/>
          </w:tcPr>
          <w:p>
            <w:r>
              <w:t>Implementation readiness</w:t>
            </w:r>
          </w:p>
        </w:tc>
        <w:tc>
          <w:tcPr>
            <w:tcW w:type="dxa" w:w="5040"/>
            <w:vAlign w:val="top"/>
          </w:tcPr>
          <w:p>
            <w:r>
              <w:t>~90%</w:t>
            </w:r>
          </w:p>
        </w:tc>
      </w:tr>
    </w:tbl>
    <w:p>
      <w:pPr>
        <w:pStyle w:val="Heading1"/>
      </w:pPr>
      <w:r>
        <w:t>2. Core Architecture</w:t>
      </w:r>
    </w:p>
    <w:p>
      <w:r>
        <w:t>The revised resolution sequence is the correct foundation:</w:t>
      </w:r>
    </w:p>
    <w:p>
      <w:pPr>
        <w:pStyle w:val="ListBullet"/>
      </w:pPr>
      <w:r>
        <w:t>research_decision.json</w:t>
      </w:r>
    </w:p>
    <w:p>
      <w:pPr>
        <w:pStyle w:val="ListBullet"/>
      </w:pPr>
      <w:r>
        <w:t>schema + hash validation</w:t>
      </w:r>
    </w:p>
    <w:p>
      <w:pPr>
        <w:pStyle w:val="ListBullet"/>
      </w:pPr>
      <w:r>
        <w:t>availability / expiry resolution</w:t>
      </w:r>
    </w:p>
    <w:p>
      <w:pPr>
        <w:pStyle w:val="ListBullet"/>
      </w:pPr>
      <w:r>
        <w:t>positive per-leg tradability</w:t>
      </w:r>
    </w:p>
    <w:p>
      <w:pPr>
        <w:pStyle w:val="ListBullet"/>
      </w:pPr>
      <w:r>
        <w:t>research and engine eligibility</w:t>
      </w:r>
    </w:p>
    <w:p>
      <w:pPr>
        <w:pStyle w:val="ListBullet"/>
      </w:pPr>
      <w:r>
        <w:t>actionability</w:t>
      </w:r>
    </w:p>
    <w:p>
      <w:pPr>
        <w:pStyle w:val="ListBullet"/>
      </w:pPr>
      <w:r>
        <w:t>pure projection → TradingSignal</w:t>
      </w:r>
    </w:p>
    <w:p>
      <w:pPr>
        <w:pStyle w:val="ListBullet"/>
      </w:pPr>
      <w:r>
        <w:t>TargetConstruction</w:t>
      </w:r>
    </w:p>
    <w:p>
      <w:pPr>
        <w:pStyle w:val="ListBullet"/>
      </w:pPr>
      <w:r>
        <w:t>TargetReconciler</w:t>
      </w:r>
    </w:p>
    <w:p>
      <w:pPr>
        <w:pStyle w:val="ListBullet"/>
      </w:pPr>
      <w:r>
        <w:t>RiskEngine</w:t>
      </w:r>
    </w:p>
    <w:p>
      <w:pPr>
        <w:pStyle w:val="ListBullet"/>
      </w:pPr>
      <w:r>
        <w:t>Order</w:t>
      </w:r>
    </w:p>
    <w:p>
      <w:pPr>
        <w:pStyle w:val="ListBullet"/>
      </w:pPr>
      <w:r>
        <w:t>Fill</w:t>
      </w:r>
    </w:p>
    <w:p>
      <w:r>
        <w:t>This preserves the critical invariant: research may constrain or inform the engine, but it must never become a second execution or risk authority.</w:t>
      </w:r>
    </w:p>
    <w:p>
      <w:pPr>
        <w:pStyle w:val="Heading1"/>
      </w:pPr>
      <w:r>
        <w:t>3. Review of D1–D8</w:t>
      </w:r>
    </w:p>
    <w:p>
      <w:pPr>
        <w:pStyle w:val="Heading2"/>
      </w:pPr>
      <w:r>
        <w:t>D1 — Custom data + pure projection</w:t>
      </w:r>
    </w:p>
    <w:p>
      <w:r>
        <w:t>Keep as written. Custom-data carriage plus a pure projection function is appropriate; avoid creating a large bridge abstraction. Keep the admission/audit ledger as a first-class record.</w:t>
      </w:r>
    </w:p>
    <w:p>
      <w:r>
        <w:t>Recommended audit fields: decision_id, artifact_sha256, idempotency_key, instrument_id, produced_at, effective_date, expires_at, admission timestamp, admission result, refusal reason, signal/target/order/fill references.</w:t>
      </w:r>
    </w:p>
    <w:p>
      <w:pPr>
        <w:pStyle w:val="Heading2"/>
      </w:pPr>
      <w:r>
        <w:t>D2 — Confidence must not become strength</w:t>
      </w:r>
    </w:p>
    <w:p>
      <w:r>
        <w:t>Keep unchanged. Confidence is research metadata and should be evaluated through calibration rather than converted directly into position size or signal strength.</w:t>
      </w:r>
    </w:p>
    <w:p>
      <w:r>
        <w:t>Future confidence-informed sizing, if desired, should use empirical calibration and a bounded policy rather than confidence = strength.</w:t>
      </w:r>
    </w:p>
    <w:p>
      <w:pPr>
        <w:pStyle w:val="Heading2"/>
      </w:pPr>
      <w:r>
        <w:t>D3 — Actionability instant</w:t>
      </w:r>
    </w:p>
    <w:p>
      <w:r>
        <w:t>Keep the calendar-based approach, but add bridge-side receipt/admission time and prevent retroactive action.</w:t>
      </w:r>
    </w:p>
    <w:p>
      <w:r>
        <w:t>Recommended temporal fields: effective_date, produced_at, received_at/admitted_at, actionable_at, expires_at. Use actionable_at &gt;= expires_at as a refusal condition.</w:t>
      </w:r>
    </w:p>
    <w:p>
      <w:pPr>
        <w:pStyle w:val="Heading2"/>
      </w:pPr>
      <w:r>
        <w:t>D4 — Research stop remains advisory</w:t>
      </w:r>
    </w:p>
    <w:p>
      <w:r>
        <w:t>Keep unchanged for v1. Research entry/stop/target levels should remain metadata; engine-configured stops remain authoritative.</w:t>
      </w:r>
    </w:p>
    <w:p>
      <w:r>
        <w:t>Because fixed-risk sizing depends on stop distance, letting research change the stop would indirectly let research change position size.</w:t>
      </w:r>
    </w:p>
    <w:p>
      <w:pPr>
        <w:pStyle w:val="Heading2"/>
      </w:pPr>
      <w:r>
        <w:t>D5 — UNCERTAIN</w:t>
      </w:r>
    </w:p>
    <w:p>
      <w:r>
        <w:t>Keep: admit only when independent engine eligibility passes, with a configurable risk reduction. REJECT prevents eligibility.</w:t>
      </w:r>
    </w:p>
    <w:p>
      <w:r>
        <w:t>Measure PASS vs UNCERTAIN outcomes and the effect of the multiplier on expectancy, risk-adjusted return, drawdown, and CVaR.</w:t>
      </w:r>
    </w:p>
    <w:p>
      <w:pPr>
        <w:pStyle w:val="Heading2"/>
      </w:pPr>
      <w:r>
        <w:t>D6 — Tradability</w:t>
      </w:r>
    </w:p>
    <w:p>
      <w:r>
        <w:t>Keep and strengthen. Positive tradability confirmation is required for every instrument and every leg. UNKNOWN must not be treated as TRADABLE.</w:t>
      </w:r>
    </w:p>
    <w:p>
      <w:r>
        <w:t>Design is closed, but current-code verification should be treated as an implementation gate before coding.</w:t>
      </w:r>
    </w:p>
    <w:p>
      <w:pPr>
        <w:pStyle w:val="Heading2"/>
      </w:pPr>
      <w:r>
        <w:t>D7 — Client-order IDs</w:t>
      </w:r>
    </w:p>
    <w:p>
      <w:r>
        <w:t>Keep deterministic, domain-separated, versioned IDs. Include idempotency key plus instrument/leg/order role; include strategy identity or explicitly guarantee a single canonical consumer.</w:t>
      </w:r>
    </w:p>
    <w:p>
      <w:r>
        <w:t>Separate decision_id, idempotency_key, and client_order_id. Record the ID scheme version and hash algorithm.</w:t>
      </w:r>
    </w:p>
    <w:p>
      <w:pPr>
        <w:pStyle w:val="Heading2"/>
      </w:pPr>
      <w:r>
        <w:t>D8 — Refused artifacts</w:t>
      </w:r>
    </w:p>
    <w:p>
      <w:r>
        <w:t>Keep strongly. Refusals are first-class audit outcomes, not discarded records.</w:t>
      </w:r>
    </w:p>
    <w:p>
      <w:r>
        <w:t>Use a structured refusal vocabulary so later analysis can answer why research decisions failed to become executable exposure.</w:t>
      </w:r>
    </w:p>
    <w:p>
      <w:pPr>
        <w:pStyle w:val="Heading1"/>
      </w:pPr>
      <w:r>
        <w:t>4. P0 — Required Before Implementation</w:t>
      </w:r>
    </w:p>
    <w:p>
      <w:pPr>
        <w:pStyle w:val="Heading2"/>
      </w:pPr>
      <w:r>
        <w:t>1. Define gate precedence</w:t>
      </w:r>
    </w:p>
    <w:p>
      <w:r>
        <w:t>Specify deterministic resolution for risk_gate, trade_permission, binding_gate, and engine eligibility. A permissive value must never override a stricter applicable gate.</w:t>
      </w:r>
    </w:p>
    <w:p>
      <w:pPr>
        <w:pStyle w:val="Heading2"/>
      </w:pPr>
      <w:r>
        <w:t>2. Define HOLD → signal semantics</w:t>
      </w:r>
    </w:p>
    <w:p>
      <w:r>
        <w:t>Explicitly define what HOLD means with an existing long position, with no position, and in relation to TargetConstruction.</w:t>
      </w:r>
    </w:p>
    <w:p>
      <w:pPr>
        <w:pStyle w:val="Heading2"/>
      </w:pPr>
      <w:r>
        <w:t>3. Fix temporal semantics</w:t>
      </w:r>
    </w:p>
    <w:p>
      <w:r>
        <w:t>Add received_at/admitted_at and prevent retroactive action when actionable_at is earlier than the bridge's actual admission time.</w:t>
      </w:r>
    </w:p>
    <w:p>
      <w:pPr>
        <w:pStyle w:val="Heading2"/>
      </w:pPr>
      <w:r>
        <w:t>4. Fix expiry comparison</w:t>
      </w:r>
    </w:p>
    <w:p>
      <w:r>
        <w:t>Use actionable_at &gt;= expires_at → REFUSE if the artifact is valid only for t &lt; expires_at.</w:t>
      </w:r>
    </w:p>
    <w:p>
      <w:pPr>
        <w:pStyle w:val="Heading2"/>
      </w:pPr>
      <w:r>
        <w:t>5. Define allocation validation</w:t>
      </w:r>
    </w:p>
    <w:p>
      <w:r>
        <w:t>Explicitly validate the allocation domain, e.g. 0 ≤ allocation ≤ 100%, and reject NaN, infinity, negative, and over-limit values rather than silently clamping them.</w:t>
      </w:r>
    </w:p>
    <w:p>
      <w:pPr>
        <w:pStyle w:val="Heading1"/>
      </w:pPr>
      <w:r>
        <w:t>5. P1 — Strongly Recommended</w:t>
      </w:r>
    </w:p>
    <w:p>
      <w:pPr>
        <w:pStyle w:val="Heading2"/>
      </w:pPr>
      <w:r>
        <w:t>6. Define SELL → flat explicitly</w:t>
      </w:r>
    </w:p>
    <w:p>
      <w:r>
        <w:t>For long-only v1, SELL + existing long should map to a zero target; TargetReconciler determines the minimal reduction.</w:t>
      </w:r>
    </w:p>
    <w:p>
      <w:pPr>
        <w:pStyle w:val="Heading2"/>
      </w:pPr>
      <w:r>
        <w:t>7. Define idempotency after venue rejection</w:t>
      </w:r>
    </w:p>
    <w:p>
      <w:r>
        <w:t>Replay must not silently create another order. Any retry should require an explicit new execution-attempt identity and retry policy.</w:t>
      </w:r>
    </w:p>
    <w:p>
      <w:pPr>
        <w:pStyle w:val="Heading2"/>
      </w:pPr>
      <w:r>
        <w:t>8. Add producer authorization</w:t>
      </w:r>
    </w:p>
    <w:p>
      <w:r>
        <w:t>Distinguish an unknown producer from a known but unauthorized producer.</w:t>
      </w:r>
    </w:p>
    <w:p>
      <w:pPr>
        <w:pStyle w:val="Heading2"/>
      </w:pPr>
      <w:r>
        <w:t>9. Add bridge attribution metrics</w:t>
      </w:r>
    </w:p>
    <w:p>
      <w:r>
        <w:t>Track research allocation, engine target, risk-approved target, and actual filled exposure.</w:t>
      </w:r>
    </w:p>
    <w:p>
      <w:pPr>
        <w:pStyle w:val="Heading2"/>
      </w:pPr>
      <w:r>
        <w:t>10. Expand the test matrix</w:t>
      </w:r>
    </w:p>
    <w:p>
      <w:r>
        <w:t>Add temporal, gate-conflict, HOLD, allocation-boundary, and venue-rejection/replay tests.</w:t>
      </w:r>
    </w:p>
    <w:p>
      <w:pPr>
        <w:pStyle w:val="Heading1"/>
      </w:pPr>
      <w:r>
        <w:t>6. Gate Precedence — Recommended Rule</w:t>
      </w:r>
    </w:p>
    <w:p>
      <w:r>
        <w:t>The document should add an explicit deterministic aggregation rule for the research-side gates. A practical rule is to order states by restrictiveness and resolve conflicts to the most restrictive applicable state.</w:t>
      </w:r>
    </w:p>
    <w:tbl>
      <w:tblPr>
        <w:tblStyle w:val="TableGrid"/>
        <w:tblW w:type="auto" w:w="0"/>
        <w:jc w:val="center"/>
        <w:tblLook w:firstColumn="1" w:firstRow="1" w:lastColumn="0" w:lastRow="0" w:noHBand="0" w:noVBand="1" w:val="04A0"/>
      </w:tblPr>
      <w:tblGrid>
        <w:gridCol w:w="5040"/>
        <w:gridCol w:w="5040"/>
      </w:tblGrid>
      <w:tr>
        <w:tc>
          <w:tcPr>
            <w:tcW w:type="dxa" w:w="5040"/>
            <w:shd w:fill="E9EFF7"/>
            <w:vAlign w:val="center"/>
          </w:tcPr>
          <w:p>
            <w:r>
              <w:rPr>
                <w:b/>
              </w:rPr>
              <w:t>Input combination</w:t>
            </w:r>
          </w:p>
        </w:tc>
        <w:tc>
          <w:tcPr>
            <w:tcW w:type="dxa" w:w="5040"/>
            <w:shd w:fill="E9EFF7"/>
            <w:vAlign w:val="center"/>
          </w:tcPr>
          <w:p>
            <w:r>
              <w:rPr>
                <w:b/>
              </w:rPr>
              <w:t>Expected result</w:t>
            </w:r>
          </w:p>
        </w:tc>
      </w:tr>
      <w:tr>
        <w:tc>
          <w:tcPr>
            <w:tcW w:type="dxa" w:w="5040"/>
            <w:vAlign w:val="top"/>
          </w:tcPr>
          <w:p>
            <w:r>
              <w:t>PASS + PASS + PASS</w:t>
            </w:r>
          </w:p>
        </w:tc>
        <w:tc>
          <w:tcPr>
            <w:tcW w:type="dxa" w:w="5040"/>
            <w:vAlign w:val="top"/>
          </w:tcPr>
          <w:p>
            <w:r>
              <w:t>PASS</w:t>
            </w:r>
          </w:p>
        </w:tc>
      </w:tr>
      <w:tr>
        <w:tc>
          <w:tcPr>
            <w:tcW w:type="dxa" w:w="5040"/>
            <w:vAlign w:val="top"/>
          </w:tcPr>
          <w:p>
            <w:r>
              <w:t>PASS + UNCERTAIN + PASS</w:t>
            </w:r>
          </w:p>
        </w:tc>
        <w:tc>
          <w:tcPr>
            <w:tcW w:type="dxa" w:w="5040"/>
            <w:vAlign w:val="top"/>
          </w:tcPr>
          <w:p>
            <w:r>
              <w:t>UNCERTAIN</w:t>
            </w:r>
          </w:p>
        </w:tc>
      </w:tr>
      <w:tr>
        <w:tc>
          <w:tcPr>
            <w:tcW w:type="dxa" w:w="5040"/>
            <w:vAlign w:val="top"/>
          </w:tcPr>
          <w:p>
            <w:r>
              <w:t>PASS + REJECT + PASS</w:t>
            </w:r>
          </w:p>
        </w:tc>
        <w:tc>
          <w:tcPr>
            <w:tcW w:type="dxa" w:w="5040"/>
            <w:vAlign w:val="top"/>
          </w:tcPr>
          <w:p>
            <w:r>
              <w:t>REJECT</w:t>
            </w:r>
          </w:p>
        </w:tc>
      </w:tr>
      <w:tr>
        <w:tc>
          <w:tcPr>
            <w:tcW w:type="dxa" w:w="5040"/>
            <w:vAlign w:val="top"/>
          </w:tcPr>
          <w:p>
            <w:r>
              <w:t>Any research REJECT + other permissive values</w:t>
            </w:r>
          </w:p>
        </w:tc>
        <w:tc>
          <w:tcPr>
            <w:tcW w:type="dxa" w:w="5040"/>
            <w:vAlign w:val="top"/>
          </w:tcPr>
          <w:p>
            <w:r>
              <w:t>REJECT</w:t>
            </w:r>
          </w:p>
        </w:tc>
      </w:tr>
      <w:tr>
        <w:tc>
          <w:tcPr>
            <w:tcW w:type="dxa" w:w="5040"/>
            <w:vAlign w:val="top"/>
          </w:tcPr>
          <w:p>
            <w:r>
              <w:t>Research PASS + engine REJECT</w:t>
            </w:r>
          </w:p>
        </w:tc>
        <w:tc>
          <w:tcPr>
            <w:tcW w:type="dxa" w:w="5040"/>
            <w:vAlign w:val="top"/>
          </w:tcPr>
          <w:p>
            <w:r>
              <w:t>REJECT</w:t>
            </w:r>
          </w:p>
        </w:tc>
      </w:tr>
    </w:tbl>
    <w:p>
      <w:r>
        <w:t>This should be expressed as an invariant so two implementations cannot interpret the same artifact differently.</w:t>
      </w:r>
    </w:p>
    <w:p>
      <w:pPr>
        <w:pStyle w:val="Heading1"/>
      </w:pPr>
      <w:r>
        <w:t>7. HOLD and SELL Semantics</w:t>
      </w:r>
    </w:p>
    <w:p>
      <w:r>
        <w:t>Research ratings such as BUY/HOLD/SELL should not be treated as direct LONG/FLAT/SHORT instructions. The bridge needs an explicit state-aware mapping.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FF7"/>
            <w:vAlign w:val="center"/>
          </w:tcPr>
          <w:p>
            <w:r>
              <w:rPr>
                <w:b/>
              </w:rPr>
              <w:t>Research view</w:t>
            </w:r>
          </w:p>
        </w:tc>
        <w:tc>
          <w:tcPr>
            <w:tcW w:type="dxa" w:w="3360"/>
            <w:shd w:fill="E9EFF7"/>
            <w:vAlign w:val="center"/>
          </w:tcPr>
          <w:p>
            <w:r>
              <w:rPr>
                <w:b/>
              </w:rPr>
              <w:t>Existing position</w:t>
            </w:r>
          </w:p>
        </w:tc>
        <w:tc>
          <w:tcPr>
            <w:tcW w:type="dxa" w:w="3360"/>
            <w:shd w:fill="E9EFF7"/>
            <w:vAlign w:val="center"/>
          </w:tcPr>
          <w:p>
            <w:r>
              <w:rPr>
                <w:b/>
              </w:rPr>
              <w:t>Recommended v1 interpretation</w:t>
            </w:r>
          </w:p>
        </w:tc>
      </w:tr>
      <w:tr>
        <w:tc>
          <w:tcPr>
            <w:tcW w:type="dxa" w:w="3360"/>
            <w:vAlign w:val="top"/>
          </w:tcPr>
          <w:p>
            <w:r>
              <w:t>BUY</w:t>
            </w:r>
          </w:p>
        </w:tc>
        <w:tc>
          <w:tcPr>
            <w:tcW w:type="dxa" w:w="3360"/>
            <w:vAlign w:val="top"/>
          </w:tcPr>
          <w:p>
            <w:r>
              <w:t>Flat</w:t>
            </w:r>
          </w:p>
        </w:tc>
        <w:tc>
          <w:tcPr>
            <w:tcW w:type="dxa" w:w="3360"/>
            <w:vAlign w:val="top"/>
          </w:tcPr>
          <w:p>
            <w:r>
              <w:t>LONG signal / positive target subject to engine constraints</w:t>
            </w:r>
          </w:p>
        </w:tc>
      </w:tr>
      <w:tr>
        <w:tc>
          <w:tcPr>
            <w:tcW w:type="dxa" w:w="3360"/>
            <w:vAlign w:val="top"/>
          </w:tcPr>
          <w:p>
            <w:r>
              <w:t>BUY</w:t>
            </w:r>
          </w:p>
        </w:tc>
        <w:tc>
          <w:tcPr>
            <w:tcW w:type="dxa" w:w="3360"/>
            <w:vAlign w:val="top"/>
          </w:tcPr>
          <w:p>
            <w:r>
              <w:t>Long</w:t>
            </w:r>
          </w:p>
        </w:tc>
        <w:tc>
          <w:tcPr>
            <w:tcW w:type="dxa" w:w="3360"/>
            <w:vAlign w:val="top"/>
          </w:tcPr>
          <w:p>
            <w:r>
              <w:t>Maintain or reconcile toward allowed target</w:t>
            </w:r>
          </w:p>
        </w:tc>
      </w:tr>
      <w:tr>
        <w:tc>
          <w:tcPr>
            <w:tcW w:type="dxa" w:w="3360"/>
            <w:vAlign w:val="top"/>
          </w:tcPr>
          <w:p>
            <w:r>
              <w:t>HOLD</w:t>
            </w:r>
          </w:p>
        </w:tc>
        <w:tc>
          <w:tcPr>
            <w:tcW w:type="dxa" w:w="3360"/>
            <w:vAlign w:val="top"/>
          </w:tcPr>
          <w:p>
            <w:r>
              <w:t>Long</w:t>
            </w:r>
          </w:p>
        </w:tc>
        <w:tc>
          <w:tcPr>
            <w:tcW w:type="dxa" w:w="3360"/>
            <w:vAlign w:val="top"/>
          </w:tcPr>
          <w:p>
            <w:r>
              <w:t>Maintain-only semantics; do not invent a new direction</w:t>
            </w:r>
          </w:p>
        </w:tc>
      </w:tr>
      <w:tr>
        <w:tc>
          <w:tcPr>
            <w:tcW w:type="dxa" w:w="3360"/>
            <w:vAlign w:val="top"/>
          </w:tcPr>
          <w:p>
            <w:r>
              <w:t>HOLD</w:t>
            </w:r>
          </w:p>
        </w:tc>
        <w:tc>
          <w:tcPr>
            <w:tcW w:type="dxa" w:w="3360"/>
            <w:vAlign w:val="top"/>
          </w:tcPr>
          <w:p>
            <w:r>
              <w:t>Flat</w:t>
            </w:r>
          </w:p>
        </w:tc>
        <w:tc>
          <w:tcPr>
            <w:tcW w:type="dxa" w:w="3360"/>
            <w:vAlign w:val="top"/>
          </w:tcPr>
          <w:p>
            <w:r>
              <w:t>NO_SIGNAL</w:t>
            </w:r>
          </w:p>
        </w:tc>
      </w:tr>
      <w:tr>
        <w:tc>
          <w:tcPr>
            <w:tcW w:type="dxa" w:w="3360"/>
            <w:vAlign w:val="top"/>
          </w:tcPr>
          <w:p>
            <w:r>
              <w:t>SELL</w:t>
            </w:r>
          </w:p>
        </w:tc>
        <w:tc>
          <w:tcPr>
            <w:tcW w:type="dxa" w:w="3360"/>
            <w:vAlign w:val="top"/>
          </w:tcPr>
          <w:p>
            <w:r>
              <w:t>Long</w:t>
            </w:r>
          </w:p>
        </w:tc>
        <w:tc>
          <w:tcPr>
            <w:tcW w:type="dxa" w:w="3360"/>
            <w:vAlign w:val="top"/>
          </w:tcPr>
          <w:p>
            <w:r>
              <w:t>Target = 0 / flatten in long-only v1</w:t>
            </w:r>
          </w:p>
        </w:tc>
      </w:tr>
      <w:tr>
        <w:tc>
          <w:tcPr>
            <w:tcW w:type="dxa" w:w="3360"/>
            <w:vAlign w:val="top"/>
          </w:tcPr>
          <w:p>
            <w:r>
              <w:t>SELL</w:t>
            </w:r>
          </w:p>
        </w:tc>
        <w:tc>
          <w:tcPr>
            <w:tcW w:type="dxa" w:w="3360"/>
            <w:vAlign w:val="top"/>
          </w:tcPr>
          <w:p>
            <w:r>
              <w:t>Flat</w:t>
            </w:r>
          </w:p>
        </w:tc>
        <w:tc>
          <w:tcPr>
            <w:tcW w:type="dxa" w:w="3360"/>
            <w:vAlign w:val="top"/>
          </w:tcPr>
          <w:p>
            <w:r>
              <w:t>NO_SIGNAL; never accidental short</w:t>
            </w:r>
          </w:p>
        </w:tc>
      </w:tr>
    </w:tbl>
    <w:p>
      <w:r>
        <w:t>For v1, make the long-only policy explicit. Future long-short behavior can be introduced as a separate policy rather than left as an implicit implementation branch.</w:t>
      </w:r>
    </w:p>
    <w:p>
      <w:pPr>
        <w:pStyle w:val="Heading1"/>
      </w:pPr>
      <w:r>
        <w:t>8. Temporal Semantics</w:t>
      </w:r>
    </w:p>
    <w:p>
      <w:r>
        <w:t>The revised calendar-based actionability model is correct, but produced_at is a historical fact about the artifact, not necessarily the instant at which the engine can act.</w:t>
      </w:r>
    </w:p>
    <w:tbl>
      <w:tblPr>
        <w:tblStyle w:val="TableGrid"/>
        <w:tblW w:type="auto" w:w="0"/>
        <w:jc w:val="center"/>
        <w:tblLook w:firstColumn="1" w:firstRow="1" w:lastColumn="0" w:lastRow="0" w:noHBand="0" w:noVBand="1" w:val="04A0"/>
      </w:tblPr>
      <w:tblGrid>
        <w:gridCol w:w="5040"/>
        <w:gridCol w:w="5040"/>
      </w:tblGrid>
      <w:tr>
        <w:tc>
          <w:tcPr>
            <w:tcW w:type="dxa" w:w="5040"/>
            <w:shd w:fill="E9EFF7"/>
            <w:vAlign w:val="center"/>
          </w:tcPr>
          <w:p>
            <w:r>
              <w:rPr>
                <w:b/>
              </w:rPr>
              <w:t>Field</w:t>
            </w:r>
          </w:p>
        </w:tc>
        <w:tc>
          <w:tcPr>
            <w:tcW w:type="dxa" w:w="5040"/>
            <w:shd w:fill="E9EFF7"/>
            <w:vAlign w:val="center"/>
          </w:tcPr>
          <w:p>
            <w:r>
              <w:rPr>
                <w:b/>
              </w:rPr>
              <w:t>Meaning</w:t>
            </w:r>
          </w:p>
        </w:tc>
      </w:tr>
      <w:tr>
        <w:tc>
          <w:tcPr>
            <w:tcW w:type="dxa" w:w="5040"/>
            <w:vAlign w:val="top"/>
          </w:tcPr>
          <w:p>
            <w:r>
              <w:t>effective_date</w:t>
            </w:r>
          </w:p>
        </w:tc>
        <w:tc>
          <w:tcPr>
            <w:tcW w:type="dxa" w:w="5040"/>
            <w:vAlign w:val="top"/>
          </w:tcPr>
          <w:p>
            <w:r>
              <w:t>Reference/economic date of the research decision</w:t>
            </w:r>
          </w:p>
        </w:tc>
      </w:tr>
      <w:tr>
        <w:tc>
          <w:tcPr>
            <w:tcW w:type="dxa" w:w="5040"/>
            <w:vAlign w:val="top"/>
          </w:tcPr>
          <w:p>
            <w:r>
              <w:t>produced_at</w:t>
            </w:r>
          </w:p>
        </w:tc>
        <w:tc>
          <w:tcPr>
            <w:tcW w:type="dxa" w:w="5040"/>
            <w:vAlign w:val="top"/>
          </w:tcPr>
          <w:p>
            <w:r>
              <w:t>When the research artifact was produced</w:t>
            </w:r>
          </w:p>
        </w:tc>
      </w:tr>
      <w:tr>
        <w:tc>
          <w:tcPr>
            <w:tcW w:type="dxa" w:w="5040"/>
            <w:vAlign w:val="top"/>
          </w:tcPr>
          <w:p>
            <w:r>
              <w:t>received_at / admitted_at</w:t>
            </w:r>
          </w:p>
        </w:tc>
        <w:tc>
          <w:tcPr>
            <w:tcW w:type="dxa" w:w="5040"/>
            <w:vAlign w:val="top"/>
          </w:tcPr>
          <w:p>
            <w:r>
              <w:t>When the bridge actually received/accepted it</w:t>
            </w:r>
          </w:p>
        </w:tc>
      </w:tr>
      <w:tr>
        <w:tc>
          <w:tcPr>
            <w:tcW w:type="dxa" w:w="5040"/>
            <w:vAlign w:val="top"/>
          </w:tcPr>
          <w:p>
            <w:r>
              <w:t>actionable_at</w:t>
            </w:r>
          </w:p>
        </w:tc>
        <w:tc>
          <w:tcPr>
            <w:tcW w:type="dxa" w:w="5040"/>
            <w:vAlign w:val="top"/>
          </w:tcPr>
          <w:p>
            <w:r>
              <w:t>Earliest legal action time after calendar and availability resolution</w:t>
            </w:r>
          </w:p>
        </w:tc>
      </w:tr>
      <w:tr>
        <w:tc>
          <w:tcPr>
            <w:tcW w:type="dxa" w:w="5040"/>
            <w:vAlign w:val="top"/>
          </w:tcPr>
          <w:p>
            <w:r>
              <w:t>expires_at</w:t>
            </w:r>
          </w:p>
        </w:tc>
        <w:tc>
          <w:tcPr>
            <w:tcW w:type="dxa" w:w="5040"/>
            <w:vAlign w:val="top"/>
          </w:tcPr>
          <w:p>
            <w:r>
              <w:t>Time at which the artifact ceases to be actionable</w:t>
            </w:r>
          </w:p>
        </w:tc>
      </w:tr>
    </w:tbl>
    <w:p>
      <w:r>
        <w:t>For live processing, ensure the effective action time cannot be retroactive. A useful conceptual rule is: effective action time = max(calendar-resolved actionable time, admitted_at).</w:t>
      </w:r>
    </w:p>
    <w:p>
      <w:pPr>
        <w:pStyle w:val="Heading1"/>
      </w:pPr>
      <w:r>
        <w:t>9. Allocation Ceiling and Numeric Validation</w:t>
      </w:r>
    </w:p>
    <w:p>
      <w:r>
        <w:t>The revised I13 treatment is correct: research allocation is a ceiling/advisory constraint, not an absolute portfolio instruction.</w:t>
      </w:r>
    </w:p>
    <w:p>
      <w:pPr>
        <w:pStyle w:val="ListBullet"/>
      </w:pPr>
      <w:r>
        <w:t>Validate allocation before projection.</w:t>
      </w:r>
    </w:p>
    <w:p>
      <w:pPr>
        <w:pStyle w:val="ListBullet"/>
      </w:pPr>
      <w:r>
        <w:t>Reject NaN and infinity.</w:t>
      </w:r>
    </w:p>
    <w:p>
      <w:pPr>
        <w:pStyle w:val="ListBullet"/>
      </w:pPr>
      <w:r>
        <w:t>Reject negative allocations.</w:t>
      </w:r>
    </w:p>
    <w:p>
      <w:pPr>
        <w:pStyle w:val="ListBullet"/>
      </w:pPr>
      <w:r>
        <w:t>Reject allocations above the defined maximum rather than silently clamping them.</w:t>
      </w:r>
    </w:p>
    <w:p>
      <w:pPr>
        <w:pStyle w:val="ListBullet"/>
      </w:pPr>
      <w:r>
        <w:t>Normalize percentage representation exactly once.</w:t>
      </w:r>
    </w:p>
    <w:p>
      <w:pPr>
        <w:pStyle w:val="ListBullet"/>
      </w:pPr>
      <w:r>
        <w:t>Keep execution-bearing numeric fields separate from research-only score/confidence fields.</w:t>
      </w:r>
    </w:p>
    <w:p>
      <w:r>
        <w:t>Recommended additional refusal reason: ALLOCATION_INVALID.</w:t>
      </w:r>
    </w:p>
    <w:p>
      <w:pPr>
        <w:pStyle w:val="Heading1"/>
      </w:pPr>
      <w:r>
        <w:t>10. Idempotency and Order Identity</w:t>
      </w:r>
    </w:p>
    <w:p>
      <w:r>
        <w:t>The separation of decision_id, idempotency_key, and client_order_id is a strong design choice. The remaining requirement is to define replay behavior after venue rejection.</w:t>
      </w:r>
    </w:p>
    <w:p>
      <w:pPr>
        <w:pStyle w:val="ListBullet"/>
      </w:pPr>
      <w:r>
        <w:t>A logical artifact/order-role identity is immutable for the lifetime of the decision.</w:t>
      </w:r>
    </w:p>
    <w:p>
      <w:pPr>
        <w:pStyle w:val="ListBullet"/>
      </w:pPr>
      <w:r>
        <w:t>Replay of the same artifact must not silently produce a second order.</w:t>
      </w:r>
    </w:p>
    <w:p>
      <w:pPr>
        <w:pStyle w:val="ListBullet"/>
      </w:pPr>
      <w:r>
        <w:t>A venue rejection does not automatically make the same client-order identity reusable.</w:t>
      </w:r>
    </w:p>
    <w:p>
      <w:pPr>
        <w:pStyle w:val="ListBullet"/>
      </w:pPr>
      <w:r>
        <w:t>Any retry should require an explicit retry policy and a distinct execution-attempt identity.</w:t>
      </w:r>
    </w:p>
    <w:p>
      <w:pPr>
        <w:pStyle w:val="Heading1"/>
      </w:pPr>
      <w:r>
        <w:t>11. Measurement Recommendations</w:t>
      </w:r>
    </w:p>
    <w:p>
      <w:r>
        <w:t>The measurement section is strong. It should additionally separate research signal quality, bridge policy effects, and execution realization so poor performance can be attributed correctly.</w:t>
      </w:r>
    </w:p>
    <w:tbl>
      <w:tblPr>
        <w:tblStyle w:val="TableGrid"/>
        <w:tblW w:type="auto" w:w="0"/>
        <w:jc w:val="center"/>
        <w:tblLook w:firstColumn="1" w:firstRow="1" w:lastColumn="0" w:lastRow="0" w:noHBand="0" w:noVBand="1" w:val="04A0"/>
      </w:tblPr>
      <w:tblGrid>
        <w:gridCol w:w="5040"/>
        <w:gridCol w:w="5040"/>
      </w:tblGrid>
      <w:tr>
        <w:tc>
          <w:tcPr>
            <w:tcW w:type="dxa" w:w="5040"/>
            <w:shd w:fill="E9EFF7"/>
            <w:vAlign w:val="center"/>
          </w:tcPr>
          <w:p>
            <w:r>
              <w:rPr>
                <w:b/>
              </w:rPr>
              <w:t>Layer</w:t>
            </w:r>
          </w:p>
        </w:tc>
        <w:tc>
          <w:tcPr>
            <w:tcW w:type="dxa" w:w="5040"/>
            <w:shd w:fill="E9EFF7"/>
            <w:vAlign w:val="center"/>
          </w:tcPr>
          <w:p>
            <w:r>
              <w:rPr>
                <w:b/>
              </w:rPr>
              <w:t>Measure</w:t>
            </w:r>
          </w:p>
        </w:tc>
      </w:tr>
      <w:tr>
        <w:tc>
          <w:tcPr>
            <w:tcW w:type="dxa" w:w="5040"/>
            <w:vAlign w:val="top"/>
          </w:tcPr>
          <w:p>
            <w:r>
              <w:t>Research signal quality</w:t>
            </w:r>
          </w:p>
        </w:tc>
        <w:tc>
          <w:tcPr>
            <w:tcW w:type="dxa" w:w="5040"/>
            <w:vAlign w:val="top"/>
          </w:tcPr>
          <w:p>
            <w:r>
              <w:t>IC, hit rate, forward return, confidence calibration, regime-conditioned performance</w:t>
            </w:r>
          </w:p>
        </w:tc>
      </w:tr>
      <w:tr>
        <w:tc>
          <w:tcPr>
            <w:tcW w:type="dxa" w:w="5040"/>
            <w:vAlign w:val="top"/>
          </w:tcPr>
          <w:p>
            <w:r>
              <w:t>Bridge policy</w:t>
            </w:r>
          </w:p>
        </w:tc>
        <w:tc>
          <w:tcPr>
            <w:tcW w:type="dxa" w:w="5040"/>
            <w:vAlign w:val="top"/>
          </w:tcPr>
          <w:p>
            <w:r>
              <w:t>Admission rate, refusal reasons, UNCERTAIN multiplier effect, allocation caps</w:t>
            </w:r>
          </w:p>
        </w:tc>
      </w:tr>
      <w:tr>
        <w:tc>
          <w:tcPr>
            <w:tcW w:type="dxa" w:w="5040"/>
            <w:vAlign w:val="top"/>
          </w:tcPr>
          <w:p>
            <w:r>
              <w:t>Execution realization</w:t>
            </w:r>
          </w:p>
        </w:tc>
        <w:tc>
          <w:tcPr>
            <w:tcW w:type="dxa" w:w="5040"/>
            <w:vAlign w:val="top"/>
          </w:tcPr>
          <w:p>
            <w:r>
              <w:t>Target-to-order conversion, slippage, fill rate, realized exposure, execution P&amp;L</w:t>
            </w:r>
          </w:p>
        </w:tc>
      </w:tr>
    </w:tbl>
    <w:p>
      <w:r>
        <w:t>A particularly useful attribution chain is: research allocation → engine target → bridge-capped target → risk-approved target → actual filled exposure. This shows where intended exposure was reduced.</w:t>
      </w:r>
    </w:p>
    <w:p>
      <w:pPr>
        <w:pStyle w:val="Heading1"/>
      </w:pPr>
      <w:r>
        <w:t>12. Recommended Additional Refusal Vocabulary</w:t>
      </w:r>
    </w:p>
    <w:tbl>
      <w:tblPr>
        <w:tblStyle w:val="TableGrid"/>
        <w:tblW w:type="auto" w:w="0"/>
        <w:jc w:val="center"/>
        <w:tblLook w:firstColumn="1" w:firstRow="1" w:lastColumn="0" w:lastRow="0" w:noHBand="0" w:noVBand="1" w:val="04A0"/>
      </w:tblPr>
      <w:tblGrid>
        <w:gridCol w:w="5040"/>
        <w:gridCol w:w="5040"/>
      </w:tblGrid>
      <w:tr>
        <w:tc>
          <w:tcPr>
            <w:tcW w:type="dxa" w:w="5040"/>
            <w:shd w:fill="E9EFF7"/>
            <w:vAlign w:val="center"/>
          </w:tcPr>
          <w:p>
            <w:r>
              <w:rPr>
                <w:b/>
              </w:rPr>
              <w:t>Reason</w:t>
            </w:r>
          </w:p>
        </w:tc>
        <w:tc>
          <w:tcPr>
            <w:tcW w:type="dxa" w:w="5040"/>
            <w:shd w:fill="E9EFF7"/>
            <w:vAlign w:val="center"/>
          </w:tcPr>
          <w:p>
            <w:r>
              <w:rPr>
                <w:b/>
              </w:rPr>
              <w:t>Use</w:t>
            </w:r>
          </w:p>
        </w:tc>
      </w:tr>
      <w:tr>
        <w:tc>
          <w:tcPr>
            <w:tcW w:type="dxa" w:w="5040"/>
            <w:vAlign w:val="top"/>
          </w:tcPr>
          <w:p>
            <w:r>
              <w:t>ALLOCATION_INVALID</w:t>
            </w:r>
          </w:p>
        </w:tc>
        <w:tc>
          <w:tcPr>
            <w:tcW w:type="dxa" w:w="5040"/>
            <w:vAlign w:val="top"/>
          </w:tcPr>
          <w:p>
            <w:r>
              <w:t>Allocation is negative, above limit, NaN, infinity, or otherwise outside contract</w:t>
            </w:r>
          </w:p>
        </w:tc>
      </w:tr>
      <w:tr>
        <w:tc>
          <w:tcPr>
            <w:tcW w:type="dxa" w:w="5040"/>
            <w:vAlign w:val="top"/>
          </w:tcPr>
          <w:p>
            <w:r>
              <w:t>PRODUCER_UNAUTHORIZED</w:t>
            </w:r>
          </w:p>
        </w:tc>
        <w:tc>
          <w:tcPr>
            <w:tcW w:type="dxa" w:w="5040"/>
            <w:vAlign w:val="top"/>
          </w:tcPr>
          <w:p>
            <w:r>
              <w:t>Producer is known but not approved for consumption</w:t>
            </w:r>
          </w:p>
        </w:tc>
      </w:tr>
      <w:tr>
        <w:tc>
          <w:tcPr>
            <w:tcW w:type="dxa" w:w="5040"/>
            <w:vAlign w:val="top"/>
          </w:tcPr>
          <w:p>
            <w:r>
              <w:t>ACTIONABILITY_PAST</w:t>
            </w:r>
          </w:p>
        </w:tc>
        <w:tc>
          <w:tcPr>
            <w:tcW w:type="dxa" w:w="5040"/>
            <w:vAlign w:val="top"/>
          </w:tcPr>
          <w:p>
            <w:r>
              <w:t>Resolved action time is already in the past relative to admission/live processing</w:t>
            </w:r>
          </w:p>
        </w:tc>
      </w:tr>
      <w:tr>
        <w:tc>
          <w:tcPr>
            <w:tcW w:type="dxa" w:w="5040"/>
            <w:vAlign w:val="top"/>
          </w:tcPr>
          <w:p>
            <w:r>
              <w:t>GATE_CONFLICT</w:t>
            </w:r>
          </w:p>
        </w:tc>
        <w:tc>
          <w:tcPr>
            <w:tcW w:type="dxa" w:w="5040"/>
            <w:vAlign w:val="top"/>
          </w:tcPr>
          <w:p>
            <w:r>
              <w:t>Optional diagnostic attribute when multiple research-side gates conflict</w:t>
            </w:r>
          </w:p>
        </w:tc>
      </w:tr>
    </w:tbl>
    <w:p>
      <w:r>
        <w:t>GATE_CONFLICT is better treated as a diagnostic attribute if the final effective gate is deterministically resolved to the restrictive state.</w:t>
      </w:r>
    </w:p>
    <w:p>
      <w:pPr>
        <w:pStyle w:val="Heading1"/>
      </w:pPr>
      <w:r>
        <w:t>13. Recommended Test Matrix Additions</w:t>
      </w:r>
    </w:p>
    <w:tbl>
      <w:tblPr>
        <w:tblStyle w:val="TableGrid"/>
        <w:tblW w:type="auto" w:w="0"/>
        <w:jc w:val="center"/>
        <w:tblLook w:firstColumn="1" w:firstRow="1" w:lastColumn="0" w:lastRow="0" w:noHBand="0" w:noVBand="1" w:val="04A0"/>
      </w:tblPr>
      <w:tblGrid>
        <w:gridCol w:w="5040"/>
        <w:gridCol w:w="5040"/>
      </w:tblGrid>
      <w:tr>
        <w:tc>
          <w:tcPr>
            <w:tcW w:type="dxa" w:w="5040"/>
            <w:shd w:fill="E9EFF7"/>
            <w:vAlign w:val="center"/>
          </w:tcPr>
          <w:p>
            <w:r>
              <w:rPr>
                <w:b/>
              </w:rPr>
              <w:t>Test</w:t>
            </w:r>
          </w:p>
        </w:tc>
        <w:tc>
          <w:tcPr>
            <w:tcW w:type="dxa" w:w="5040"/>
            <w:shd w:fill="E9EFF7"/>
            <w:vAlign w:val="center"/>
          </w:tcPr>
          <w:p>
            <w:r>
              <w:rPr>
                <w:b/>
              </w:rPr>
              <w:t>Expected outcome</w:t>
            </w:r>
          </w:p>
        </w:tc>
      </w:tr>
      <w:tr>
        <w:tc>
          <w:tcPr>
            <w:tcW w:type="dxa" w:w="5040"/>
            <w:vAlign w:val="top"/>
          </w:tcPr>
          <w:p>
            <w:r>
              <w:t>expires_at == actionable_at</w:t>
            </w:r>
          </w:p>
        </w:tc>
        <w:tc>
          <w:tcPr>
            <w:tcW w:type="dxa" w:w="5040"/>
            <w:vAlign w:val="top"/>
          </w:tcPr>
          <w:p>
            <w:r>
              <w:t>Refuse</w:t>
            </w:r>
          </w:p>
        </w:tc>
      </w:tr>
      <w:tr>
        <w:tc>
          <w:tcPr>
            <w:tcW w:type="dxa" w:w="5040"/>
            <w:vAlign w:val="top"/>
          </w:tcPr>
          <w:p>
            <w:r>
              <w:t>produced_at &gt; expires_at</w:t>
            </w:r>
          </w:p>
        </w:tc>
        <w:tc>
          <w:tcPr>
            <w:tcW w:type="dxa" w:w="5040"/>
            <w:vAlign w:val="top"/>
          </w:tcPr>
          <w:p>
            <w:r>
              <w:t>Refuse</w:t>
            </w:r>
          </w:p>
        </w:tc>
      </w:tr>
      <w:tr>
        <w:tc>
          <w:tcPr>
            <w:tcW w:type="dxa" w:w="5040"/>
            <w:vAlign w:val="top"/>
          </w:tcPr>
          <w:p>
            <w:r>
              <w:t>received_at &gt; expires_at</w:t>
            </w:r>
          </w:p>
        </w:tc>
        <w:tc>
          <w:tcPr>
            <w:tcW w:type="dxa" w:w="5040"/>
            <w:vAlign w:val="top"/>
          </w:tcPr>
          <w:p>
            <w:r>
              <w:t>Refuse</w:t>
            </w:r>
          </w:p>
        </w:tc>
      </w:tr>
      <w:tr>
        <w:tc>
          <w:tcPr>
            <w:tcW w:type="dxa" w:w="5040"/>
            <w:vAlign w:val="top"/>
          </w:tcPr>
          <w:p>
            <w:r>
              <w:t>actionable_at &lt; received_at</w:t>
            </w:r>
          </w:p>
        </w:tc>
        <w:tc>
          <w:tcPr>
            <w:tcW w:type="dxa" w:w="5040"/>
            <w:vAlign w:val="top"/>
          </w:tcPr>
          <w:p>
            <w:r>
              <w:t>Prevent retroactive action according to policy</w:t>
            </w:r>
          </w:p>
        </w:tc>
      </w:tr>
      <w:tr>
        <w:tc>
          <w:tcPr>
            <w:tcW w:type="dxa" w:w="5040"/>
            <w:vAlign w:val="top"/>
          </w:tcPr>
          <w:p>
            <w:r>
              <w:t>BUY + allocation = 0</w:t>
            </w:r>
          </w:p>
        </w:tc>
        <w:tc>
          <w:tcPr>
            <w:tcW w:type="dxa" w:w="5040"/>
            <w:vAlign w:val="top"/>
          </w:tcPr>
          <w:p>
            <w:r>
              <w:t>No executable positive target / typed handling</w:t>
            </w:r>
          </w:p>
        </w:tc>
      </w:tr>
      <w:tr>
        <w:tc>
          <w:tcPr>
            <w:tcW w:type="dxa" w:w="5040"/>
            <w:vAlign w:val="top"/>
          </w:tcPr>
          <w:p>
            <w:r>
              <w:t>allocation &lt; 0</w:t>
            </w:r>
          </w:p>
        </w:tc>
        <w:tc>
          <w:tcPr>
            <w:tcW w:type="dxa" w:w="5040"/>
            <w:vAlign w:val="top"/>
          </w:tcPr>
          <w:p>
            <w:r>
              <w:t>Refuse</w:t>
            </w:r>
          </w:p>
        </w:tc>
      </w:tr>
      <w:tr>
        <w:tc>
          <w:tcPr>
            <w:tcW w:type="dxa" w:w="5040"/>
            <w:vAlign w:val="top"/>
          </w:tcPr>
          <w:p>
            <w:r>
              <w:t>allocation &gt; configured maximum</w:t>
            </w:r>
          </w:p>
        </w:tc>
        <w:tc>
          <w:tcPr>
            <w:tcW w:type="dxa" w:w="5040"/>
            <w:vAlign w:val="top"/>
          </w:tcPr>
          <w:p>
            <w:r>
              <w:t>Refuse</w:t>
            </w:r>
          </w:p>
        </w:tc>
      </w:tr>
      <w:tr>
        <w:tc>
          <w:tcPr>
            <w:tcW w:type="dxa" w:w="5040"/>
            <w:vAlign w:val="top"/>
          </w:tcPr>
          <w:p>
            <w:r>
              <w:t>PASS + REJECT research gates</w:t>
            </w:r>
          </w:p>
        </w:tc>
        <w:tc>
          <w:tcPr>
            <w:tcW w:type="dxa" w:w="5040"/>
            <w:vAlign w:val="top"/>
          </w:tcPr>
          <w:p>
            <w:r>
              <w:t>Deterministic restrictive result</w:t>
            </w:r>
          </w:p>
        </w:tc>
      </w:tr>
      <w:tr>
        <w:tc>
          <w:tcPr>
            <w:tcW w:type="dxa" w:w="5040"/>
            <w:vAlign w:val="top"/>
          </w:tcPr>
          <w:p>
            <w:r>
              <w:t>HOLD + existing long</w:t>
            </w:r>
          </w:p>
        </w:tc>
        <w:tc>
          <w:tcPr>
            <w:tcW w:type="dxa" w:w="5040"/>
            <w:vAlign w:val="top"/>
          </w:tcPr>
          <w:p>
            <w:r>
              <w:t>Explicit maintain semantics</w:t>
            </w:r>
          </w:p>
        </w:tc>
      </w:tr>
      <w:tr>
        <w:tc>
          <w:tcPr>
            <w:tcW w:type="dxa" w:w="5040"/>
            <w:vAlign w:val="top"/>
          </w:tcPr>
          <w:p>
            <w:r>
              <w:t>Venue rejects order + artifact replay</w:t>
            </w:r>
          </w:p>
        </w:tc>
        <w:tc>
          <w:tcPr>
            <w:tcW w:type="dxa" w:w="5040"/>
            <w:vAlign w:val="top"/>
          </w:tcPr>
          <w:p>
            <w:r>
              <w:t>No duplicate order</w:t>
            </w:r>
          </w:p>
        </w:tc>
      </w:tr>
    </w:tbl>
    <w:p>
      <w:pPr>
        <w:pStyle w:val="Heading1"/>
      </w:pPr>
      <w:r>
        <w:t>14. Final Recommendation</w:t>
      </w:r>
    </w:p>
    <w:p>
      <w:r>
        <w:t>Do not redesign the architecture. The updated design is substantially stronger and is close to implementation-ready. Make the five P0 changes first, then implement the bridge against the resulting explicit contract.</w:t>
      </w:r>
    </w:p>
    <w:p>
      <w:r>
        <w:t>The final boundary should remain: TradingAgents supplies a time-bounded, auditable research opinion; Nautilus independently determines whether that opinion can become exposure, computes the actual target and risk, and remains the sole authority over orders and fills.</w:t>
      </w:r>
    </w:p>
    <w:p>
      <w:pPr>
        <w:pStyle w:val="Heading1"/>
      </w:pPr>
      <w:r>
        <w:t>15. Implementation Readiness Checklist</w:t>
      </w:r>
    </w:p>
    <w:p>
      <w:r>
        <w:t>☐ Gate precedence documented and tested</w:t>
      </w:r>
    </w:p>
    <w:p>
      <w:r>
        <w:t>☐ HOLD and SELL mapping documented and tested</w:t>
      </w:r>
    </w:p>
    <w:p>
      <w:r>
        <w:t>☐ Temporal fields and expiry semantics finalized</w:t>
      </w:r>
    </w:p>
    <w:p>
      <w:r>
        <w:t>☐ Tradability implementation verified in current execution code</w:t>
      </w:r>
    </w:p>
    <w:p>
      <w:r>
        <w:t>☐ Allocation bounds and numeric validation implemented</w:t>
      </w:r>
    </w:p>
    <w:p>
      <w:r>
        <w:t>☐ Idempotent replay behavior defined</w:t>
      </w:r>
    </w:p>
    <w:p>
      <w:r>
        <w:t>☐ Producer authorization defined</w:t>
      </w:r>
    </w:p>
    <w:p>
      <w:r>
        <w:t>☐ Bridge attribution fields persisted</w:t>
      </w:r>
    </w:p>
    <w:p>
      <w:r>
        <w:t>☐ Refusal vocabulary finalized</w:t>
      </w:r>
    </w:p>
    <w:p>
      <w:r>
        <w:t>☐ Acceptance test matrix expanded</w:t>
      </w:r>
    </w:p>
    <w:p/>
    <w:p>
      <w:pPr>
        <w:jc w:val="center"/>
      </w:pPr>
      <w:r>
        <w:rPr>
          <w:b/>
        </w:rPr>
        <w:t>End of Review</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