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498A" w:rsidRDefault="00AE30F9">
      <w:pPr>
        <w:pStyle w:val="Title"/>
        <w:contextualSpacing w:val="0"/>
        <w:jc w:val="center"/>
      </w:pPr>
      <w:bookmarkStart w:id="0" w:name="h.rueg9jgoe1l8" w:colFirst="0" w:colLast="0"/>
      <w:bookmarkEnd w:id="0"/>
      <w:r>
        <w:rPr>
          <w:b/>
        </w:rPr>
        <w:t>Cahier des charges - Projet Annuel</w:t>
      </w:r>
    </w:p>
    <w:p w:rsidR="00CE498A" w:rsidRDefault="00CE498A"/>
    <w:p w:rsidR="00CE498A" w:rsidRDefault="00AE30F9">
      <w:pPr>
        <w:pStyle w:val="Heading2"/>
        <w:contextualSpacing w:val="0"/>
      </w:pPr>
      <w:bookmarkStart w:id="1" w:name="h.6ypves4b310w" w:colFirst="0" w:colLast="0"/>
      <w:bookmarkEnd w:id="1"/>
      <w:r>
        <w:rPr>
          <w:b/>
          <w:color w:val="0B5394"/>
          <w:u w:val="single"/>
        </w:rPr>
        <w:t>Contexte</w:t>
      </w:r>
    </w:p>
    <w:p w:rsidR="00CE498A" w:rsidRDefault="00AE30F9">
      <w:r>
        <w:rPr>
          <w:b/>
        </w:rPr>
        <w:t>Mr SEGHAIER</w:t>
      </w:r>
      <w:r>
        <w:t>, responsable informatique des trois groupes suivants :</w:t>
      </w:r>
    </w:p>
    <w:p w:rsidR="00CE498A" w:rsidRDefault="00AE30F9">
      <w:pPr>
        <w:numPr>
          <w:ilvl w:val="0"/>
          <w:numId w:val="2"/>
        </w:numPr>
        <w:ind w:hanging="360"/>
        <w:contextualSpacing/>
      </w:pPr>
      <w:r>
        <w:t>Groupe Scolaire Saint-Louis Montcalm</w:t>
      </w:r>
    </w:p>
    <w:p w:rsidR="00CE498A" w:rsidRDefault="00AE30F9">
      <w:pPr>
        <w:numPr>
          <w:ilvl w:val="0"/>
          <w:numId w:val="2"/>
        </w:numPr>
        <w:ind w:hanging="360"/>
        <w:contextualSpacing/>
      </w:pPr>
      <w:r>
        <w:t>Groupe Scolaire Saint-Jean de Montmartre</w:t>
      </w:r>
    </w:p>
    <w:p w:rsidR="00CE498A" w:rsidRDefault="00AE30F9">
      <w:pPr>
        <w:numPr>
          <w:ilvl w:val="0"/>
          <w:numId w:val="2"/>
        </w:numPr>
        <w:ind w:hanging="360"/>
        <w:contextualSpacing/>
      </w:pPr>
      <w:r>
        <w:t>Groupe Scolaire La Madone</w:t>
      </w:r>
    </w:p>
    <w:p w:rsidR="00CE498A" w:rsidRDefault="00CE498A"/>
    <w:p w:rsidR="00CE498A" w:rsidRDefault="00AE30F9">
      <w:r>
        <w:t xml:space="preserve">Dirige actuellement un parc informatique de </w:t>
      </w:r>
      <w:r>
        <w:rPr>
          <w:b/>
          <w:u w:val="single"/>
        </w:rPr>
        <w:t>700 postes clients</w:t>
      </w:r>
      <w:r>
        <w:t xml:space="preserve"> et </w:t>
      </w:r>
      <w:r>
        <w:rPr>
          <w:b/>
          <w:u w:val="single"/>
        </w:rPr>
        <w:t>200 applications pédagogiques</w:t>
      </w:r>
      <w:r>
        <w:t>.</w:t>
      </w:r>
      <w:r>
        <w:br/>
      </w:r>
      <w:r>
        <w:br/>
        <w:t>Lors d’une modification au niveau applicatif, ce dernier doit se déplacer pour intervenir et mettre à jour les applications.</w:t>
      </w:r>
    </w:p>
    <w:p w:rsidR="00CE498A" w:rsidRDefault="00CE498A"/>
    <w:p w:rsidR="00CE498A" w:rsidRDefault="00AE30F9">
      <w:r>
        <w:t>Lors de déploiement d’applicatio</w:t>
      </w:r>
      <w:r>
        <w:t>ns, le responsable doit jouer des scripts manuellement sur chaque machines. Aucune interface unifiée ne lui permet d’installer ou désinstaller des applications sur plusieurs machines en même temps, ou même de pouvoir les programmer à une date et heure souh</w:t>
      </w:r>
      <w:r>
        <w:t>aitée.</w:t>
      </w:r>
    </w:p>
    <w:p w:rsidR="00CE498A" w:rsidRDefault="00AE30F9">
      <w:pPr>
        <w:pStyle w:val="Heading2"/>
        <w:contextualSpacing w:val="0"/>
      </w:pPr>
      <w:bookmarkStart w:id="2" w:name="h.4nm269ci5b3z" w:colFirst="0" w:colLast="0"/>
      <w:bookmarkEnd w:id="2"/>
      <w:r>
        <w:rPr>
          <w:b/>
          <w:color w:val="0B5394"/>
          <w:u w:val="single"/>
        </w:rPr>
        <w:t>Objectifs</w:t>
      </w:r>
    </w:p>
    <w:p w:rsidR="00CE498A" w:rsidRDefault="00AE30F9">
      <w:pPr>
        <w:pStyle w:val="Heading2"/>
        <w:contextualSpacing w:val="0"/>
      </w:pPr>
      <w:bookmarkStart w:id="3" w:name="h.iqxjo31thw0i" w:colFirst="0" w:colLast="0"/>
      <w:bookmarkEnd w:id="3"/>
      <w:r>
        <w:rPr>
          <w:sz w:val="22"/>
          <w:szCs w:val="22"/>
        </w:rPr>
        <w:t>Le référent désire avoir un logiciel permettant d’effectuer de manière unifiée et automatique les différentes tâches qu’il effectue déjà.</w:t>
      </w:r>
    </w:p>
    <w:p w:rsidR="00CE498A" w:rsidRDefault="00AE30F9">
      <w:pPr>
        <w:pStyle w:val="Heading2"/>
        <w:contextualSpacing w:val="0"/>
      </w:pPr>
      <w:bookmarkStart w:id="4" w:name="h.a89nppw0zi2n" w:colFirst="0" w:colLast="0"/>
      <w:bookmarkEnd w:id="4"/>
      <w:r>
        <w:rPr>
          <w:sz w:val="22"/>
          <w:szCs w:val="22"/>
        </w:rPr>
        <w:t xml:space="preserve">Le logiciel doit indiquer un état du réseau et des machines en temps réels et également permettre la </w:t>
      </w:r>
      <w:r>
        <w:rPr>
          <w:sz w:val="22"/>
          <w:szCs w:val="22"/>
        </w:rPr>
        <w:t>prise en main à distance, le déploiement automatique d’applications ainsi que différentes opérations de gestions et maintenance sur les postes (voir descriptions fonctionnels).</w:t>
      </w:r>
    </w:p>
    <w:p w:rsidR="00CE498A" w:rsidRDefault="00CE498A"/>
    <w:p w:rsidR="00CE498A" w:rsidRDefault="00AE30F9">
      <w:r>
        <w:t>Il s’agit de centraliser certains outils du référent informatique dans un uniq</w:t>
      </w:r>
      <w:r>
        <w:t>ue logiciel.</w:t>
      </w:r>
    </w:p>
    <w:p w:rsidR="00CE498A" w:rsidRDefault="00AE30F9">
      <w:pPr>
        <w:pStyle w:val="Heading2"/>
        <w:contextualSpacing w:val="0"/>
      </w:pPr>
      <w:bookmarkStart w:id="5" w:name="h.3kx0h0xh910n" w:colFirst="0" w:colLast="0"/>
      <w:bookmarkEnd w:id="5"/>
      <w:r>
        <w:rPr>
          <w:b/>
          <w:color w:val="0B5394"/>
          <w:u w:val="single"/>
        </w:rPr>
        <w:t>Description fonctionnelle</w:t>
      </w:r>
    </w:p>
    <w:p w:rsidR="00CE498A" w:rsidRDefault="00CE498A"/>
    <w:p w:rsidR="00CE498A" w:rsidRDefault="00AE30F9">
      <w:r>
        <w:t xml:space="preserve">Le logiciel devra : </w:t>
      </w:r>
    </w:p>
    <w:p w:rsidR="00CE498A" w:rsidRDefault="00AE30F9">
      <w:pPr>
        <w:numPr>
          <w:ilvl w:val="0"/>
          <w:numId w:val="1"/>
        </w:numPr>
        <w:ind w:hanging="360"/>
        <w:contextualSpacing/>
      </w:pPr>
      <w:r>
        <w:t>Proposer une interface avec l’état du réseau.</w:t>
      </w:r>
    </w:p>
    <w:p w:rsidR="00CE498A" w:rsidRDefault="00AE30F9">
      <w:pPr>
        <w:numPr>
          <w:ilvl w:val="1"/>
          <w:numId w:val="1"/>
        </w:numPr>
        <w:ind w:hanging="360"/>
        <w:contextualSpacing/>
      </w:pPr>
      <w:r>
        <w:t>Récupérer des informations des postes clients.</w:t>
      </w:r>
    </w:p>
    <w:p w:rsidR="00CE498A" w:rsidRDefault="00AE30F9">
      <w:pPr>
        <w:numPr>
          <w:ilvl w:val="1"/>
          <w:numId w:val="1"/>
        </w:numPr>
        <w:ind w:hanging="360"/>
        <w:contextualSpacing/>
      </w:pPr>
      <w:r>
        <w:t>Récupérer des informations des serveurs.</w:t>
      </w:r>
    </w:p>
    <w:p w:rsidR="00CE498A" w:rsidRDefault="00AE30F9">
      <w:pPr>
        <w:numPr>
          <w:ilvl w:val="1"/>
          <w:numId w:val="1"/>
        </w:numPr>
        <w:ind w:hanging="360"/>
        <w:contextualSpacing/>
      </w:pPr>
      <w:r>
        <w:t>Définir l’état de santé des machines.</w:t>
      </w:r>
    </w:p>
    <w:p w:rsidR="00CE498A" w:rsidRDefault="00AE30F9">
      <w:pPr>
        <w:numPr>
          <w:ilvl w:val="0"/>
          <w:numId w:val="1"/>
        </w:numPr>
        <w:ind w:hanging="360"/>
        <w:contextualSpacing/>
      </w:pPr>
      <w:r>
        <w:lastRenderedPageBreak/>
        <w:t>Accéder aux dossiers et</w:t>
      </w:r>
      <w:r>
        <w:t xml:space="preserve"> fichiers de partage Windows avec une permission de contrôle totale.</w:t>
      </w:r>
    </w:p>
    <w:p w:rsidR="00CE498A" w:rsidRDefault="00AE30F9">
      <w:pPr>
        <w:numPr>
          <w:ilvl w:val="1"/>
          <w:numId w:val="1"/>
        </w:numPr>
        <w:ind w:hanging="360"/>
        <w:contextualSpacing/>
      </w:pPr>
      <w:r>
        <w:t>Les droits proviennent obligatoirement de l’Active Directory.</w:t>
      </w:r>
    </w:p>
    <w:p w:rsidR="00CE498A" w:rsidRDefault="00AE30F9">
      <w:pPr>
        <w:numPr>
          <w:ilvl w:val="0"/>
          <w:numId w:val="1"/>
        </w:numPr>
        <w:ind w:hanging="360"/>
        <w:contextualSpacing/>
      </w:pPr>
      <w:r>
        <w:t>Proposer une connexion de bureau à distance depuis l’application pour l’ensemble des machines postes clients et serveurs.</w:t>
      </w:r>
    </w:p>
    <w:p w:rsidR="00CE498A" w:rsidRDefault="00AE30F9">
      <w:pPr>
        <w:numPr>
          <w:ilvl w:val="0"/>
          <w:numId w:val="1"/>
        </w:numPr>
        <w:ind w:hanging="360"/>
        <w:contextualSpacing/>
      </w:pPr>
      <w:r>
        <w:t>Déployer des applications en extensions .</w:t>
      </w:r>
      <w:proofErr w:type="spellStart"/>
      <w:r>
        <w:t>exe</w:t>
      </w:r>
      <w:proofErr w:type="spellEnd"/>
      <w:r>
        <w:t xml:space="preserve"> et .</w:t>
      </w:r>
      <w:proofErr w:type="spellStart"/>
      <w:r>
        <w:t>msi</w:t>
      </w:r>
      <w:proofErr w:type="spellEnd"/>
      <w:r>
        <w:t xml:space="preserve"> (x86 et x64).</w:t>
      </w:r>
    </w:p>
    <w:p w:rsidR="00CE498A" w:rsidRDefault="00AE30F9">
      <w:pPr>
        <w:numPr>
          <w:ilvl w:val="0"/>
          <w:numId w:val="1"/>
        </w:numPr>
        <w:ind w:hanging="360"/>
        <w:contextualSpacing/>
      </w:pPr>
      <w:r>
        <w:t>Planifier des déploiements d’applications (Dates et heures)</w:t>
      </w:r>
    </w:p>
    <w:p w:rsidR="00CE498A" w:rsidRDefault="00AE30F9">
      <w:pPr>
        <w:numPr>
          <w:ilvl w:val="0"/>
          <w:numId w:val="1"/>
        </w:numPr>
        <w:ind w:hanging="360"/>
        <w:contextualSpacing/>
      </w:pPr>
      <w:r>
        <w:t>Planifier des redémarrages, extinction et allumage de machines à distance</w:t>
      </w:r>
      <w:proofErr w:type="gramStart"/>
      <w:r>
        <w:t>.(</w:t>
      </w:r>
      <w:proofErr w:type="gramEnd"/>
      <w:r>
        <w:t>Dates et heures)</w:t>
      </w:r>
    </w:p>
    <w:p w:rsidR="00CE498A" w:rsidRDefault="00CE498A"/>
    <w:p w:rsidR="00CE498A" w:rsidRDefault="00AE30F9">
      <w:pPr>
        <w:pStyle w:val="Heading2"/>
        <w:contextualSpacing w:val="0"/>
      </w:pPr>
      <w:bookmarkStart w:id="6" w:name="h.m2d9sw85k9hq" w:colFirst="0" w:colLast="0"/>
      <w:bookmarkEnd w:id="6"/>
      <w:r>
        <w:rPr>
          <w:b/>
          <w:color w:val="0B5394"/>
          <w:u w:val="single"/>
        </w:rPr>
        <w:t>Enveloppe budgétaire</w:t>
      </w:r>
    </w:p>
    <w:p w:rsidR="00CE498A" w:rsidRDefault="00CE498A"/>
    <w:p w:rsidR="00CE498A" w:rsidRDefault="00AE30F9">
      <w:r>
        <w:t>Gratuit.</w:t>
      </w:r>
      <w:r>
        <w:br/>
        <w:t>L’ent</w:t>
      </w:r>
      <w:r>
        <w:t>reprise se réserve le droit de donner une compensation si elle le souhaite.</w:t>
      </w:r>
    </w:p>
    <w:p w:rsidR="00CE498A" w:rsidRDefault="00CE498A"/>
    <w:p w:rsidR="00CE498A" w:rsidRDefault="00AE30F9">
      <w:pPr>
        <w:pStyle w:val="Heading2"/>
        <w:contextualSpacing w:val="0"/>
      </w:pPr>
      <w:bookmarkStart w:id="7" w:name="h.nfq4dz8ucts3" w:colFirst="0" w:colLast="0"/>
      <w:bookmarkEnd w:id="7"/>
      <w:r>
        <w:rPr>
          <w:b/>
          <w:color w:val="0B5394"/>
          <w:u w:val="single"/>
        </w:rPr>
        <w:t>Délais</w:t>
      </w:r>
    </w:p>
    <w:p w:rsidR="00CE498A" w:rsidRDefault="00CE498A"/>
    <w:tbl>
      <w:tblPr>
        <w:tblStyle w:val="a"/>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9"/>
        <w:gridCol w:w="3070"/>
        <w:gridCol w:w="3070"/>
      </w:tblGrid>
      <w:tr w:rsidR="00CE498A">
        <w:tc>
          <w:tcPr>
            <w:tcW w:w="3069" w:type="dxa"/>
            <w:shd w:val="clear" w:color="auto" w:fill="CFE2F3"/>
            <w:tcMar>
              <w:top w:w="100" w:type="dxa"/>
              <w:left w:w="100" w:type="dxa"/>
              <w:bottom w:w="100" w:type="dxa"/>
              <w:right w:w="100" w:type="dxa"/>
            </w:tcMar>
          </w:tcPr>
          <w:p w:rsidR="00CE498A" w:rsidRDefault="00AE30F9">
            <w:pPr>
              <w:widowControl w:val="0"/>
              <w:spacing w:line="240" w:lineRule="auto"/>
              <w:jc w:val="center"/>
            </w:pPr>
            <w:r>
              <w:rPr>
                <w:b/>
              </w:rPr>
              <w:t>Livraison</w:t>
            </w:r>
          </w:p>
        </w:tc>
        <w:tc>
          <w:tcPr>
            <w:tcW w:w="3069" w:type="dxa"/>
            <w:shd w:val="clear" w:color="auto" w:fill="CFE2F3"/>
            <w:tcMar>
              <w:top w:w="100" w:type="dxa"/>
              <w:left w:w="100" w:type="dxa"/>
              <w:bottom w:w="100" w:type="dxa"/>
              <w:right w:w="100" w:type="dxa"/>
            </w:tcMar>
          </w:tcPr>
          <w:p w:rsidR="00CE498A" w:rsidRDefault="00AE30F9">
            <w:pPr>
              <w:widowControl w:val="0"/>
              <w:spacing w:line="240" w:lineRule="auto"/>
              <w:jc w:val="center"/>
            </w:pPr>
            <w:r>
              <w:rPr>
                <w:b/>
              </w:rPr>
              <w:t>Date</w:t>
            </w:r>
          </w:p>
        </w:tc>
        <w:tc>
          <w:tcPr>
            <w:tcW w:w="3069" w:type="dxa"/>
            <w:shd w:val="clear" w:color="auto" w:fill="CFE2F3"/>
            <w:tcMar>
              <w:top w:w="100" w:type="dxa"/>
              <w:left w:w="100" w:type="dxa"/>
              <w:bottom w:w="100" w:type="dxa"/>
              <w:right w:w="100" w:type="dxa"/>
            </w:tcMar>
          </w:tcPr>
          <w:p w:rsidR="00CE498A" w:rsidRDefault="00AE30F9">
            <w:pPr>
              <w:widowControl w:val="0"/>
              <w:spacing w:line="240" w:lineRule="auto"/>
              <w:jc w:val="center"/>
            </w:pPr>
            <w:r>
              <w:rPr>
                <w:b/>
              </w:rPr>
              <w:t>% d’avancement du projet</w:t>
            </w:r>
          </w:p>
        </w:tc>
      </w:tr>
      <w:tr w:rsidR="00CE498A">
        <w:tc>
          <w:tcPr>
            <w:tcW w:w="3069" w:type="dxa"/>
            <w:tcMar>
              <w:top w:w="100" w:type="dxa"/>
              <w:left w:w="100" w:type="dxa"/>
              <w:bottom w:w="100" w:type="dxa"/>
              <w:right w:w="100" w:type="dxa"/>
            </w:tcMar>
          </w:tcPr>
          <w:p w:rsidR="00CE498A" w:rsidRDefault="00AE30F9">
            <w:pPr>
              <w:widowControl w:val="0"/>
              <w:spacing w:line="240" w:lineRule="auto"/>
              <w:jc w:val="center"/>
            </w:pPr>
            <w:r>
              <w:rPr>
                <w:b/>
              </w:rPr>
              <w:t>Initiale</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20 Mars 2016</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35</w:t>
            </w:r>
          </w:p>
        </w:tc>
      </w:tr>
      <w:tr w:rsidR="00CE498A">
        <w:tc>
          <w:tcPr>
            <w:tcW w:w="3069" w:type="dxa"/>
            <w:tcMar>
              <w:top w:w="100" w:type="dxa"/>
              <w:left w:w="100" w:type="dxa"/>
              <w:bottom w:w="100" w:type="dxa"/>
              <w:right w:w="100" w:type="dxa"/>
            </w:tcMar>
          </w:tcPr>
          <w:p w:rsidR="00CE498A" w:rsidRDefault="00AE30F9">
            <w:pPr>
              <w:widowControl w:val="0"/>
              <w:spacing w:line="240" w:lineRule="auto"/>
              <w:jc w:val="center"/>
            </w:pPr>
            <w:r>
              <w:rPr>
                <w:b/>
              </w:rPr>
              <w:t>Intermédiaire</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16 Mai 2016</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70</w:t>
            </w:r>
          </w:p>
        </w:tc>
      </w:tr>
      <w:tr w:rsidR="00CE498A">
        <w:tc>
          <w:tcPr>
            <w:tcW w:w="3069" w:type="dxa"/>
            <w:tcMar>
              <w:top w:w="100" w:type="dxa"/>
              <w:left w:w="100" w:type="dxa"/>
              <w:bottom w:w="100" w:type="dxa"/>
              <w:right w:w="100" w:type="dxa"/>
            </w:tcMar>
          </w:tcPr>
          <w:p w:rsidR="00CE498A" w:rsidRDefault="00AE30F9">
            <w:pPr>
              <w:widowControl w:val="0"/>
              <w:spacing w:line="240" w:lineRule="auto"/>
              <w:jc w:val="center"/>
            </w:pPr>
            <w:r>
              <w:rPr>
                <w:b/>
              </w:rPr>
              <w:t>Intermédiaire</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18 Juin 2016</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95</w:t>
            </w:r>
          </w:p>
        </w:tc>
      </w:tr>
      <w:tr w:rsidR="00CE498A">
        <w:tc>
          <w:tcPr>
            <w:tcW w:w="3069" w:type="dxa"/>
            <w:tcMar>
              <w:top w:w="100" w:type="dxa"/>
              <w:left w:w="100" w:type="dxa"/>
              <w:bottom w:w="100" w:type="dxa"/>
              <w:right w:w="100" w:type="dxa"/>
            </w:tcMar>
          </w:tcPr>
          <w:p w:rsidR="00CE498A" w:rsidRDefault="00AE30F9">
            <w:pPr>
              <w:widowControl w:val="0"/>
              <w:spacing w:line="240" w:lineRule="auto"/>
              <w:jc w:val="center"/>
            </w:pPr>
            <w:r>
              <w:rPr>
                <w:b/>
              </w:rPr>
              <w:t>Finale - MEP*</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01 Juillet 2016</w:t>
            </w:r>
          </w:p>
        </w:tc>
        <w:tc>
          <w:tcPr>
            <w:tcW w:w="3069" w:type="dxa"/>
            <w:tcMar>
              <w:top w:w="100" w:type="dxa"/>
              <w:left w:w="100" w:type="dxa"/>
              <w:bottom w:w="100" w:type="dxa"/>
              <w:right w:w="100" w:type="dxa"/>
            </w:tcMar>
          </w:tcPr>
          <w:p w:rsidR="00CE498A" w:rsidRDefault="00AE30F9">
            <w:pPr>
              <w:widowControl w:val="0"/>
              <w:spacing w:line="240" w:lineRule="auto"/>
              <w:jc w:val="center"/>
            </w:pPr>
            <w:r>
              <w:rPr>
                <w:b/>
              </w:rPr>
              <w:t>100</w:t>
            </w:r>
          </w:p>
        </w:tc>
      </w:tr>
    </w:tbl>
    <w:p w:rsidR="00CE498A" w:rsidRDefault="00CE498A"/>
    <w:p w:rsidR="00CE498A" w:rsidRDefault="00AE30F9">
      <w:r>
        <w:t>* Mise en production</w:t>
      </w:r>
    </w:p>
    <w:p w:rsidR="00CE498A" w:rsidRDefault="00CE498A"/>
    <w:p w:rsidR="00CE498A" w:rsidRDefault="00CE498A"/>
    <w:p w:rsidR="00CE498A" w:rsidRDefault="00CE498A"/>
    <w:p w:rsidR="00CE498A" w:rsidRDefault="00CE498A"/>
    <w:p w:rsidR="00CE498A" w:rsidRDefault="00CE498A"/>
    <w:p w:rsidR="00CE498A" w:rsidRDefault="00CE498A"/>
    <w:p w:rsidR="00CE498A" w:rsidRDefault="00CE498A"/>
    <w:p w:rsidR="00CE498A" w:rsidRDefault="00CE498A"/>
    <w:p w:rsidR="00CE498A" w:rsidRDefault="00CE498A"/>
    <w:p w:rsidR="00CE498A" w:rsidRDefault="00CE498A"/>
    <w:p w:rsidR="00CE498A" w:rsidRDefault="00AE30F9">
      <w:pPr>
        <w:pStyle w:val="Heading2"/>
        <w:contextualSpacing w:val="0"/>
      </w:pPr>
      <w:bookmarkStart w:id="8" w:name="h.amausd7reqki" w:colFirst="0" w:colLast="0"/>
      <w:bookmarkEnd w:id="8"/>
      <w:r>
        <w:rPr>
          <w:b/>
          <w:color w:val="0B5394"/>
          <w:u w:val="single"/>
        </w:rPr>
        <w:lastRenderedPageBreak/>
        <w:t>Engagement</w:t>
      </w:r>
    </w:p>
    <w:p w:rsidR="00CE498A" w:rsidRDefault="00CE498A"/>
    <w:p w:rsidR="00CB4B1E" w:rsidRDefault="00AE30F9">
      <w:r>
        <w:t>Le référent interne s’engage à répondre aux questions envoyées par voie électronique afin d’améliorer la communication et l’avancement du projet réalisé par les étudiants de l’ESGI.</w:t>
      </w:r>
      <w:r>
        <w:br/>
      </w:r>
      <w:r>
        <w:t xml:space="preserve">Il s’engage également à participer à la soutenance des étudiants lors de leur présentation qui se déroulera </w:t>
      </w:r>
      <w:r w:rsidR="00CB4B1E">
        <w:t>vers</w:t>
      </w:r>
      <w:r>
        <w:t xml:space="preserve"> Juillet 2016.</w:t>
      </w:r>
      <w:r>
        <w:br/>
      </w:r>
      <w:r>
        <w:br/>
      </w:r>
      <w:r w:rsidR="00CB4B1E">
        <w:t>Les étudiants DIRAME Damien, VILLEREZ Guillaume et KLARMAN Ivan s’engagent dans le cadre de leur projet annuel à réaliser une solution professionnelle respectant le nombre d’heures prévus pour le projet et les exigences décrites dans le présent document.</w:t>
      </w:r>
      <w:r w:rsidR="00CB4B1E">
        <w:br/>
      </w:r>
      <w:bookmarkStart w:id="9" w:name="_GoBack"/>
      <w:bookmarkEnd w:id="9"/>
      <w:r w:rsidR="00CB4B1E">
        <w:br/>
        <w:t xml:space="preserve">Les étudiants auront également des travaux en rapport avec l’avancement du projet, encadré par Mr SANANES, responsable du projet annuel et de la filière Architecture de Logiciels à l’ESGI. </w:t>
      </w:r>
    </w:p>
    <w:p w:rsidR="00CB4B1E" w:rsidRDefault="00CB4B1E">
      <w:r>
        <w:t xml:space="preserve"> </w:t>
      </w:r>
    </w:p>
    <w:sectPr w:rsidR="00CB4B1E">
      <w:headerReference w:type="default" r:id="rId7"/>
      <w:pgSz w:w="11909" w:h="16834"/>
      <w:pgMar w:top="1440" w:right="1560" w:bottom="1440" w:left="11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0F9" w:rsidRDefault="00AE30F9">
      <w:pPr>
        <w:spacing w:line="240" w:lineRule="auto"/>
      </w:pPr>
      <w:r>
        <w:separator/>
      </w:r>
    </w:p>
  </w:endnote>
  <w:endnote w:type="continuationSeparator" w:id="0">
    <w:p w:rsidR="00AE30F9" w:rsidRDefault="00AE3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0F9" w:rsidRDefault="00AE30F9">
      <w:pPr>
        <w:spacing w:line="240" w:lineRule="auto"/>
      </w:pPr>
      <w:r>
        <w:separator/>
      </w:r>
    </w:p>
  </w:footnote>
  <w:footnote w:type="continuationSeparator" w:id="0">
    <w:p w:rsidR="00AE30F9" w:rsidRDefault="00AE30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98A" w:rsidRDefault="00AE30F9">
    <w:pPr>
      <w:pStyle w:val="Title"/>
      <w:ind w:right="-990"/>
      <w:contextualSpacing w:val="0"/>
      <w:jc w:val="right"/>
    </w:pPr>
    <w:bookmarkStart w:id="10" w:name="h.nbzxxzbav5mw" w:colFirst="0" w:colLast="0"/>
    <w:bookmarkEnd w:id="10"/>
    <w:r>
      <w:rPr>
        <w:noProof/>
      </w:rPr>
      <w:drawing>
        <wp:inline distT="114300" distB="114300" distL="114300" distR="114300">
          <wp:extent cx="1250467" cy="871538"/>
          <wp:effectExtent l="0" t="0" r="0" b="0"/>
          <wp:docPr id="1" name="image01.jpg" descr="ESGI_master_logo.jpg"/>
          <wp:cNvGraphicFramePr/>
          <a:graphic xmlns:a="http://schemas.openxmlformats.org/drawingml/2006/main">
            <a:graphicData uri="http://schemas.openxmlformats.org/drawingml/2006/picture">
              <pic:pic xmlns:pic="http://schemas.openxmlformats.org/drawingml/2006/picture">
                <pic:nvPicPr>
                  <pic:cNvPr id="0" name="image01.jpg" descr="ESGI_master_logo.jpg"/>
                  <pic:cNvPicPr preferRelativeResize="0"/>
                </pic:nvPicPr>
                <pic:blipFill>
                  <a:blip r:embed="rId1"/>
                  <a:srcRect/>
                  <a:stretch>
                    <a:fillRect/>
                  </a:stretch>
                </pic:blipFill>
                <pic:spPr>
                  <a:xfrm>
                    <a:off x="0" y="0"/>
                    <a:ext cx="1250467" cy="87153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018B1"/>
    <w:multiLevelType w:val="multilevel"/>
    <w:tmpl w:val="0888B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46F4104"/>
    <w:multiLevelType w:val="multilevel"/>
    <w:tmpl w:val="F9562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E498A"/>
    <w:rsid w:val="00AE30F9"/>
    <w:rsid w:val="00CB4B1E"/>
    <w:rsid w:val="00CE498A"/>
    <w:rsid w:val="00F00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E1C8A-344B-4DEA-9019-1E53FFFE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470</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KLARMAN</cp:lastModifiedBy>
  <cp:revision>2</cp:revision>
  <dcterms:created xsi:type="dcterms:W3CDTF">2015-12-14T19:02:00Z</dcterms:created>
  <dcterms:modified xsi:type="dcterms:W3CDTF">2015-12-14T19:24:00Z</dcterms:modified>
</cp:coreProperties>
</file>