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Halloween Decor Assortment Strategy</w:t>
      </w:r>
    </w:p>
    <w:p>
      <w:pPr>
        <w:pStyle w:val="Heading2"/>
        <w:spacing w:after="400"/>
        <w:jc w:val="center"/>
      </w:pPr>
      <w:r>
        <w:t xml:space="preserve">Case Study: Scenario 2 Recommendation</w:t>
      </w:r>
    </w:p>
    <w:p>
      <w:pPr>
        <w:pStyle w:val="Heading1"/>
        <w:spacing w:after="200" w:before="200"/>
      </w:pPr>
      <w:r>
        <w:t xml:space="preserve">1. CURRENT ASSORTMENT ASSESSMENT</w:t>
      </w:r>
    </w:p>
    <w:p>
      <w:pPr>
        <w:pStyle w:val="Heading2"/>
        <w:spacing w:after="100" w:before="100"/>
      </w:pPr>
      <w:r>
        <w:t xml:space="preserve">Items to Keep (In-Store)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  <w:gridCol w:w="3240"/>
      </w:tblGrid>
      <w:tr>
        <w:tc>
          <w:tcPr>
            <w:shd w:fill="D3D3D3"/>
          </w:tcPr>
          <w:p>
            <w:r>
              <w:t xml:space="preserve">Product</w:t>
            </w:r>
          </w:p>
        </w:tc>
        <w:tc>
          <w:tcPr>
            <w:shd w:fill="D3D3D3"/>
          </w:tcPr>
          <w:p>
            <w:r>
              <w:t xml:space="preserve">Facings</w:t>
            </w:r>
          </w:p>
        </w:tc>
        <w:tc>
          <w:tcPr>
            <w:shd w:fill="D3D3D3"/>
          </w:tcPr>
          <w:p>
            <w:r>
              <w:t xml:space="preserve">Sim. GM $</w:t>
            </w:r>
          </w:p>
        </w:tc>
        <w:tc>
          <w:tcPr>
            <w:shd w:fill="D3D3D3"/>
          </w:tcPr>
          <w:p>
            <w:r>
              <w:t xml:space="preserve">Rationale</w:t>
            </w:r>
          </w:p>
        </w:tc>
      </w:tr>
      <w:tr>
        <w:tc>
          <w:p>
            <w:r>
              <w:t xml:space="preserve">12 ft Giant Skeleton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$367,890</w:t>
            </w:r>
          </w:p>
        </w:tc>
        <w:tc>
          <w:p>
            <w:r>
              <w:t xml:space="preserve">Highest profit contributor. Keep at eye level.</w:t>
            </w:r>
          </w:p>
        </w:tc>
      </w:tr>
      <w:tr>
        <w:tc>
          <w:p>
            <w:r>
              <w:t xml:space="preserve">7 ft Animated Reaper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$249,560</w:t>
            </w:r>
          </w:p>
        </w:tc>
        <w:tc>
          <w:p>
            <w:r>
              <w:t xml:space="preserve">Highest GM/facing ratio. Small footprint, high return.</w:t>
            </w:r>
          </w:p>
        </w:tc>
      </w:tr>
      <w:tr>
        <w:tc>
          <w:p>
            <w:r>
              <w:t xml:space="preserve">9 ft Animated Pirate Ship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$163,423</w:t>
            </w:r>
          </w:p>
        </w:tc>
        <w:tc>
          <w:p>
            <w:r>
              <w:t xml:space="preserve">Hero unit at mid-shelf. Strong price point.</w:t>
            </w:r>
          </w:p>
        </w:tc>
      </w:tr>
      <w:tr>
        <w:tc>
          <w:p>
            <w:r>
              <w:t xml:space="preserve">9.5 ft Licensed Sandworm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$88,303</w:t>
            </w:r>
          </w:p>
        </w:tc>
        <w:tc>
          <w:p>
            <w:r>
              <w:t xml:space="preserve">80% sell-through overcomes royalty drag.</w:t>
            </w:r>
          </w:p>
        </w:tc>
      </w:tr>
      <w:tr>
        <w:tc>
          <w:p>
            <w:r>
              <w:t xml:space="preserve">5.5 ft LED Skeleton Pony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$94,436</w:t>
            </w:r>
          </w:p>
        </w:tc>
        <w:tc>
          <w:p>
            <w:r>
              <w:t xml:space="preserve">Best margin rate (63.8%) among Giants.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Items to Remove Entirely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00"/>
        <w:gridCol w:w="4240"/>
      </w:tblGrid>
      <w:tr>
        <w:tc>
          <w:tcPr>
            <w:shd w:fill="FFE4E1"/>
          </w:tcPr>
          <w:p>
            <w:r>
              <w:t xml:space="preserve">Product</w:t>
            </w:r>
          </w:p>
        </w:tc>
        <w:tc>
          <w:tcPr>
            <w:shd w:fill="FFE4E1"/>
          </w:tcPr>
          <w:p>
            <w:r>
              <w:t xml:space="preserve">Sim. GM $</w:t>
            </w:r>
          </w:p>
        </w:tc>
        <w:tc>
          <w:tcPr>
            <w:shd w:fill="FFE4E1"/>
          </w:tcPr>
          <w:p>
            <w:r>
              <w:t xml:space="preserve">Why</w:t>
            </w:r>
          </w:p>
        </w:tc>
      </w:tr>
      <w:tr>
        <w:tc>
          <w:p>
            <w:r>
              <w:t xml:space="preserve">LED Fog Machine</w:t>
            </w:r>
          </w:p>
        </w:tc>
        <w:tc>
          <w:p>
            <w:r>
              <w:t xml:space="preserve">$497</w:t>
            </w:r>
          </w:p>
        </w:tc>
        <w:tc>
          <w:p>
            <w:r>
              <w:t xml:space="preserve">32% sell-through, 5.0% margin. Almost no profit.</w:t>
            </w:r>
          </w:p>
        </w:tc>
      </w:tr>
      <w:tr>
        <w:tc>
          <w:p>
            <w:r>
              <w:t xml:space="preserve">12 ft Reaper Inflatable</w:t>
            </w:r>
          </w:p>
        </w:tc>
        <w:tc>
          <w:p>
            <w:r>
              <w:t xml:space="preserve">$672</w:t>
            </w:r>
          </w:p>
        </w:tc>
        <w:tc>
          <w:p>
            <w:r>
              <w:t xml:space="preserve">50% sell-through, 2.5% margin. 2nd-worst performer.</w:t>
            </w:r>
          </w:p>
        </w:tc>
      </w:tr>
      <w:tr>
        <w:tc>
          <w:p>
            <w:r>
              <w:t xml:space="preserve">Halloween Doormat</w:t>
            </w:r>
          </w:p>
        </w:tc>
        <w:tc>
          <w:p>
            <w:r>
              <w:t xml:space="preserve">~$150</w:t>
            </w:r>
          </w:p>
        </w:tc>
        <w:tc>
          <w:p>
            <w:r>
              <w:t xml:space="preserve">45% sell-through, 17.2% margin. Weakest.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Items to Move to Online-Only</w:t>
      </w:r>
    </w:p>
    <w:p>
      <w:pPr>
        <w:spacing w:after="200"/>
      </w:pPr>
      <w:r>
        <w:t xml:space="preserve">10.5 ft Licensed Character Inflatable - moved to online where fulfillment economics are better. Frees 2 in-store facings for higher-margin items.</w:t>
      </w:r>
    </w:p>
    <w:p>
      <w:pPr>
        <w:pStyle w:val="Heading1"/>
        <w:spacing w:after="200" w:before="400"/>
      </w:pPr>
      <w:r>
        <w:t xml:space="preserve">2. NEW PRODUCT EVALUATION</w:t>
      </w:r>
    </w:p>
    <w:p>
      <w:pPr>
        <w:pStyle w:val="Heading2"/>
        <w:spacing w:after="100" w:before="100"/>
      </w:pPr>
      <w:r>
        <w:t xml:space="preserve">Products to Add (In-Store)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  <w:gridCol w:w="3640"/>
      </w:tblGrid>
      <w:tr>
        <w:tc>
          <w:tcPr>
            <w:shd w:fill="E8F5E9"/>
          </w:tcPr>
          <w:p>
            <w:r>
              <w:t xml:space="preserve">Product</w:t>
            </w:r>
          </w:p>
        </w:tc>
        <w:tc>
          <w:tcPr>
            <w:shd w:fill="E8F5E9"/>
          </w:tcPr>
          <w:p>
            <w:r>
              <w:t xml:space="preserve">Price</w:t>
            </w:r>
          </w:p>
        </w:tc>
        <w:tc>
          <w:tcPr>
            <w:shd w:fill="E8F5E9"/>
          </w:tcPr>
          <w:p>
            <w:r>
              <w:t xml:space="preserve">Margin %</w:t>
            </w:r>
          </w:p>
        </w:tc>
        <w:tc>
          <w:tcPr>
            <w:shd w:fill="E8F5E9"/>
          </w:tcPr>
          <w:p>
            <w:r>
              <w:t xml:space="preserve">Why Add</w:t>
            </w:r>
          </w:p>
        </w:tc>
      </w:tr>
      <w:tr>
        <w:tc>
          <w:p>
            <w:r>
              <w:t xml:space="preserve">5 ft Skeleton Tombstone</w:t>
            </w:r>
          </w:p>
        </w:tc>
        <w:tc>
          <w:p>
            <w:r>
              <w:t xml:space="preserve">$149.00</w:t>
            </w:r>
          </w:p>
        </w:tc>
        <w:tc>
          <w:p>
            <w:r>
              <w:t xml:space="preserve">61.2%</w:t>
            </w:r>
          </w:p>
        </w:tc>
        <w:tc>
          <w:p>
            <w:r>
              <w:t xml:space="preserve">High ticket drives $91+ margin/unit at eye level.</w:t>
            </w:r>
          </w:p>
        </w:tc>
      </w:tr>
      <w:tr>
        <w:tc>
          <w:p>
            <w:r>
              <w:t xml:space="preserve">Animated Talking Portrait</w:t>
            </w:r>
          </w:p>
        </w:tc>
        <w:tc>
          <w:p>
            <w:r>
              <w:t xml:space="preserve">$39.98</w:t>
            </w:r>
          </w:p>
        </w:tc>
        <w:tc>
          <w:p>
            <w:r>
              <w:t xml:space="preserve">82.5%</w:t>
            </w:r>
          </w:p>
        </w:tc>
        <w:tc>
          <w:p>
            <w:r>
              <w:t xml:space="preserve">Highest margin rate. Variety. Waist-level placement.</w:t>
            </w:r>
          </w:p>
        </w:tc>
      </w:tr>
      <w:tr>
        <w:tc>
          <w:p>
            <w:r>
              <w:t xml:space="preserve">Solar Pathway Ghosts</w:t>
            </w:r>
          </w:p>
        </w:tc>
        <w:tc>
          <w:p>
            <w:r>
              <w:t xml:space="preserve">$44.98</w:t>
            </w:r>
          </w:p>
        </w:tc>
        <w:tc>
          <w:p>
            <w:r>
              <w:t xml:space="preserve">64%</w:t>
            </w:r>
          </w:p>
        </w:tc>
        <w:tc>
          <w:p>
            <w:r>
              <w:t xml:space="preserve">Mid-tier decor. No royalty drag. Waist-level.</w:t>
            </w:r>
          </w:p>
        </w:tc>
      </w:tr>
      <w:tr>
        <w:tc>
          <w:p>
            <w:r>
              <w:t xml:space="preserve">8 ft Inflatable Black Cat</w:t>
            </w:r>
          </w:p>
        </w:tc>
        <w:tc>
          <w:p>
            <w:r>
              <w:t xml:space="preserve">$79.00</w:t>
            </w:r>
          </w:p>
        </w:tc>
        <w:tc>
          <w:p>
            <w:r>
              <w:t xml:space="preserve">49.4%</w:t>
            </w:r>
          </w:p>
        </w:tc>
        <w:tc>
          <w:p>
            <w:r>
              <w:t xml:space="preserve">Non-licensed. Waist-level performer.</w:t>
            </w:r>
          </w:p>
        </w:tc>
      </w:tr>
      <w:tr>
        <w:tc>
          <w:p>
            <w:r>
              <w:t xml:space="preserve">24 in Light-Up Pumpkin</w:t>
            </w:r>
          </w:p>
        </w:tc>
        <w:tc>
          <w:p>
            <w:r>
              <w:t xml:space="preserve">$29.98</w:t>
            </w:r>
          </w:p>
        </w:tc>
        <w:tc>
          <w:p>
            <w:r>
              <w:t xml:space="preserve">70%</w:t>
            </w:r>
          </w:p>
        </w:tc>
        <w:tc>
          <w:p>
            <w:r>
              <w:t xml:space="preserve">Impulse buy. Floor-level filler.</w:t>
            </w:r>
          </w:p>
        </w:tc>
      </w:tr>
    </w:tbl>
    <w:p>
      <w:pPr>
        <w:spacing w:after="200"/>
      </w:pPr>
    </w:p>
    <w:p>
      <w:pPr>
        <w:pStyle w:val="Heading2"/>
        <w:spacing w:after="100" w:before="100"/>
      </w:pPr>
      <w:r>
        <w:t xml:space="preserve">Licensed Products &amp; Margin Tradeoff</w:t>
      </w:r>
    </w:p>
    <w:p>
      <w:pPr>
        <w:spacing w:after="200"/>
      </w:pPr>
      <w:r>
        <w:t xml:space="preserve">Keep licensed products that exceed 80% sell-through. The 9.5 ft Licensed Sandworm meets this threshold. Prioritize margin DOLLARS (unit price x margin rate) over margin rate alone.</w:t>
      </w:r>
    </w:p>
    <w:p>
      <w:pPr>
        <w:pStyle w:val="Heading1"/>
        <w:spacing w:after="200" w:before="400"/>
      </w:pPr>
      <w:r>
        <w:t xml:space="preserve">3. FINAL ASSORTMENT RECOMMENDATION</w:t>
      </w:r>
    </w:p>
    <w:p>
      <w:pPr>
        <w:pStyle w:val="Heading2"/>
        <w:spacing w:after="100" w:before="100"/>
      </w:pPr>
      <w:r>
        <w:t xml:space="preserve">In-Store Lineup (13 SKUs, 16 Total Facings)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2300"/>
        <w:gridCol w:w="2300"/>
        <w:gridCol w:w="2200"/>
      </w:tblGrid>
      <w:tr>
        <w:tc>
          <w:tcPr>
            <w:shd w:fill="D3D3D3"/>
          </w:tcPr>
          <w:p>
            <w:r>
              <w:t xml:space="preserve">Product</w:t>
            </w:r>
          </w:p>
        </w:tc>
        <w:tc>
          <w:tcPr>
            <w:shd w:fill="D3D3D3"/>
          </w:tcPr>
          <w:p>
            <w:r>
              <w:t xml:space="preserve">Facings</w:t>
            </w:r>
          </w:p>
        </w:tc>
        <w:tc>
          <w:tcPr>
            <w:shd w:fill="D3D3D3"/>
          </w:tcPr>
          <w:p>
            <w:r>
              <w:t xml:space="preserve">Position</w:t>
            </w:r>
          </w:p>
        </w:tc>
        <w:tc>
          <w:tcPr>
            <w:shd w:fill="D3D3D3"/>
          </w:tcPr>
          <w:p>
            <w:r>
              <w:t xml:space="preserve">Category</w:t>
            </w:r>
          </w:p>
        </w:tc>
        <w:tc>
          <w:tcPr>
            <w:shd w:fill="D3D3D3"/>
          </w:tcPr>
          <w:p>
            <w:r>
              <w:t xml:space="preserve">GM $/Facing</w:t>
            </w:r>
          </w:p>
        </w:tc>
      </w:tr>
      <w:tr>
        <w:tc>
          <w:p>
            <w:r>
              <w:t xml:space="preserve">12 ft Giant Skeleton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Eye</w:t>
            </w:r>
          </w:p>
        </w:tc>
        <w:tc>
          <w:p>
            <w:r>
              <w:t xml:space="preserve">Giant</w:t>
            </w:r>
          </w:p>
        </w:tc>
        <w:tc>
          <w:p>
            <w:r>
              <w:t xml:space="preserve">$122,630</w:t>
            </w:r>
          </w:p>
        </w:tc>
      </w:tr>
      <w:tr>
        <w:tc>
          <w:p>
            <w:r>
              <w:t xml:space="preserve">7 ft Animated Reaper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Eye</w:t>
            </w:r>
          </w:p>
        </w:tc>
        <w:tc>
          <w:p>
            <w:r>
              <w:t xml:space="preserve">Giant</w:t>
            </w:r>
          </w:p>
        </w:tc>
        <w:tc>
          <w:p>
            <w:r>
              <w:t xml:space="preserve">$249,560</w:t>
            </w:r>
          </w:p>
        </w:tc>
      </w:tr>
      <w:tr>
        <w:tc>
          <w:p>
            <w:r>
              <w:t xml:space="preserve">5 ft Skeleton Tombstone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Eye</w:t>
            </w:r>
          </w:p>
        </w:tc>
        <w:tc>
          <w:p>
            <w:r>
              <w:t xml:space="preserve">Decor</w:t>
            </w:r>
          </w:p>
        </w:tc>
        <w:tc>
          <w:p>
            <w:r>
              <w:t xml:space="preserve">$142,763</w:t>
            </w:r>
          </w:p>
        </w:tc>
      </w:tr>
      <w:tr>
        <w:tc>
          <w:p>
            <w:r>
              <w:t xml:space="preserve">9 ft Pirate Ship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Mid</w:t>
            </w:r>
          </w:p>
        </w:tc>
        <w:tc>
          <w:p>
            <w:r>
              <w:t xml:space="preserve">Giant</w:t>
            </w:r>
          </w:p>
        </w:tc>
        <w:tc>
          <w:p>
            <w:r>
              <w:t xml:space="preserve">$81,712</w:t>
            </w:r>
          </w:p>
        </w:tc>
      </w:tr>
      <w:tr>
        <w:tc>
          <w:p>
            <w:r>
              <w:t xml:space="preserve">9.5 ft Licensed Sandworm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Mid</w:t>
            </w:r>
          </w:p>
        </w:tc>
        <w:tc>
          <w:p>
            <w:r>
              <w:t xml:space="preserve">Inflatable</w:t>
            </w:r>
          </w:p>
        </w:tc>
        <w:tc>
          <w:p>
            <w:r>
              <w:t xml:space="preserve">$88,303</w:t>
            </w:r>
          </w:p>
        </w:tc>
      </w:tr>
      <w:tr>
        <w:tc>
          <w:p>
            <w:r>
              <w:t xml:space="preserve">5.5 ft LED Skeleton Pony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Mid</w:t>
            </w:r>
          </w:p>
        </w:tc>
        <w:tc>
          <w:p>
            <w:r>
              <w:t xml:space="preserve">Giant</w:t>
            </w:r>
          </w:p>
        </w:tc>
        <w:tc>
          <w:p>
            <w:r>
              <w:t xml:space="preserve">$94,436</w:t>
            </w:r>
          </w:p>
        </w:tc>
      </w:tr>
      <w:tr>
        <w:tc>
          <w:p>
            <w:r>
              <w:t xml:space="preserve">Animated Talking Portrait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Waist</w:t>
            </w:r>
          </w:p>
        </w:tc>
        <w:tc>
          <w:p>
            <w:r>
              <w:t xml:space="preserve">Decor</w:t>
            </w:r>
          </w:p>
        </w:tc>
        <w:tc>
          <w:p>
            <w:r>
              <w:t xml:space="preserve">$29,748</w:t>
            </w:r>
          </w:p>
        </w:tc>
      </w:tr>
      <w:tr>
        <w:tc>
          <w:p>
            <w:r>
              <w:t xml:space="preserve">Solar Pathway Ghosts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Waist</w:t>
            </w:r>
          </w:p>
        </w:tc>
        <w:tc>
          <w:p>
            <w:r>
              <w:t xml:space="preserve">Decor</w:t>
            </w:r>
          </w:p>
        </w:tc>
        <w:tc>
          <w:p>
            <w:r>
              <w:t xml:space="preserve">$22,691</w:t>
            </w:r>
          </w:p>
        </w:tc>
      </w:tr>
      <w:tr>
        <w:tc>
          <w:p>
            <w:r>
              <w:t xml:space="preserve">8 ft Inflatable Black Cat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Waist</w:t>
            </w:r>
          </w:p>
        </w:tc>
        <w:tc>
          <w:p>
            <w:r>
              <w:t xml:space="preserve">Inflatable</w:t>
            </w:r>
          </w:p>
        </w:tc>
        <w:tc>
          <w:p>
            <w:r>
              <w:t xml:space="preserve">$24,921</w:t>
            </w:r>
          </w:p>
        </w:tc>
      </w:tr>
      <w:tr>
        <w:tc>
          <w:p>
            <w:r>
              <w:t xml:space="preserve">6 ft Scarecrow Inflatable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Floor</w:t>
            </w:r>
          </w:p>
        </w:tc>
        <w:tc>
          <w:p>
            <w:r>
              <w:t xml:space="preserve">Inflatable</w:t>
            </w:r>
          </w:p>
        </w:tc>
        <w:tc>
          <w:p>
            <w:r>
              <w:t xml:space="preserve">$8,147</w:t>
            </w:r>
          </w:p>
        </w:tc>
      </w:tr>
      <w:tr>
        <w:tc>
          <w:p>
            <w:r>
              <w:t xml:space="preserve">24 in Metal Tombstone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Floor</w:t>
            </w:r>
          </w:p>
        </w:tc>
        <w:tc>
          <w:p>
            <w:r>
              <w:t xml:space="preserve">Decor</w:t>
            </w:r>
          </w:p>
        </w:tc>
        <w:tc>
          <w:p>
            <w:r>
              <w:t xml:space="preserve">$8,913</w:t>
            </w:r>
          </w:p>
        </w:tc>
      </w:tr>
      <w:tr>
        <w:tc>
          <w:p>
            <w:r>
              <w:t xml:space="preserve">Pathway Light Set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Floor</w:t>
            </w:r>
          </w:p>
        </w:tc>
        <w:tc>
          <w:p>
            <w:r>
              <w:t xml:space="preserve">Decor</w:t>
            </w:r>
          </w:p>
        </w:tc>
        <w:tc>
          <w:p>
            <w:r>
              <w:t xml:space="preserve">$9,969</w:t>
            </w:r>
          </w:p>
        </w:tc>
      </w:tr>
      <w:tr>
        <w:tc>
          <w:p>
            <w:r>
              <w:t xml:space="preserve">Light-Up Pumpkin Stack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Floor</w:t>
            </w:r>
          </w:p>
        </w:tc>
        <w:tc>
          <w:p>
            <w:r>
              <w:t xml:space="preserve">Decor</w:t>
            </w:r>
          </w:p>
        </w:tc>
        <w:tc>
          <w:p>
            <w:r>
              <w:t xml:space="preserve">$9,378</w:t>
            </w:r>
          </w:p>
        </w:tc>
      </w:tr>
    </w:tbl>
    <w:p>
      <w:pPr>
        <w:spacing w:after="100"/>
      </w:pPr>
    </w:p>
    <w:p>
      <w:pPr>
        <w:spacing w:after="200"/>
      </w:pPr>
      <w:r>
        <w:t xml:space="preserve">Category Balance: 6 Giants &amp; Animatronics | 3 Inflatables | 4 Decor &amp; Accessories</w:t>
      </w:r>
    </w:p>
    <w:p>
      <w:pPr>
        <w:pStyle w:val="Heading2"/>
        <w:spacing w:after="100" w:before="200"/>
      </w:pPr>
      <w:r>
        <w:t xml:space="preserve">Online-Only Items (4 SKUs)</w:t>
      </w:r>
    </w:p>
    <w:p>
      <w:pPr>
        <w:spacing w:after="200"/>
      </w:pPr>
      <w:r>
        <w:t xml:space="preserve">1. Life-Size Animated Butler - $1,299 | 90% sell-through | 60.4% margin
</w:t>
      </w:r>
      <w:r>
        <w:t xml:space="preserve">2. 16 ft Inflatable Haunted Archway - $699 | 85% sell-through | 48.4% margin
</w:t>
      </w:r>
      <w:r>
        <w:t xml:space="preserve">3. Animated Witch Cauldron - $349 | 85% sell-through | 58.9% margin
</w:t>
      </w:r>
      <w:r>
        <w:t xml:space="preserve">4. 10.5 ft Licensed Character (moved from in-store)</w:t>
      </w:r>
    </w:p>
    <w:p>
      <w:pPr>
        <w:pStyle w:val="Heading2"/>
        <w:spacing w:after="100" w:before="200"/>
      </w:pPr>
      <w:r>
        <w:t xml:space="preserve">Removed Entirely</w:t>
      </w:r>
    </w:p>
    <w:p>
      <w:pPr>
        <w:spacing w:after="200"/>
      </w:pPr>
      <w:r>
        <w:t xml:space="preserve">• LED Fog Machine - $497 GM, 32% sell-through
</w:t>
      </w:r>
      <w:r>
        <w:t xml:space="preserve">• 12 ft Reaper Inflatable - $672 GM, 50% sell-through
</w:t>
      </w:r>
      <w:r>
        <w:t xml:space="preserve">• Halloween Doormat - 45% sell-through, 17.2% margin</w:t>
      </w:r>
    </w:p>
    <w:p>
      <w:pPr>
        <w:pStyle w:val="Heading1"/>
        <w:spacing w:after="200" w:before="400"/>
      </w:pPr>
      <w:r>
        <w:t xml:space="preserve">4. PROFIT IMPACT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2500"/>
        <w:gridCol w:w="2740"/>
      </w:tblGrid>
      <w:tr>
        <w:tc>
          <w:tcPr>
            <w:shd w:fill="D3D3D3"/>
          </w:tcPr>
          <w:p>
            <w:r>
              <w:t xml:space="preserve">Metric</w:t>
            </w:r>
          </w:p>
        </w:tc>
        <w:tc>
          <w:tcPr>
            <w:shd w:fill="D3D3D3"/>
          </w:tcPr>
          <w:p>
            <w:r>
              <w:t xml:space="preserve">Current Baseline</w:t>
            </w:r>
          </w:p>
        </w:tc>
        <w:tc>
          <w:tcPr>
            <w:shd w:fill="D3D3D3"/>
          </w:tcPr>
          <w:p>
            <w:r>
              <w:t xml:space="preserve">Scenario 2</w:t>
            </w:r>
          </w:p>
        </w:tc>
        <w:tc>
          <w:tcPr>
            <w:shd w:fill="D3D3D3"/>
          </w:tcPr>
          <w:p>
            <w:r>
              <w:t xml:space="preserve">Change</w:t>
            </w:r>
          </w:p>
        </w:tc>
      </w:tr>
      <w:tr>
        <w:tc>
          <w:p>
            <w:r>
              <w:t xml:space="preserve">Profit per Facing</w:t>
            </w:r>
          </w:p>
        </w:tc>
        <w:tc>
          <w:p>
            <w:r>
              <w:t xml:space="preserve">$67,961</w:t>
            </w:r>
          </w:p>
        </w:tc>
        <w:tc>
          <w:p>
            <w:r>
              <w:t xml:space="preserve">$76,259</w:t>
            </w:r>
          </w:p>
        </w:tc>
        <w:tc>
          <w:p>
            <w:r>
              <w:t xml:space="preserve">+12.2%</w:t>
            </w:r>
          </w:p>
        </w:tc>
      </w:tr>
      <w:tr>
        <w:tc>
          <w:p>
            <w:r>
              <w:t xml:space="preserve">In-Store Total GM</w:t>
            </w:r>
          </w:p>
        </w:tc>
        <w:tc>
          <w:p>
            <w:r>
              <w:t xml:space="preserve">$1,087,375</w:t>
            </w:r>
          </w:p>
        </w:tc>
        <w:tc>
          <w:p>
            <w:r>
              <w:t xml:space="preserve">$1,220,143</w:t>
            </w:r>
          </w:p>
        </w:tc>
        <w:tc>
          <w:p>
            <w:r>
              <w:t xml:space="preserve">+$132,768</w:t>
            </w:r>
          </w:p>
        </w:tc>
      </w:tr>
      <w:tr>
        <w:tc>
          <w:p>
            <w:r>
              <w:t xml:space="preserve">Combined Profit</w:t>
            </w:r>
          </w:p>
        </w:tc>
        <w:tc>
          <w:p>
            <w:r>
              <w:t xml:space="preserve">$1,484,602</w:t>
            </w:r>
          </w:p>
        </w:tc>
        <w:tc>
          <w:p>
            <w:r>
              <w:t xml:space="preserve">$1,603,418</w:t>
            </w:r>
          </w:p>
        </w:tc>
        <w:tc>
          <w:p>
            <w:r>
              <w:t xml:space="preserve">+8.0%</w:t>
            </w:r>
          </w:p>
        </w:tc>
      </w:tr>
      <w:tr>
        <w:tc>
          <w:p>
            <w:r>
              <w:t xml:space="preserve">Conversion Rate</w:t>
            </w:r>
          </w:p>
        </w:tc>
        <w:tc>
          <w:p>
            <w:r>
              <w:t xml:space="preserve">65.0%</w:t>
            </w:r>
          </w:p>
        </w:tc>
        <w:tc>
          <w:p>
            <w:r>
              <w:t xml:space="preserve">68.0%</w:t>
            </w:r>
          </w:p>
        </w:tc>
        <w:tc>
          <w:p>
            <w:r>
              <w:t xml:space="preserve">+3.0 pts</w:t>
            </w:r>
          </w:p>
        </w:tc>
      </w:tr>
      <w:tr>
        <w:tc>
          <w:p>
            <w:r>
              <w:t xml:space="preserve">Avg Items per Customer</w:t>
            </w:r>
          </w:p>
        </w:tc>
        <w:tc>
          <w:p>
            <w:r>
              <w:t xml:space="preserve">1.136</w:t>
            </w:r>
          </w:p>
        </w:tc>
        <w:tc>
          <w:p>
            <w:r>
              <w:t xml:space="preserve">1.239</w:t>
            </w:r>
          </w:p>
        </w:tc>
        <w:tc>
          <w:p>
            <w:r>
              <w:t xml:space="preserve">+9.1%</w:t>
            </w:r>
          </w:p>
        </w:tc>
      </w:tr>
    </w:tbl>
    <w:p>
      <w:pPr>
        <w:spacing w:after="300"/>
      </w:pPr>
    </w:p>
    <w:p>
      <w:r/>
    </w:p>
    <w:p>
      <w:pPr>
        <w:pStyle w:val="Heading1"/>
        <w:spacing w:after="200" w:before="200"/>
      </w:pPr>
      <w:r>
        <w:t xml:space="preserve">5. AI REFLECTION</w:t>
      </w:r>
    </w:p>
    <w:p>
      <w:pPr>
        <w:pStyle w:val="Heading2"/>
        <w:spacing w:after="100" w:before="100"/>
      </w:pPr>
      <w:r>
        <w:t xml:space="preserve">How AI Was Used</w:t>
      </w:r>
    </w:p>
    <w:p>
      <w:pPr>
        <w:spacing w:after="200"/>
      </w:pPr>
      <w:r>
        <w:t xml:space="preserve">1. Monte Carlo Simulation (10,000 customer visits) modeled three shelf scenarios with position multipliers, customer types, and category factors.
</w:t>
      </w:r>
      <w:r>
        <w:t xml:space="preserve">2. Shelf Position Optimizer (dynamic programming) tested which 5 items maximize profit per facing at eye level.
</w:t>
      </w:r>
      <w:r>
        <w:t xml:space="preserve">3. Data Synthesis extracted historical sell-through, margins, and costs to populate the model.</w:t>
      </w:r>
    </w:p>
    <w:p>
      <w:pPr>
        <w:pStyle w:val="Heading2"/>
        <w:spacing w:after="100" w:before="100"/>
      </w:pPr>
      <w:r>
        <w:t xml:space="preserve">Key AI Insight That Changed Strategy</w:t>
      </w:r>
    </w:p>
    <w:p>
      <w:pPr>
        <w:spacing w:after="200"/>
      </w:pPr>
      <w:r>
        <w:t xml:space="preserve">The 10.5 ft Licensed Character shows real demand (1,195 simulated units) but 4.2% margin makes it unprofitable in-store. Moving it online frees 2 in-store facings for items earning 14x-60x more profit per facing, while retaining the demand online. This reframing of licensed products by channel directly changed the assortment strategy.</w:t>
      </w:r>
    </w:p>
    <w:p>
      <w:pPr>
        <w:pStyle w:val="Heading2"/>
        <w:spacing w:after="100" w:before="100"/>
      </w:pPr>
      <w:r>
        <w:t xml:space="preserve">AI Recommendation We Disagreed With</w:t>
      </w:r>
    </w:p>
    <w:p>
      <w:pPr>
        <w:spacing w:after="200"/>
      </w:pPr>
      <w:r>
        <w:t xml:space="preserve">AI initially suggested removing the 9.5 ft Licensed Sandworm due to its 0.85x royalty multiplier. We overrode this: the 80% sell-through rate is an outlier that overcomes the royalty drag. High sell-through = predictable volume. The simulator confirmed: keeping Sandworm ($88,303 GM/10k visits) beats alternatives. Lesson: Always challenge optimizers when they ignore proven demand in favor of pure margin arithmetic.</w:t>
      </w:r>
    </w:p>
    <w:p>
      <w:pPr>
        <w:pStyle w:val="Heading2"/>
        <w:spacing w:after="100" w:before="100"/>
      </w:pPr>
      <w:r>
        <w:t xml:space="preserve">What Our Analysis Uncovered That AI Did Not</w:t>
      </w:r>
    </w:p>
    <w:p>
      <w:pPr>
        <w:spacing w:after="200"/>
      </w:pPr>
      <w:r>
        <w:t xml:space="preserve">1. The Margin Rate Paradox - AI ranked by percentage, missing that $91.35 margin/unit (61.2% on $149) beats $32.98/unit (82.5% on $40). This drove the eye-level repositioning (+12.2% profit/facing).
</w:t>
      </w:r>
      <w:r>
        <w:t xml:space="preserve">2. Channel Economics - Licensed items perform differently online (fewer space constraints, different fulfillment). Moving Licensed Character to online preserves revenue while reclaiming in-store space.
</w:t>
      </w:r>
      <w:r>
        <w:t xml:space="preserve">3. Customer Journey - Small impulse items must be floor-level for checkout-adjacent value. AI buried them initially.</w:t>
      </w:r>
    </w:p>
    <w:p>
      <w:pPr>
        <w:pStyle w:val="Heading1"/>
        <w:spacing w:after="200" w:before="400"/>
      </w:pPr>
      <w:r>
        <w:t xml:space="preserve">6. EXECUTIVE SUMMARY FOR VP PRESENTATION</w:t>
      </w:r>
    </w:p>
    <w:p>
      <w:pPr>
        <w:pStyle w:val="Heading2"/>
        <w:spacing w:after="100" w:before="100"/>
      </w:pPr>
      <w:r>
        <w:t xml:space="preserve">Recommendation</w:t>
      </w:r>
    </w:p>
    <w:p>
      <w:pPr>
        <w:spacing w:after="200"/>
      </w:pPr>
      <w:r>
        <w:t xml:space="preserve">Adopt Scenario 2: Replace the current 16-facing in-store assortment with a 13-SKU lineup optimized for +12.2% profit per facing and +3.0 points conversion rate. Move 1 SKU to online-only; remove 3 SKUs entirely.</w:t>
      </w:r>
    </w:p>
    <w:p>
      <w:pPr>
        <w:pStyle w:val="Heading2"/>
        <w:spacing w:after="100" w:before="100"/>
      </w:pPr>
      <w:r>
        <w:t xml:space="preserve">Business Impact</w:t>
      </w:r>
    </w:p>
    <w:p>
      <w:pPr>
        <w:spacing w:after="200"/>
      </w:pPr>
      <w:r>
        <w:t xml:space="preserve">In-Store Profit per Facing: +$8,298 per facing (+12.2%)
</w:t>
      </w:r>
      <w:r>
        <w:t xml:space="preserve">Total In-Store GM: +$132,768 (+12.2%)
</w:t>
      </w:r>
      <w:r>
        <w:t xml:space="preserve">Combined Profit (In + Online): +$118,816 (+8.0%)
</w:t>
      </w:r>
      <w:r>
        <w:t xml:space="preserve">Customer Conversion: +3 percentage points
</w:t>
      </w:r>
      <w:r>
        <w:t xml:space="preserve">Basket Size: +9.1% items per customer</w:t>
      </w:r>
    </w:p>
    <w:p>
      <w:pPr>
        <w:pStyle w:val="Heading2"/>
        <w:spacing w:after="100" w:before="100"/>
      </w:pPr>
      <w:r>
        <w:t xml:space="preserve">Major Moves</w:t>
      </w:r>
    </w:p>
    <w:p>
      <w:pPr>
        <w:spacing w:after="200"/>
      </w:pPr>
      <w:r>
        <w:t xml:space="preserve">OUT: 3 low-performers (LED Fog, 12ft Reaper, Doormat) combined ~$1,319 GM
</w:t>
      </w:r>
      <w:r>
        <w:t xml:space="preserve">IN-STORE: 5 new items simulated ~$99,147 GM
</w:t>
      </w:r>
      <w:r>
        <w:t xml:space="preserve">ONLINE: 1 moved SKU (Licensed Character) retains demand, frees 2 high-value in-store facings
</w:t>
      </w:r>
      <w:r>
        <w:t xml:space="preserve">Net: Shelf reallocated to higher-margin items. Balanced across price points and themes.</w:t>
      </w:r>
    </w:p>
    <w:p>
      <w:pPr>
        <w:pStyle w:val="Heading2"/>
        <w:spacing w:after="100" w:before="100"/>
      </w:pPr>
      <w:r>
        <w:t xml:space="preserve">Why It Works</w:t>
      </w:r>
    </w:p>
    <w:p>
      <w:pPr>
        <w:spacing w:after="200"/>
      </w:pPr>
      <w:r>
        <w:t xml:space="preserve">1. Proven Heroes Stay: 12ft Skeleton, 7ft Reaper, 9ft Pirate Ship (combined $780K GM)
</w:t>
      </w:r>
      <w:r>
        <w:t xml:space="preserve">2. Smart Removals: Three items simulating &lt;$700 GM (weak sell-through, low margins)
</w:t>
      </w:r>
      <w:r>
        <w:t xml:space="preserve">3. Eye-Level Optimization: Tombstone (high ticket) replaces Talking Portrait, lifting profit +12.2%
</w:t>
      </w:r>
      <w:r>
        <w:t xml:space="preserve">4. Channel Discipline: Large items and margin-heavy licensed goods move online
</w:t>
      </w:r>
      <w:r>
        <w:t xml:space="preserve">5. Variety: Balanced $24.98 impulse to $399+ flagship; spooky, character, outdoor themes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2026-09-16T05:15:53.818Z</dcterms:created>
  <dcterms:modified xsi:type="dcterms:W3CDTF">2026-09-16T05:15:53.826Z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