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720" w:after="120" w:line="276" w:lineRule="auto"/>
        <w:jc w:val="center"/>
      </w:pPr>
      <w:r>
        <w:rPr>
          <w:rFonts w:ascii="Calibri" w:hAnsi="Calibri"/>
          <w:b/>
          <w:i w:val="0"/>
          <w:sz w:val="52"/>
        </w:rPr>
        <w:t>Client Wealth Audit Portal</w:t>
      </w:r>
    </w:p>
    <w:p>
      <w:pPr>
        <w:keepNext/>
        <w:spacing w:before="0" w:after="360" w:line="276" w:lineRule="auto"/>
        <w:jc w:val="center"/>
      </w:pPr>
      <w:r>
        <w:rPr>
          <w:rFonts w:ascii="Calibri" w:hAnsi="Calibri"/>
          <w:b w:val="0"/>
          <w:i/>
          <w:sz w:val="28"/>
        </w:rPr>
        <w:t>Technical and Operational Documentation</w:t>
      </w:r>
    </w:p>
    <w:p>
      <w:pPr>
        <w:spacing w:before="240" w:after="480" w:line="276" w:lineRule="auto"/>
        <w:jc w:val="center"/>
      </w:pPr>
      <w:r>
        <w:rPr>
          <w:rFonts w:ascii="Calibri" w:hAnsi="Calibri"/>
          <w:b w:val="0"/>
          <w:i w:val="0"/>
          <w:sz w:val="20"/>
        </w:rPr>
        <w:t>Author: Sharad Mayank Sinha</w:t>
        <w:br/>
        <w:t>Date: July 2026</w:t>
      </w:r>
    </w:p>
    <w:p>
      <w:pPr>
        <w:spacing w:line="276" w:lineRule="auto" w:before="0" w:after="120"/>
      </w:pPr>
      <w:r>
        <w:br w:type="page"/>
      </w:r>
    </w:p>
    <w:p>
      <w:pPr>
        <w:keepNext/>
        <w:spacing w:before="240" w:after="240" w:line="276" w:lineRule="auto"/>
        <w:jc w:val="center"/>
      </w:pPr>
      <w:r>
        <w:rPr>
          <w:rFonts w:ascii="Calibri" w:hAnsi="Calibri"/>
          <w:b/>
          <w:i w:val="0"/>
          <w:sz w:val="32"/>
        </w:rPr>
        <w:t>Table of Contents</w:t>
      </w:r>
    </w:p>
    <w:p>
      <w:pPr>
        <w:tabs>
          <w:tab w:pos="9360" w:val="right" w:leader="dot"/>
        </w:tabs>
        <w:spacing w:before="0" w:after="120" w:line="276" w:lineRule="auto"/>
      </w:pPr>
      <w:r>
        <w:fldChar w:fldCharType="begin" w:dirty="true"/>
        <w:instrText xml:space="preserve">TOC \o "1-3" \h \z \u</w:instrText>
        <w:fldChar w:fldCharType="separate"/>
        <w:fldChar w:fldCharType="end"/>
      </w:r>
    </w:p>
    <w:p>
      <w:pPr>
        <w:spacing w:line="276" w:lineRule="auto" w:before="0" w:after="120"/>
      </w:pPr>
      <w:r>
        <w:br w:type="page"/>
      </w:r>
    </w:p>
    <w:p>
      <w:pPr>
        <w:pStyle w:val="Heading1"/>
        <w:keepNext/>
        <w:spacing w:before="360" w:after="120"/>
      </w:pPr>
      <w:r>
        <w:rPr>
          <w:rFonts w:ascii="Calibri" w:hAnsi="Calibri"/>
          <w:b/>
          <w:i w:val="0"/>
          <w:sz w:val="32"/>
        </w:rPr>
        <w:t>1. Executive Summary</w:t>
      </w:r>
    </w:p>
    <w:p>
      <w:pPr>
        <w:spacing w:line="276" w:lineRule="auto" w:before="0" w:after="120"/>
      </w:pPr>
      <w:r>
        <w:rPr>
          <w:rFonts w:ascii="Calibri" w:hAnsi="Calibri"/>
          <w:b w:val="0"/>
          <w:i w:val="0"/>
          <w:sz w:val="22"/>
        </w:rPr>
        <w:t>The Client Wealth Audit Portal is a secure Enhanced Customer Due Diligence (ECDD) application designed for relationship managers to verify UHNWI Source of Wealth (SOW) portfolios. It models, verifies, and audits capital inflows against regulatory compliance frameworks (Wolfsberg and MAS guidelines).</w:t>
      </w:r>
    </w:p>
    <w:p>
      <w:pPr>
        <w:pStyle w:val="Heading1"/>
        <w:keepNext/>
        <w:spacing w:before="360" w:after="120"/>
      </w:pPr>
      <w:r>
        <w:rPr>
          <w:rFonts w:ascii="Calibri" w:hAnsi="Calibri"/>
          <w:b/>
          <w:i w:val="0"/>
          <w:sz w:val="32"/>
        </w:rPr>
        <w:t>2. Operational Portal Overview</w:t>
      </w:r>
    </w:p>
    <w:p>
      <w:pPr>
        <w:pStyle w:val="Heading2"/>
        <w:keepNext/>
        <w:spacing w:before="240" w:after="80"/>
      </w:pPr>
      <w:r>
        <w:rPr>
          <w:rFonts w:ascii="Calibri" w:hAnsi="Calibri"/>
          <w:b/>
          <w:i w:val="0"/>
          <w:sz w:val="26"/>
        </w:rPr>
        <w:t>2.1 Secure Gateway Authentication</w:t>
      </w:r>
    </w:p>
    <w:p>
      <w:pPr>
        <w:spacing w:line="276" w:lineRule="auto" w:before="0" w:after="120"/>
      </w:pPr>
      <w:r>
        <w:rPr>
          <w:rFonts w:ascii="Calibri" w:hAnsi="Calibri"/>
          <w:b w:val="0"/>
          <w:i w:val="0"/>
          <w:sz w:val="22"/>
        </w:rPr>
        <w:t>Controls system access and enforces separation of duties between relationship managers and administrators via a salted SHA-256 hashed gateway.</w:t>
      </w:r>
    </w:p>
    <w:p>
      <w:pPr>
        <w:keepNext/>
        <w:spacing w:before="120" w:after="40" w:line="276" w:lineRule="auto"/>
        <w:jc w:val="center"/>
      </w:pPr>
      <w:r>
        <w:drawing>
          <wp:inline xmlns:a="http://schemas.openxmlformats.org/drawingml/2006/main" xmlns:pic="http://schemas.openxmlformats.org/drawingml/2006/picture">
            <wp:extent cx="4572000" cy="3419856"/>
            <wp:docPr id="1" name="Picture 1"/>
            <wp:cNvGraphicFramePr>
              <a:graphicFrameLocks noChangeAspect="1"/>
            </wp:cNvGraphicFramePr>
            <a:graphic>
              <a:graphicData uri="http://schemas.openxmlformats.org/drawingml/2006/picture">
                <pic:pic>
                  <pic:nvPicPr>
                    <pic:cNvPr id="0" name="screenshot_simplified_landing.png"/>
                    <pic:cNvPicPr/>
                  </pic:nvPicPr>
                  <pic:blipFill>
                    <a:blip r:embed="rId9"/>
                    <a:stretch>
                      <a:fillRect/>
                    </a:stretch>
                  </pic:blipFill>
                  <pic:spPr>
                    <a:xfrm>
                      <a:off x="0" y="0"/>
                      <a:ext cx="4572000" cy="3419856"/>
                    </a:xfrm>
                    <a:prstGeom prst="rect"/>
                  </pic:spPr>
                </pic:pic>
              </a:graphicData>
            </a:graphic>
          </wp:inline>
        </w:drawing>
      </w:r>
    </w:p>
    <w:p>
      <w:pPr>
        <w:spacing w:before="40" w:after="120" w:line="276" w:lineRule="auto"/>
        <w:jc w:val="center"/>
      </w:pPr>
      <w:r>
        <w:rPr>
          <w:rFonts w:ascii="Calibri" w:hAnsi="Calibri"/>
          <w:b w:val="0"/>
          <w:i/>
          <w:sz w:val="19"/>
        </w:rPr>
        <w:t>Figure 2.1: Portal gateway authentication interface.</w:t>
      </w:r>
    </w:p>
    <w:p>
      <w:pPr>
        <w:keepNext/>
        <w:spacing w:before="120" w:after="40" w:line="276" w:lineRule="auto"/>
        <w:jc w:val="center"/>
      </w:pPr>
      <w:r>
        <w:drawing>
          <wp:inline xmlns:a="http://schemas.openxmlformats.org/drawingml/2006/main" xmlns:pic="http://schemas.openxmlformats.org/drawingml/2006/picture">
            <wp:extent cx="4572000" cy="3419856"/>
            <wp:docPr id="2" name="Picture 2"/>
            <wp:cNvGraphicFramePr>
              <a:graphicFrameLocks noChangeAspect="1"/>
            </wp:cNvGraphicFramePr>
            <a:graphic>
              <a:graphicData uri="http://schemas.openxmlformats.org/drawingml/2006/picture">
                <pic:pic>
                  <pic:nvPicPr>
                    <pic:cNvPr id="0" name="screenshot_simplified_landing_after_login.png"/>
                    <pic:cNvPicPr/>
                  </pic:nvPicPr>
                  <pic:blipFill>
                    <a:blip r:embed="rId10"/>
                    <a:stretch>
                      <a:fillRect/>
                    </a:stretch>
                  </pic:blipFill>
                  <pic:spPr>
                    <a:xfrm>
                      <a:off x="0" y="0"/>
                      <a:ext cx="4572000" cy="3419856"/>
                    </a:xfrm>
                    <a:prstGeom prst="rect"/>
                  </pic:spPr>
                </pic:pic>
              </a:graphicData>
            </a:graphic>
          </wp:inline>
        </w:drawing>
      </w:r>
    </w:p>
    <w:p>
      <w:pPr>
        <w:spacing w:before="40" w:after="120" w:line="276" w:lineRule="auto"/>
        <w:jc w:val="center"/>
      </w:pPr>
      <w:r>
        <w:rPr>
          <w:rFonts w:ascii="Calibri" w:hAnsi="Calibri"/>
          <w:b w:val="0"/>
          <w:i/>
          <w:sz w:val="19"/>
        </w:rPr>
        <w:t>Figure 2.2: Post-authentication gateway dashboard landing screen.</w:t>
      </w:r>
    </w:p>
    <w:p>
      <w:pPr>
        <w:pStyle w:val="Heading2"/>
        <w:keepNext/>
        <w:spacing w:before="240" w:after="80"/>
      </w:pPr>
      <w:r>
        <w:rPr>
          <w:rFonts w:ascii="Calibri" w:hAnsi="Calibri"/>
          <w:b/>
          <w:i w:val="0"/>
          <w:sz w:val="26"/>
        </w:rPr>
        <w:t>2.2 Client Profile Summary</w:t>
      </w:r>
    </w:p>
    <w:p>
      <w:pPr>
        <w:spacing w:line="276" w:lineRule="auto" w:before="0" w:after="120"/>
      </w:pPr>
      <w:r>
        <w:rPr>
          <w:rFonts w:ascii="Calibri" w:hAnsi="Calibri"/>
          <w:b w:val="0"/>
          <w:i w:val="0"/>
          <w:sz w:val="22"/>
        </w:rPr>
        <w:t>Enables targeted profile lookups, displaying nationality, account history tenure, active wealth streams, and net worth estimations.</w:t>
      </w:r>
    </w:p>
    <w:p>
      <w:pPr>
        <w:keepNext/>
        <w:spacing w:before="120" w:after="40" w:line="276" w:lineRule="auto"/>
        <w:jc w:val="center"/>
      </w:pPr>
      <w:r>
        <w:drawing>
          <wp:inline xmlns:a="http://schemas.openxmlformats.org/drawingml/2006/main" xmlns:pic="http://schemas.openxmlformats.org/drawingml/2006/picture">
            <wp:extent cx="4572000" cy="3419856"/>
            <wp:docPr id="3" name="Picture 3"/>
            <wp:cNvGraphicFramePr>
              <a:graphicFrameLocks noChangeAspect="1"/>
            </wp:cNvGraphicFramePr>
            <a:graphic>
              <a:graphicData uri="http://schemas.openxmlformats.org/drawingml/2006/picture">
                <pic:pic>
                  <pic:nvPicPr>
                    <pic:cNvPr id="0" name="screenshot_client_summary_updated.png"/>
                    <pic:cNvPicPr/>
                  </pic:nvPicPr>
                  <pic:blipFill>
                    <a:blip r:embed="rId11"/>
                    <a:stretch>
                      <a:fillRect/>
                    </a:stretch>
                  </pic:blipFill>
                  <pic:spPr>
                    <a:xfrm>
                      <a:off x="0" y="0"/>
                      <a:ext cx="4572000" cy="3419856"/>
                    </a:xfrm>
                    <a:prstGeom prst="rect"/>
                  </pic:spPr>
                </pic:pic>
              </a:graphicData>
            </a:graphic>
          </wp:inline>
        </w:drawing>
      </w:r>
    </w:p>
    <w:p>
      <w:pPr>
        <w:spacing w:before="40" w:after="120" w:line="276" w:lineRule="auto"/>
        <w:jc w:val="center"/>
      </w:pPr>
      <w:r>
        <w:rPr>
          <w:rFonts w:ascii="Calibri" w:hAnsi="Calibri"/>
          <w:b w:val="0"/>
          <w:i/>
          <w:sz w:val="19"/>
        </w:rPr>
        <w:t>Figure 2.3: Audited Client Profile Summary dashboard.</w:t>
      </w:r>
    </w:p>
    <w:p>
      <w:pPr>
        <w:pStyle w:val="Heading2"/>
        <w:keepNext/>
        <w:spacing w:before="240" w:after="80"/>
      </w:pPr>
      <w:r>
        <w:rPr>
          <w:rFonts w:ascii="Calibri" w:hAnsi="Calibri"/>
          <w:b/>
          <w:i w:val="0"/>
          <w:sz w:val="26"/>
        </w:rPr>
        <w:t>2.3 SOW Compliance Matrix &amp; Ledger</w:t>
      </w:r>
    </w:p>
    <w:p>
      <w:pPr>
        <w:spacing w:line="276" w:lineRule="auto" w:before="0" w:after="120"/>
      </w:pPr>
      <w:r>
        <w:rPr>
          <w:rFonts w:ascii="Calibri" w:hAnsi="Calibri"/>
          <w:b w:val="0"/>
          <w:i w:val="0"/>
          <w:sz w:val="22"/>
        </w:rPr>
        <w:t>Tracks document availability (Fully Available, Partially Available, Not Available, N/A) and lists timeline details across a 60-month tabbed grid for ledger verification.</w:t>
      </w:r>
    </w:p>
    <w:p>
      <w:pPr>
        <w:keepNext/>
        <w:spacing w:before="120" w:after="40" w:line="276" w:lineRule="auto"/>
        <w:jc w:val="center"/>
      </w:pPr>
      <w:r>
        <w:drawing>
          <wp:inline xmlns:a="http://schemas.openxmlformats.org/drawingml/2006/main" xmlns:pic="http://schemas.openxmlformats.org/drawingml/2006/picture">
            <wp:extent cx="4572000" cy="3419856"/>
            <wp:docPr id="4" name="Picture 4"/>
            <wp:cNvGraphicFramePr>
              <a:graphicFrameLocks noChangeAspect="1"/>
            </wp:cNvGraphicFramePr>
            <a:graphic>
              <a:graphicData uri="http://schemas.openxmlformats.org/drawingml/2006/picture">
                <pic:pic>
                  <pic:nvPicPr>
                    <pic:cNvPr id="0" name="screenshot_verification_status.png"/>
                    <pic:cNvPicPr/>
                  </pic:nvPicPr>
                  <pic:blipFill>
                    <a:blip r:embed="rId12"/>
                    <a:stretch>
                      <a:fillRect/>
                    </a:stretch>
                  </pic:blipFill>
                  <pic:spPr>
                    <a:xfrm>
                      <a:off x="0" y="0"/>
                      <a:ext cx="4572000" cy="3419856"/>
                    </a:xfrm>
                    <a:prstGeom prst="rect"/>
                  </pic:spPr>
                </pic:pic>
              </a:graphicData>
            </a:graphic>
          </wp:inline>
        </w:drawing>
      </w:r>
    </w:p>
    <w:p>
      <w:pPr>
        <w:spacing w:before="40" w:after="120" w:line="276" w:lineRule="auto"/>
        <w:jc w:val="center"/>
      </w:pPr>
      <w:r>
        <w:rPr>
          <w:rFonts w:ascii="Calibri" w:hAnsi="Calibri"/>
          <w:b w:val="0"/>
          <w:i/>
          <w:sz w:val="19"/>
        </w:rPr>
        <w:t>Figure 2.4: Compliance checklist matrix.</w:t>
      </w:r>
    </w:p>
    <w:p>
      <w:pPr>
        <w:keepNext/>
        <w:spacing w:before="120" w:after="40" w:line="276" w:lineRule="auto"/>
        <w:jc w:val="center"/>
      </w:pPr>
      <w:r>
        <w:drawing>
          <wp:inline xmlns:a="http://schemas.openxmlformats.org/drawingml/2006/main" xmlns:pic="http://schemas.openxmlformats.org/drawingml/2006/picture">
            <wp:extent cx="4572000" cy="3419856"/>
            <wp:docPr id="5" name="Picture 5"/>
            <wp:cNvGraphicFramePr>
              <a:graphicFrameLocks noChangeAspect="1"/>
            </wp:cNvGraphicFramePr>
            <a:graphic>
              <a:graphicData uri="http://schemas.openxmlformats.org/drawingml/2006/picture">
                <pic:pic>
                  <pic:nvPicPr>
                    <pic:cNvPr id="0" name="screenshot_active_category.png"/>
                    <pic:cNvPicPr/>
                  </pic:nvPicPr>
                  <pic:blipFill>
                    <a:blip r:embed="rId13"/>
                    <a:stretch>
                      <a:fillRect/>
                    </a:stretch>
                  </pic:blipFill>
                  <pic:spPr>
                    <a:xfrm>
                      <a:off x="0" y="0"/>
                      <a:ext cx="4572000" cy="3419856"/>
                    </a:xfrm>
                    <a:prstGeom prst="rect"/>
                  </pic:spPr>
                </pic:pic>
              </a:graphicData>
            </a:graphic>
          </wp:inline>
        </w:drawing>
      </w:r>
    </w:p>
    <w:p>
      <w:pPr>
        <w:spacing w:before="40" w:after="120" w:line="276" w:lineRule="auto"/>
        <w:jc w:val="center"/>
      </w:pPr>
      <w:r>
        <w:rPr>
          <w:rFonts w:ascii="Calibri" w:hAnsi="Calibri"/>
          <w:b w:val="0"/>
          <w:i/>
          <w:sz w:val="19"/>
        </w:rPr>
        <w:t>Figure 2.5: Yearly timeline ledger compartment.</w:t>
      </w:r>
    </w:p>
    <w:p>
      <w:pPr>
        <w:pStyle w:val="Heading2"/>
        <w:keepNext/>
        <w:spacing w:before="240" w:after="80"/>
      </w:pPr>
      <w:r>
        <w:rPr>
          <w:rFonts w:ascii="Calibri" w:hAnsi="Calibri"/>
          <w:b/>
          <w:i w:val="0"/>
          <w:sz w:val="26"/>
        </w:rPr>
        <w:t>2.4 Salary &amp; Job Income Plausibility Calibration</w:t>
      </w:r>
    </w:p>
    <w:p>
      <w:pPr>
        <w:spacing w:line="276" w:lineRule="auto" w:before="0" w:after="120"/>
      </w:pPr>
      <w:r>
        <w:rPr>
          <w:rFonts w:ascii="Calibri" w:hAnsi="Calibri"/>
          <w:b w:val="0"/>
          <w:i w:val="0"/>
          <w:sz w:val="22"/>
        </w:rPr>
        <w:t>Salary verification runs a month-over-month historical alignment mapping. For each audited month in the 60-month grid, the engine cross-references the reported company and role active at that date against client career segments. To establish baseline rates, the system scrapes regional salary ranges (e.g. Glassdoor, LinkedIn, AmbitionBox) via SerpAPI. RMs can toggle these scraped sources in the UI, updating the Plotly baseline overlay. Missing months (red slots) display the expected salary benchmark value (marked with 'x' indicators) directly on the trend chart.</w:t>
      </w:r>
    </w:p>
    <w:p>
      <w:pPr>
        <w:keepNext/>
        <w:spacing w:before="120" w:after="40" w:line="276" w:lineRule="auto"/>
        <w:jc w:val="center"/>
      </w:pPr>
      <w:r>
        <w:drawing>
          <wp:inline xmlns:a="http://schemas.openxmlformats.org/drawingml/2006/main" xmlns:pic="http://schemas.openxmlformats.org/drawingml/2006/picture">
            <wp:extent cx="4572000" cy="3419856"/>
            <wp:docPr id="6" name="Picture 6"/>
            <wp:cNvGraphicFramePr>
              <a:graphicFrameLocks noChangeAspect="1"/>
            </wp:cNvGraphicFramePr>
            <a:graphic>
              <a:graphicData uri="http://schemas.openxmlformats.org/drawingml/2006/picture">
                <pic:pic>
                  <pic:nvPicPr>
                    <pic:cNvPr id="0" name="screenshot_simplified_chart.png"/>
                    <pic:cNvPicPr/>
                  </pic:nvPicPr>
                  <pic:blipFill>
                    <a:blip r:embed="rId14"/>
                    <a:stretch>
                      <a:fillRect/>
                    </a:stretch>
                  </pic:blipFill>
                  <pic:spPr>
                    <a:xfrm>
                      <a:off x="0" y="0"/>
                      <a:ext cx="4572000" cy="3419856"/>
                    </a:xfrm>
                    <a:prstGeom prst="rect"/>
                  </pic:spPr>
                </pic:pic>
              </a:graphicData>
            </a:graphic>
          </wp:inline>
        </w:drawing>
      </w:r>
    </w:p>
    <w:p>
      <w:pPr>
        <w:spacing w:before="40" w:after="120" w:line="276" w:lineRule="auto"/>
        <w:jc w:val="center"/>
      </w:pPr>
      <w:r>
        <w:rPr>
          <w:rFonts w:ascii="Calibri" w:hAnsi="Calibri"/>
          <w:b w:val="0"/>
          <w:i/>
          <w:sz w:val="19"/>
        </w:rPr>
        <w:t>Figure 2.6: Salary market calibration and expected baseline trendline.</w:t>
      </w:r>
    </w:p>
    <w:p>
      <w:pPr>
        <w:pStyle w:val="Heading2"/>
        <w:keepNext/>
        <w:spacing w:before="240" w:after="80"/>
      </w:pPr>
      <w:r>
        <w:rPr>
          <w:rFonts w:ascii="Calibri" w:hAnsi="Calibri"/>
          <w:b/>
          <w:i w:val="0"/>
          <w:sz w:val="26"/>
        </w:rPr>
        <w:t>2.5 Rental Property Yield &amp; Conformance Modeling</w:t>
      </w:r>
    </w:p>
    <w:p>
      <w:pPr>
        <w:spacing w:line="276" w:lineRule="auto" w:before="0" w:after="120"/>
      </w:pPr>
      <w:r>
        <w:rPr>
          <w:rFonts w:ascii="Calibri" w:hAnsi="Calibri"/>
          <w:b w:val="0"/>
          <w:i w:val="0"/>
          <w:sz w:val="22"/>
        </w:rPr>
        <w:t>Rental income plausibility is checked using a multi-factor mathematical formula applied to the client's property metadata (area, base rate, tier, property type, and density factor):</w:t>
      </w:r>
    </w:p>
    <w:p>
      <w:pPr>
        <w:spacing w:before="0" w:after="120" w:line="276" w:lineRule="auto"/>
        <w:ind w:left="720"/>
      </w:pPr>
      <w:r>
        <w:rPr>
          <w:rFonts w:ascii="Courier New" w:hAnsi="Courier New"/>
          <w:b w:val="0"/>
          <w:i w:val="0"/>
          <w:sz w:val="19"/>
        </w:rPr>
        <w:t>Typical Monthly Rent = Area (sq ft) * Base Rate * Loc_Mult * Type_Mult * Density_Mult</w:t>
      </w:r>
    </w:p>
    <w:p>
      <w:pPr>
        <w:spacing w:line="276" w:lineRule="auto" w:before="0" w:after="120"/>
      </w:pPr>
      <w:r>
        <w:rPr>
          <w:rFonts w:ascii="Calibri" w:hAnsi="Calibri"/>
          <w:b w:val="0"/>
          <w:i w:val="0"/>
          <w:sz w:val="22"/>
        </w:rPr>
        <w:t>Where multipliers are configured based on tier (Tier 1 Metro = 1.4, Tier 2 City = 1.0, Tier 3 City = 0.7), classification (Prime Commercial = 1.3, SEZ Office = 1.1, Suburban Residential = 0.8), and population density demand (High = 1.2, Medium = 1.0, Low = 0.8).</w:t>
      </w:r>
    </w:p>
    <w:p>
      <w:pPr>
        <w:spacing w:line="276" w:lineRule="auto" w:before="0" w:after="120"/>
      </w:pPr>
      <w:r>
        <w:rPr>
          <w:rFonts w:ascii="Calibri" w:hAnsi="Calibri"/>
          <w:b w:val="0"/>
          <w:i w:val="0"/>
          <w:sz w:val="22"/>
        </w:rPr>
        <w:t>To calibrate this calculated base, the portal scrapes online property indices (99acres, MagicBricks, Housing.com) via SerpAPI. The average actual documented rent is divided by the calculated base to produce a conformance ratio. If the ratio is within 0.75 and 1.25, the yield is marked as matching standard rates. Values exceeding 1.25 are flagged as unusually high (red status warning). Additionally, the expected rent baseline compounds a 10% annual escalation raise every 12 months.</w:t>
      </w:r>
    </w:p>
    <w:p>
      <w:pPr>
        <w:pStyle w:val="Heading2"/>
        <w:keepNext/>
        <w:spacing w:before="240" w:after="80"/>
      </w:pPr>
      <w:r>
        <w:rPr>
          <w:rFonts w:ascii="Calibri" w:hAnsi="Calibri"/>
          <w:b/>
          <w:i w:val="0"/>
          <w:sz w:val="26"/>
        </w:rPr>
        <w:t>2.6 Income Volatility &amp; Anomaly Profiling</w:t>
      </w:r>
    </w:p>
    <w:p>
      <w:pPr>
        <w:spacing w:line="276" w:lineRule="auto" w:before="0" w:after="120"/>
      </w:pPr>
      <w:r>
        <w:rPr>
          <w:rFonts w:ascii="Calibri" w:hAnsi="Calibri"/>
          <w:b w:val="0"/>
          <w:i w:val="0"/>
          <w:sz w:val="22"/>
        </w:rPr>
        <w:t>Calculates Month-over-Month (MoM) cash flow changes. Visualized using a Plotly bar chart, this profiler automatically flags transactions that deviate from the rolling standard deviation limits (+/- 2σ) as high-risk anomalies requiring RM review.</w:t>
      </w:r>
    </w:p>
    <w:p>
      <w:pPr>
        <w:keepNext/>
        <w:spacing w:before="120" w:after="40" w:line="276" w:lineRule="auto"/>
        <w:jc w:val="center"/>
      </w:pPr>
      <w:r>
        <w:drawing>
          <wp:inline xmlns:a="http://schemas.openxmlformats.org/drawingml/2006/main" xmlns:pic="http://schemas.openxmlformats.org/drawingml/2006/picture">
            <wp:extent cx="4572000" cy="3419856"/>
            <wp:docPr id="7" name="Picture 7"/>
            <wp:cNvGraphicFramePr>
              <a:graphicFrameLocks noChangeAspect="1"/>
            </wp:cNvGraphicFramePr>
            <a:graphic>
              <a:graphicData uri="http://schemas.openxmlformats.org/drawingml/2006/picture">
                <pic:pic>
                  <pic:nvPicPr>
                    <pic:cNvPr id="0" name="screenshot_scrolled_chart_verification.png"/>
                    <pic:cNvPicPr/>
                  </pic:nvPicPr>
                  <pic:blipFill>
                    <a:blip r:embed="rId15"/>
                    <a:stretch>
                      <a:fillRect/>
                    </a:stretch>
                  </pic:blipFill>
                  <pic:spPr>
                    <a:xfrm>
                      <a:off x="0" y="0"/>
                      <a:ext cx="4572000" cy="3419856"/>
                    </a:xfrm>
                    <a:prstGeom prst="rect"/>
                  </pic:spPr>
                </pic:pic>
              </a:graphicData>
            </a:graphic>
          </wp:inline>
        </w:drawing>
      </w:r>
    </w:p>
    <w:p>
      <w:pPr>
        <w:spacing w:before="40" w:after="120" w:line="276" w:lineRule="auto"/>
        <w:jc w:val="center"/>
      </w:pPr>
      <w:r>
        <w:rPr>
          <w:rFonts w:ascii="Calibri" w:hAnsi="Calibri"/>
          <w:b w:val="0"/>
          <w:i/>
          <w:sz w:val="19"/>
        </w:rPr>
        <w:t>Figure 2.7: Volatility indexing and MoM cash flow limits.</w:t>
      </w:r>
    </w:p>
    <w:p>
      <w:pPr>
        <w:pStyle w:val="Heading1"/>
        <w:keepNext/>
        <w:spacing w:before="360" w:after="120"/>
      </w:pPr>
      <w:r>
        <w:rPr>
          <w:rFonts w:ascii="Calibri" w:hAnsi="Calibri"/>
          <w:b/>
          <w:i w:val="0"/>
          <w:sz w:val="32"/>
        </w:rPr>
        <w:t>3. System Architecture &amp; Modules</w:t>
      </w:r>
    </w:p>
    <w:p>
      <w:pPr>
        <w:spacing w:line="276" w:lineRule="auto" w:before="0" w:after="120"/>
      </w:pPr>
      <w:r>
        <w:rPr>
          <w:rFonts w:ascii="Calibri" w:hAnsi="Calibri"/>
          <w:b/>
          <w:i w:val="0"/>
          <w:sz w:val="22"/>
        </w:rPr>
        <w:t xml:space="preserve">Architecture Summary: </w:t>
      </w:r>
      <w:r>
        <w:rPr>
          <w:rFonts w:ascii="Calibri" w:hAnsi="Calibri"/>
          <w:b w:val="0"/>
          <w:i w:val="0"/>
          <w:sz w:val="22"/>
        </w:rPr>
        <w:t>The application is structured as a Streamlit-based dashboard integrating several core libraries:</w:t>
      </w:r>
    </w:p>
    <w:p>
      <w:pPr>
        <w:spacing w:line="276" w:lineRule="auto" w:before="0" w:after="120"/>
      </w:pPr>
      <w:r>
        <w:rPr>
          <w:rFonts w:ascii="Calibri" w:hAnsi="Calibri"/>
          <w:b/>
          <w:i w:val="0"/>
          <w:sz w:val="22"/>
        </w:rPr>
        <w:t xml:space="preserve">• </w:t>
      </w:r>
      <w:r>
        <w:rPr>
          <w:rFonts w:ascii="Calibri" w:hAnsi="Calibri"/>
          <w:b w:val="0"/>
          <w:i w:val="0"/>
          <w:sz w:val="22"/>
        </w:rPr>
        <w:t>- Streamlit: Controls routing, layout views, and styling properties.</w:t>
      </w:r>
    </w:p>
    <w:p>
      <w:pPr>
        <w:spacing w:line="276" w:lineRule="auto" w:before="0" w:after="120"/>
      </w:pPr>
      <w:r>
        <w:rPr>
          <w:rFonts w:ascii="Calibri" w:hAnsi="Calibri"/>
          <w:b/>
          <w:i w:val="0"/>
          <w:sz w:val="22"/>
        </w:rPr>
        <w:t xml:space="preserve">• </w:t>
      </w:r>
      <w:r>
        <w:rPr>
          <w:rFonts w:ascii="Calibri" w:hAnsi="Calibri"/>
          <w:b w:val="0"/>
          <w:i w:val="0"/>
          <w:sz w:val="22"/>
        </w:rPr>
        <w:t>- Pandas: Handles the database session state and outputs CSV/Excel logs.</w:t>
      </w:r>
    </w:p>
    <w:p>
      <w:pPr>
        <w:spacing w:line="276" w:lineRule="auto" w:before="0" w:after="120"/>
      </w:pPr>
      <w:r>
        <w:rPr>
          <w:rFonts w:ascii="Calibri" w:hAnsi="Calibri"/>
          <w:b/>
          <w:i w:val="0"/>
          <w:sz w:val="22"/>
        </w:rPr>
        <w:t xml:space="preserve">• </w:t>
      </w:r>
      <w:r>
        <w:rPr>
          <w:rFonts w:ascii="Calibri" w:hAnsi="Calibri"/>
          <w:b w:val="0"/>
          <w:i w:val="0"/>
          <w:sz w:val="22"/>
        </w:rPr>
        <w:t>- Plotly: Generates the responsive timeline and volatility anomaly charts.</w:t>
      </w:r>
    </w:p>
    <w:p>
      <w:pPr>
        <w:spacing w:line="276" w:lineRule="auto" w:before="0" w:after="120"/>
      </w:pPr>
      <w:r>
        <w:rPr>
          <w:rFonts w:ascii="Calibri" w:hAnsi="Calibri"/>
          <w:b/>
          <w:i w:val="0"/>
          <w:sz w:val="22"/>
        </w:rPr>
        <w:t xml:space="preserve">• </w:t>
      </w:r>
      <w:r>
        <w:rPr>
          <w:rFonts w:ascii="Calibri" w:hAnsi="Calibri"/>
          <w:b w:val="0"/>
          <w:i w:val="0"/>
          <w:sz w:val="22"/>
        </w:rPr>
        <w:t>- pdfplumber &amp; LLM: Match uploaded PDF invoices and parse document text.</w:t>
      </w:r>
    </w:p>
    <w:p>
      <w:pPr>
        <w:spacing w:line="276" w:lineRule="auto" w:before="0" w:after="120"/>
      </w:pPr>
      <w:r>
        <w:rPr>
          <w:rFonts w:ascii="Calibri" w:hAnsi="Calibri"/>
          <w:b/>
          <w:i w:val="0"/>
          <w:sz w:val="22"/>
        </w:rPr>
        <w:t xml:space="preserve">• </w:t>
      </w:r>
      <w:r>
        <w:rPr>
          <w:rFonts w:ascii="Calibri" w:hAnsi="Calibri"/>
          <w:b w:val="0"/>
          <w:i w:val="0"/>
          <w:sz w:val="22"/>
        </w:rPr>
        <w:t>- LangChain Agent: Queries client datasets using natural language inside the AI chatbot.</w:t>
      </w:r>
    </w:p>
    <w:sectPr w:rsidR="00FC693F" w:rsidRPr="0006063C" w:rsidSect="00034616">
      <w:footerReference w:type="default" r:id="rId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
      <w:rPr>
        <w:rFonts w:ascii="Calibri" w:hAnsi="Calibri"/>
        <w:b w:val="0"/>
        <w:i w:val="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