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 w:line="300"/>
        <w:jc w:val="center"/>
      </w:pPr>
      <w:r>
        <w:rPr>
          <w:rFonts w:ascii="Times New Roman" w:cs="Times New Roman" w:eastAsia="Times New Roman" w:hAnsi="Times New Roman"/>
          <w:sz w:val="24"/>
          <w:szCs w:val="24"/>
        </w:rPr>
        <w:t xml:space="preserve">Симаков В.А., аспирант</w:t>
      </w:r>
    </w:p>
    <w:p>
      <w:pPr>
        <w:spacing w:after="100" w:before="0" w:line="300"/>
        <w:jc w:val="center"/>
      </w:pPr>
      <w:r>
        <w:rPr>
          <w:rFonts w:ascii="Times New Roman" w:cs="Times New Roman" w:eastAsia="Times New Roman" w:hAnsi="Times New Roman"/>
          <w:sz w:val="24"/>
          <w:szCs w:val="24"/>
        </w:rPr>
        <w:t xml:space="preserve">ФГБОУ ВО «Смоленский государственный университет»</w:t>
      </w:r>
    </w:p>
    <w:p>
      <w:pPr>
        <w:spacing w:after="200" w:before="240" w:line="300"/>
        <w:jc w:val="center"/>
      </w:pPr>
      <w:r>
        <w:rPr>
          <w:rFonts w:ascii="Times New Roman" w:cs="Times New Roman" w:eastAsia="Times New Roman" w:hAnsi="Times New Roman"/>
          <w:b/>
          <w:bCs/>
          <w:sz w:val="24"/>
          <w:szCs w:val="24"/>
        </w:rPr>
        <w:t xml:space="preserve">АЛГЕБРАИЧЕСКАЯ МАШИНА БАЗ ДАННЫХ НА ОСНОВЕ (λ, μ)-СВЁРНУТОГО ПРОИЗВЕДЕНИЯ: ТРАНСЛЯЦИЯ SQL-ЗАПРОСОВ В ЦЕПОЧКИ МНОГОМЕРНО-МАТРИЧНЫХ ОПЕРАЦИЙ</w:t>
      </w:r>
    </w:p>
    <w:p>
      <w:pPr>
        <w:spacing w:after="120" w:before="0" w:line="300"/>
        <w:ind w:firstLine="567"/>
        <w:jc w:val="both"/>
      </w:pPr>
      <w:r>
        <w:rPr>
          <w:rFonts w:ascii="Times New Roman" w:cs="Times New Roman" w:eastAsia="Times New Roman" w:hAnsi="Times New Roman"/>
          <w:sz w:val="24"/>
          <w:szCs w:val="24"/>
        </w:rPr>
        <w:t xml:space="preserve">Аннотация.</w:t>
      </w:r>
      <w:r>
        <w:rPr>
          <w:rFonts w:ascii="Times New Roman" w:cs="Times New Roman" w:eastAsia="Times New Roman" w:hAnsi="Times New Roman"/>
          <w:sz w:val="24"/>
          <w:szCs w:val="24"/>
        </w:rPr>
        <w:t xml:space="preserve"> Описана программная реализация алгебраической машины баз данных, транслирующей SQL-подобный запрос в цепочку (λ, μ)-свёрнутых произведений многомерных матриц Н.П. Соколова. Установлено взаимно однозначное соответствие ролей индексов свёрнутого произведения конструкциям языка запросов, и правила трансляции выписаны для двадцати двух конструкций, включая соединение по неравенству, разбор случаев CASE WHEN и выборку различных значений; каждая из них сводится к добавлению операнда в ту же свёртку. Доказана теорема о разложении многооперандного стягивания в композицию бинарных свёрнутых произведений, из которой следует независимость результата от порядка свёрток и корректность оптимизации плана. Найдено точное условие обратимости отображения отношения в гиперкуб. Показано, что агрегаты MIN, MAX и COUNT DISTINCT, невыразимые над полем действительных чисел, выражаются над другими полукольцами. Показано, что (λ, μ)-произведение при ненулевом числе скоттовых индексов сводится к пакетному матричному умножению разложением на сечения, что даёт около десятикратного ускорения относительно прямого стягивания по определению. Проведено сравнение с колоночной СУБД DuckDB и с ClickHouse на одиннадцати запросах с построчной сверкой результатов: преимущество составляет от 1.3 до 4.5 раза против DuckDB и от 3.6 до 66 раз против ClickHouse. Наибольшее преимущество — 7.8 раза против DuckDB и 38 против ClickHouse — получено на произведении гиперкуба на гиперкуб, то есть на конструкции со скоттовыми индексами, отличающей свёрнутое произведение от тензорной свёртки. Двумя управляемыми опытами показано, что отношение времён определяется не одной величиной, а двумя: числом ячеек гиперкуба и длиной сводки, ограниченной сверху тем же числом; при равном предпосчёте плотность выше двух фактов на ячейку не влияет ни на что, и граница применимости проходит по абсолютному размеру куба. Развёрткой по мощности измерения от 10² до 10⁶ значений эта граница переведена в требование к схеме. Показано также, что отсутствующие значения выражаются в модели без введения третьего логического значения: неизвестная мера отображается в нейтральный по сложению элемент, неизвестное значение измерения — в отдельный ординал его словаря, и двузначная арифметика индикаторов воспроизводит трёхзначную логику условия отбора.</w:t>
      </w:r>
    </w:p>
    <w:p>
      <w:pPr>
        <w:spacing w:after="120" w:before="0" w:line="300"/>
        <w:ind w:firstLine="567"/>
        <w:jc w:val="both"/>
      </w:pPr>
      <w:r>
        <w:rPr>
          <w:rFonts w:ascii="Times New Roman" w:cs="Times New Roman" w:eastAsia="Times New Roman" w:hAnsi="Times New Roman"/>
          <w:sz w:val="24"/>
          <w:szCs w:val="24"/>
        </w:rPr>
        <w:t xml:space="preserve">Ключевые слова:</w:t>
      </w:r>
      <w:r>
        <w:rPr>
          <w:rFonts w:ascii="Times New Roman" w:cs="Times New Roman" w:eastAsia="Times New Roman" w:hAnsi="Times New Roman"/>
          <w:sz w:val="24"/>
          <w:szCs w:val="24"/>
        </w:rPr>
        <w:t xml:space="preserve"> многомерные матрицы, (λ, μ)-свёрнутое произведение, алгебраическая машина баз данных, OLAP, гиперкуб, einsum, трансляция запросов, полукольца.</w:t>
      </w:r>
    </w:p>
    <w:p>
      <w:pPr>
        <w:spacing w:after="100" w:before="240" w:line="300"/>
        <w:jc w:val="center"/>
      </w:pPr>
      <w:r>
        <w:rPr>
          <w:rFonts w:ascii="Times New Roman" w:cs="Times New Roman" w:eastAsia="Times New Roman" w:hAnsi="Times New Roman"/>
          <w:sz w:val="24"/>
          <w:szCs w:val="24"/>
        </w:rPr>
        <w:t xml:space="preserve">Simakov V.A.</w:t>
      </w:r>
    </w:p>
    <w:p>
      <w:pPr>
        <w:spacing w:after="100" w:before="0" w:line="300"/>
        <w:jc w:val="center"/>
      </w:pPr>
      <w:r>
        <w:rPr>
          <w:rFonts w:ascii="Times New Roman" w:cs="Times New Roman" w:eastAsia="Times New Roman" w:hAnsi="Times New Roman"/>
          <w:sz w:val="24"/>
          <w:szCs w:val="24"/>
        </w:rPr>
        <w:t xml:space="preserve">Smolensk State University</w:t>
      </w:r>
    </w:p>
    <w:p>
      <w:pPr>
        <w:spacing w:after="200" w:before="240" w:line="300"/>
        <w:jc w:val="center"/>
      </w:pPr>
      <w:r>
        <w:rPr>
          <w:rFonts w:ascii="Times New Roman" w:cs="Times New Roman" w:eastAsia="Times New Roman" w:hAnsi="Times New Roman"/>
          <w:b/>
          <w:bCs/>
          <w:sz w:val="24"/>
          <w:szCs w:val="24"/>
        </w:rPr>
        <w:t xml:space="preserve">AN ALGEBRAIC DATABASE MACHINE BASED ON THE (λ, μ)-CONVOLVED PRODUCT: TRANSLATION OF SQL QUERIES INTO CHAINS OF MULTIDIMENSIONAL MATRIX OPERATIONS</w:t>
      </w:r>
    </w:p>
    <w:p>
      <w:pPr>
        <w:spacing w:after="120" w:before="0" w:line="300"/>
        <w:ind w:firstLine="567"/>
        <w:jc w:val="both"/>
      </w:pPr>
      <w:r>
        <w:rPr>
          <w:rFonts w:ascii="Times New Roman" w:cs="Times New Roman" w:eastAsia="Times New Roman" w:hAnsi="Times New Roman"/>
          <w:sz w:val="24"/>
          <w:szCs w:val="24"/>
        </w:rPr>
        <w:t xml:space="preserve">Abstract.</w:t>
      </w:r>
      <w:r>
        <w:rPr>
          <w:rFonts w:ascii="Times New Roman" w:cs="Times New Roman" w:eastAsia="Times New Roman" w:hAnsi="Times New Roman"/>
          <w:sz w:val="24"/>
          <w:szCs w:val="24"/>
        </w:rPr>
        <w:t xml:space="preserve"> We present a software implementation of an algebraic database machine that translates an SQL-like query into a chain of (λ, μ)-convolved products of N.P. Sokolov's multidimensional matrices. A one-to-one correspondence is established between the index roles of the convolved product and the constructs of the query language, and translation rules are written out for twenty-two constructs, including the θ-join, the CASE WHEN case analysis and SELECT DISTINCT; each of them reduces to adding one operand to the same contraction. A theorem is proved on the decomposition of a multi-operand contraction into a composition of binary convolved products, implying that the result is independent of the contraction order and hence that plan optimization is sound. An exact condition for the invertibility of the mapping from a relation to a hypercube is found. The aggregates MIN, MAX and COUNT DISTINCT, which are not expressible over the field of real numbers, are shown to be expressible over other semirings. We further show that, when the number of Scott indices is non-zero, the (λ, μ)-product reduces to a batched matrix multiplication by decomposition into sections, which yields an approximately tenfold speedup over direct contraction by definition. A comparison against the columnar DBMS DuckDB and against ClickHouse was carried out on eleven queries with row-by-row verification of results: the speedup ranges from 1.3 to 4.5 against DuckDB and from 3.6 to 66 against ClickHouse. The largest speedup — 7.8 against DuckDB and 38 against ClickHouse — is obtained on the product of one hypercube by another, that is, on the construction with Scott indices that distinguishes the convolved product from a tensor contraction. Two controlled experiments show that the ratio of running times is governed not by one quantity but by two: the number of hypercube cells and the length of the pre-aggregated summary, which is itself bounded above by that number; under equal pre-aggregation, a density above two facts per cell has no effect, and the limit of applicability is set by the absolute size of the cube. A sweep over dimension cardinality from 10² to 10⁶ values turns this limit into a requirement on the schema. We further show that missing values are expressible in the model without a third logical value: a missing measure maps to the additive identity, a missing dimension value to a separate ordinal of its dictionary, and two-valued indicator arithmetic reproduces the three-valued logic of the selection condition.</w:t>
      </w:r>
    </w:p>
    <w:p>
      <w:pPr>
        <w:spacing w:after="120" w:before="0" w:line="300"/>
        <w:ind w:firstLine="567"/>
        <w:jc w:val="both"/>
      </w:pPr>
      <w:r>
        <w:rPr>
          <w:rFonts w:ascii="Times New Roman" w:cs="Times New Roman" w:eastAsia="Times New Roman" w:hAnsi="Times New Roman"/>
          <w:sz w:val="24"/>
          <w:szCs w:val="24"/>
        </w:rPr>
        <w:t xml:space="preserve">Keywords:</w:t>
      </w:r>
      <w:r>
        <w:rPr>
          <w:rFonts w:ascii="Times New Roman" w:cs="Times New Roman" w:eastAsia="Times New Roman" w:hAnsi="Times New Roman"/>
          <w:sz w:val="24"/>
          <w:szCs w:val="24"/>
        </w:rPr>
        <w:t xml:space="preserve"> multidimensional matrices, (λ, μ)-convolved product, algebraic database machine, OLAP, hypercube, einsum, query translation, semirings.</w:t>
      </w:r>
    </w:p>
    <w:p>
      <w:pPr>
        <w:pStyle w:val="Heading1"/>
        <w:spacing w:after="160" w:before="320"/>
      </w:pPr>
      <w:r>
        <w:rPr>
          <w:rFonts w:ascii="Times New Roman" w:cs="Times New Roman" w:eastAsia="Times New Roman" w:hAnsi="Times New Roman"/>
          <w:b/>
          <w:bCs/>
          <w:sz w:val="26"/>
          <w:szCs w:val="26"/>
        </w:rPr>
        <w:t xml:space="preserve">Введение</w:t>
      </w:r>
    </w:p>
    <w:p>
      <w:pPr>
        <w:spacing w:after="120" w:before="0" w:line="300"/>
        <w:ind w:firstLine="567"/>
        <w:jc w:val="both"/>
      </w:pPr>
      <w:r>
        <w:rPr>
          <w:rFonts w:ascii="Times New Roman" w:cs="Times New Roman" w:eastAsia="Times New Roman" w:hAnsi="Times New Roman"/>
          <w:sz w:val="24"/>
          <w:szCs w:val="24"/>
        </w:rPr>
        <w:t xml:space="preserve">В работе [2] показано, что (λ, μ)-свёрнутое произведение многомерных матриц, введённое Н.П. Соколовым [1], естественно выражается через соглашение о суммировании Эйнштейна и его программную реализацию — функцию einsum, а на больших тензорах такая реализация опережает наивную индексно-ориентированную на два порядка. Это результат об операции. Оставался открытым вопрос об инструменте: можно ли на этой операции построить работающую машину баз данных.</w:t>
      </w:r>
    </w:p>
    <w:p>
      <w:pPr>
        <w:spacing w:after="120" w:before="0" w:line="300"/>
        <w:ind w:firstLine="567"/>
        <w:jc w:val="both"/>
      </w:pPr>
      <w:r>
        <w:rPr>
          <w:rFonts w:ascii="Times New Roman" w:cs="Times New Roman" w:eastAsia="Times New Roman" w:hAnsi="Times New Roman"/>
          <w:sz w:val="24"/>
          <w:szCs w:val="24"/>
        </w:rPr>
        <w:t xml:space="preserve">Идея строить системы управления базами данных на алгебре многомерных матриц восходит к работам В.И. Мунермана и соавторов [3–7], где многомерно-матричная модель обоснована как альтернатива теоретико-множественной и установлено соответствие между моделями. Настоящая работа продолжает это направление и добавляет к нему три результата, необходимые для перехода от модели к работающей машине. Первый — точное условие, при котором соответствие реляционной и многомерно-матричной моделей на уровне экземпляров взаимно однозначно (предложение 1). Второй — правила перевода конструкций языка запросов в операции алгебры, выписанные для полного подмножества языка (табл. 3), вместе с описанием класса представимых запросов (теорема 1). Третий — обобщение ассоциативного закона Соколова на многооперандные планы (теорема 2). Сам закон и условие его применимости даны в [1, с. 56]; но он формулирует равенство для фиксированной пары произведений, тогда как оптимизатору нужно равенство для произвольного дерева свёрток, в котором роли индексов определяются самим деревом. Без такого обобщения оптимизатор не вправе выбирать порядок. Схема распараллеливания сопоставлена с алгоритмом работы [6] в §3.4.</w:t>
      </w:r>
    </w:p>
    <w:p>
      <w:pPr>
        <w:spacing w:after="120" w:before="0" w:line="300"/>
        <w:ind w:firstLine="567"/>
        <w:jc w:val="both"/>
      </w:pPr>
      <w:r>
        <w:rPr>
          <w:rFonts w:ascii="Times New Roman" w:cs="Times New Roman" w:eastAsia="Times New Roman" w:hAnsi="Times New Roman"/>
          <w:sz w:val="24"/>
          <w:szCs w:val="24"/>
        </w:rPr>
        <w:t xml:space="preserve">Построена программная реализация объёмом около шести с половиной тысяч строк, в которой реляционные таблицы фактов отображаются в гиперкубы, а справочники — в измерения с атрибутами и мерами; SQL-подобный запрос разбирается, связывается с каталогом метаданных и транслируется в план — цепочку (λ, μ)-свёрнутых произведений; план оптимизируется выбором порядка свёрток и исполняется через einsum поверх BLAS либо, при высокой разреженности, собственным разреженным ядром. Корректность проверяется 286 автоматическими тестами, из которых 76 сверяют реализацию с алгебраическими законами, а часть — построчно с колоночной СУБД.</w:t>
      </w:r>
    </w:p>
    <w:p>
      <w:pPr>
        <w:spacing w:after="120" w:before="0" w:line="300"/>
        <w:ind w:firstLine="567"/>
        <w:jc w:val="both"/>
      </w:pPr>
      <w:r>
        <w:rPr>
          <w:rFonts w:ascii="Times New Roman" w:cs="Times New Roman" w:eastAsia="Times New Roman" w:hAnsi="Times New Roman"/>
          <w:sz w:val="24"/>
          <w:szCs w:val="24"/>
        </w:rPr>
        <w:t xml:space="preserve">Используемые обозначения сведены в табл. 1.</w:t>
      </w:r>
    </w:p>
    <w:p>
      <w:pPr>
        <w:spacing w:after="100" w:before="200" w:line="300"/>
      </w:pPr>
      <w:r>
        <w:rPr>
          <w:rFonts w:ascii="Times New Roman" w:cs="Times New Roman" w:eastAsia="Times New Roman" w:hAnsi="Times New Roman"/>
          <w:i/>
          <w:iCs/>
          <w:sz w:val="24"/>
          <w:szCs w:val="24"/>
        </w:rPr>
        <w:t xml:space="preserve">Таблица 1 — Обозначения</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43"/>
        <w:gridCol w:w="6857"/>
      </w:tblGrid>
      <w:tr>
        <w:trPr>
          <w:tblHeader/>
        </w:trPr>
        <w:tc>
          <w:tcPr>
            <w:tcW w:type="dxa" w:w="274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Обозначение</w:t>
            </w:r>
          </w:p>
        </w:tc>
        <w:tc>
          <w:tcPr>
            <w:tcW w:type="dxa" w:w="68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Значение</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K = (K, ⊕, ⊗, 0, 1)</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коммутативное полукольцо коэффициентов; 0 и 1 — его нейтральные элементы</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I</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 … × I</w:t>
            </w:r>
            <w:r>
              <w:rPr>
                <w:rFonts w:ascii="Times New Roman" w:cs="Times New Roman" w:eastAsia="Times New Roman" w:hAnsi="Times New Roman"/>
                <w:b w:val="false"/>
                <w:bCs w:val="false"/>
                <w:sz w:val="22"/>
                <w:szCs w:val="22"/>
                <w:vertAlign w:val="subscript"/>
              </w:rPr>
              <w:t xml:space="preserve">p</w:t>
            </w:r>
            <w:r>
              <w:rPr>
                <w:rFonts w:ascii="Times New Roman" w:cs="Times New Roman" w:eastAsia="Times New Roman" w:hAnsi="Times New Roman"/>
                <w:b w:val="false"/>
                <w:bCs w:val="false"/>
                <w:sz w:val="22"/>
                <w:szCs w:val="22"/>
              </w:rPr>
              <w:t xml:space="preserve"> → K</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многомерная матрица (гиперкуб) ранга p</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L, S, C, M</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группы индексов: свободные A, скоттовы (λ), кэлиевы (μ), свободные B</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w:t>
            </w:r>
            <w:r>
              <w:rPr>
                <w:rFonts w:ascii="Times New Roman" w:cs="Times New Roman" w:eastAsia="Times New Roman" w:hAnsi="Times New Roman"/>
                <w:b w:val="false"/>
                <w:bCs w:val="false"/>
                <w:sz w:val="22"/>
                <w:szCs w:val="22"/>
                <w:vertAlign w:val="subscript"/>
              </w:rPr>
              <w:t xml:space="preserve">(λ, μ)</w:t>
            </w:r>
            <w:r>
              <w:rPr>
                <w:rFonts w:ascii="Times New Roman" w:cs="Times New Roman" w:eastAsia="Times New Roman" w:hAnsi="Times New Roman"/>
                <w:b w:val="false"/>
                <w:bCs w:val="false"/>
                <w:sz w:val="22"/>
                <w:szCs w:val="22"/>
              </w:rPr>
              <w:t xml:space="preserve"> B</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μ)-свёрнутое произведение</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φ(R)</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гиперкуб, построенный по отношению R</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π, m</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проекция кортежа на измерения и его мера</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H</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матрица перехода иерархии измерений</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χ</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индикатор условия отбора</w:t>
            </w:r>
          </w:p>
        </w:tc>
      </w:tr>
      <w:tr>
        <w:trPr>
          <w:tblHeader w:val="false"/>
        </w:trPr>
        <w:tc>
          <w:tcPr>
            <w:tcW w:type="dxa" w:w="274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θ</w:t>
            </w:r>
          </w:p>
        </w:tc>
        <w:tc>
          <w:tcPr>
            <w:tcW w:type="dxa" w:w="68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фактор заполнения гиперкуба</w:t>
            </w:r>
          </w:p>
        </w:tc>
      </w:tr>
    </w:tbl>
    <w:p>
      <w:pPr>
        <w:spacing w:after="120"/>
      </w:pPr>
    </w:p>
    <w:p>
      <w:pPr>
        <w:pStyle w:val="Heading1"/>
        <w:spacing w:after="160" w:before="320"/>
      </w:pPr>
      <w:r>
        <w:rPr>
          <w:rFonts w:ascii="Times New Roman" w:cs="Times New Roman" w:eastAsia="Times New Roman" w:hAnsi="Times New Roman"/>
          <w:b/>
          <w:bCs/>
          <w:sz w:val="26"/>
          <w:szCs w:val="26"/>
        </w:rPr>
        <w:t xml:space="preserve">1. Модель данных и отображение отношения в гиперкуб</w:t>
      </w:r>
    </w:p>
    <w:p>
      <w:pPr>
        <w:spacing w:after="120" w:before="0" w:line="300"/>
        <w:ind w:firstLine="567"/>
        <w:jc w:val="both"/>
      </w:pPr>
      <w:r>
        <w:rPr>
          <w:rFonts w:ascii="Times New Roman" w:cs="Times New Roman" w:eastAsia="Times New Roman" w:hAnsi="Times New Roman"/>
          <w:sz w:val="24"/>
          <w:szCs w:val="24"/>
        </w:rPr>
        <w:t xml:space="preserve">Измерением называем конечное упорядоченное множество значений вместе с биекцией, сопоставляющей значению его порядковый номер. Эта биекция превращает произвольные значения (идентификаторы, строки, даты) в индексы матрицы. Словарь измерения расширяется только добавлением в конец: при дозагрузке новые значения получают следующие ординалы, а существующие сохраняют свои, иначе ранее построенные матрицы перестали бы соответствовать индексации.</w:t>
      </w:r>
    </w:p>
    <w:p>
      <w:pPr>
        <w:spacing w:after="120" w:before="0" w:line="300"/>
        <w:ind w:firstLine="567"/>
        <w:jc w:val="both"/>
      </w:pPr>
      <w:r>
        <w:rPr>
          <w:rFonts w:ascii="Times New Roman" w:cs="Times New Roman" w:eastAsia="Times New Roman" w:hAnsi="Times New Roman"/>
          <w:sz w:val="24"/>
          <w:szCs w:val="24"/>
        </w:rPr>
        <w:t xml:space="preserve">Гиперкубом ранга p называем многомерную матрицу A: I</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 × I</w:t>
      </w:r>
      <w:r>
        <w:rPr>
          <w:rFonts w:ascii="Times New Roman" w:cs="Times New Roman" w:eastAsia="Times New Roman" w:hAnsi="Times New Roman"/>
          <w:sz w:val="24"/>
          <w:szCs w:val="24"/>
          <w:vertAlign w:val="subscript"/>
        </w:rPr>
        <w:t xml:space="preserve">p</w:t>
      </w:r>
      <w:r>
        <w:rPr>
          <w:rFonts w:ascii="Times New Roman" w:cs="Times New Roman" w:eastAsia="Times New Roman" w:hAnsi="Times New Roman"/>
          <w:sz w:val="24"/>
          <w:szCs w:val="24"/>
        </w:rPr>
        <w:t xml:space="preserve"> → K, где I</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 множество ординалов j-го измерения, а K — коммутативное полукольцо коэффициентов (в базовом случае — поле действительных чисел).</w:t>
      </w:r>
    </w:p>
    <w:p>
      <w:pPr>
        <w:spacing w:after="120" w:before="0" w:line="300"/>
        <w:ind w:firstLine="567"/>
        <w:jc w:val="both"/>
      </w:pPr>
      <w:r>
        <w:rPr>
          <w:rFonts w:ascii="Times New Roman" w:cs="Times New Roman" w:eastAsia="Times New Roman" w:hAnsi="Times New Roman"/>
          <w:sz w:val="24"/>
          <w:szCs w:val="24"/>
        </w:rPr>
        <w:t xml:space="preserve">Пусть R — мультимножество кортежей таблицы фактов, π — проекция кортежа на набор измерений, m — мера. Отображение отношения в гиперкуб определим как</w:t>
      </w:r>
    </w:p>
    <w:p>
      <w:pPr>
        <w:spacing w:after="120" w:before="120" w:line="300"/>
        <w:jc w:val="center"/>
      </w:pPr>
      <w:r>
        <w:rPr>
          <w:rFonts w:ascii="Times New Roman" w:cs="Times New Roman" w:eastAsia="Times New Roman" w:hAnsi="Times New Roman"/>
          <w:i/>
          <w:iCs/>
          <w:sz w:val="24"/>
          <w:szCs w:val="24"/>
        </w:rPr>
        <w:t xml:space="preserve">φ(R)[x] = ⊕</w:t>
      </w:r>
      <w:r>
        <w:rPr>
          <w:rFonts w:ascii="Times New Roman" w:cs="Times New Roman" w:eastAsia="Times New Roman" w:hAnsi="Times New Roman"/>
          <w:i/>
          <w:iCs/>
          <w:sz w:val="24"/>
          <w:szCs w:val="24"/>
          <w:vertAlign w:val="subscript"/>
        </w:rPr>
        <w:t xml:space="preserve">r ∈ F(x)</w:t>
      </w:r>
      <w:r>
        <w:rPr>
          <w:rFonts w:ascii="Times New Roman" w:cs="Times New Roman" w:eastAsia="Times New Roman" w:hAnsi="Times New Roman"/>
          <w:i/>
          <w:iCs/>
          <w:sz w:val="24"/>
          <w:szCs w:val="24"/>
        </w:rPr>
        <w:t xml:space="preserve"> m(r),   где F(x) = π</w:t>
      </w:r>
      <w:r>
        <w:rPr>
          <w:rFonts w:ascii="Times New Roman" w:cs="Times New Roman" w:eastAsia="Times New Roman" w:hAnsi="Times New Roman"/>
          <w:i/>
          <w:iCs/>
          <w:sz w:val="24"/>
          <w:szCs w:val="24"/>
          <w:vertAlign w:val="superscript"/>
        </w:rPr>
        <w:t xml:space="preserve">−1</w:t>
      </w:r>
      <w:r>
        <w:rPr>
          <w:rFonts w:ascii="Times New Roman" w:cs="Times New Roman" w:eastAsia="Times New Roman" w:hAnsi="Times New Roman"/>
          <w:i/>
          <w:iCs/>
          <w:sz w:val="24"/>
          <w:szCs w:val="24"/>
        </w:rPr>
        <w:t xml:space="preserve">(x),</w:t>
      </w:r>
    </w:p>
    <w:p>
      <w:pPr>
        <w:spacing w:after="120" w:before="0" w:line="300"/>
        <w:ind w:firstLine="567"/>
        <w:jc w:val="both"/>
      </w:pPr>
      <w:r>
        <w:rPr>
          <w:rFonts w:ascii="Times New Roman" w:cs="Times New Roman" w:eastAsia="Times New Roman" w:hAnsi="Times New Roman"/>
          <w:sz w:val="24"/>
          <w:szCs w:val="24"/>
        </w:rPr>
        <w:t xml:space="preserve">то есть ячейка есть ⊕-сумма меры по слою F(x) — прообразу точки x; в терминах теории меры это прямой образ меры m вдоль проекции π. Вычисление векторизуется: координаты кортежей сворачиваются в линейный индекс, после чего суммирование по слоям выполняется одной операцией подсчёта со взвешиванием, со сложностью O(|R|·p) без явного построения слоёв.</w:t>
      </w:r>
    </w:p>
    <w:p>
      <w:pPr>
        <w:spacing w:after="120" w:before="0" w:line="300"/>
        <w:ind w:firstLine="567"/>
        <w:jc w:val="both"/>
      </w:pPr>
      <w:r>
        <w:rPr>
          <w:rFonts w:ascii="Times New Roman" w:cs="Times New Roman" w:eastAsia="Times New Roman" w:hAnsi="Times New Roman"/>
          <w:sz w:val="24"/>
          <w:szCs w:val="24"/>
        </w:rPr>
        <w:t xml:space="preserve">Утверждение 1 (гомоморфность).</w:t>
      </w:r>
      <w:r>
        <w:rPr>
          <w:rFonts w:ascii="Times New Roman" w:cs="Times New Roman" w:eastAsia="Times New Roman" w:hAnsi="Times New Roman"/>
          <w:sz w:val="24"/>
          <w:szCs w:val="24"/>
        </w:rPr>
        <w:t xml:space="preserve"> φ(R</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R</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φ(R</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φ(R</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где ∪ понимается как объединение мультимножеств, то есть с сохранением кратностей. Действительно, слой объединения есть дизъюнктное объединение слоёв, а ⊕-сумма по дизъюнктному объединению равна сумме частичных сумм.</w:t>
      </w:r>
    </w:p>
    <w:p>
      <w:pPr>
        <w:spacing w:after="120" w:before="0" w:line="300"/>
        <w:ind w:firstLine="567"/>
        <w:jc w:val="both"/>
      </w:pPr>
      <w:r>
        <w:rPr>
          <w:rFonts w:ascii="Times New Roman" w:cs="Times New Roman" w:eastAsia="Times New Roman" w:hAnsi="Times New Roman"/>
          <w:sz w:val="24"/>
          <w:szCs w:val="24"/>
        </w:rPr>
        <w:t xml:space="preserve">Предложение 1 (условие обратимости).</w:t>
      </w:r>
      <w:r>
        <w:rPr>
          <w:rFonts w:ascii="Times New Roman" w:cs="Times New Roman" w:eastAsia="Times New Roman" w:hAnsi="Times New Roman"/>
          <w:sz w:val="24"/>
          <w:szCs w:val="24"/>
        </w:rPr>
        <w:t xml:space="preserve"> Ограничение φ на отношения с ненулевыми мерами инъективно тогда и только тогда, когда π инъективно на R, то есть набор измерений является ключом отношения фактов.</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Если π инъективно, каждый слой содержит не более одного кортежа, значит φ(R)[x] = m(r) для единственного r с π(r) = x, и отношение восстанавливается по гиперкубу: ненулевые ячейки взаимно однозначно соответствуют кортежам. Обратно, пусть π(r</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π(r</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для различных r</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r</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Возьмём два отношения, различающиеся лишь распределением меры между этими кортежами при одинаковой сумме: они различны, но их образы совпадают. □</w:t>
      </w:r>
    </w:p>
    <w:p>
      <w:pPr>
        <w:spacing w:after="120" w:before="0" w:line="300"/>
        <w:ind w:firstLine="567"/>
        <w:jc w:val="both"/>
      </w:pPr>
      <w:r>
        <w:rPr>
          <w:rFonts w:ascii="Times New Roman" w:cs="Times New Roman" w:eastAsia="Times New Roman" w:hAnsi="Times New Roman"/>
          <w:sz w:val="24"/>
          <w:szCs w:val="24"/>
        </w:rPr>
        <w:t xml:space="preserve">Оговорка о ненулевых мерах в формулировке существенна и не является техническим удобством. Ячейка со значением 0 неотличима от ячейки, которой не соответствует ни одного кортежа, поэтому кортеж с нулевой мерой отображением теряется; на знакопеременных мерах теряется больше — два кортежа одного слоя с мерами +a и −a дают ту же ячейку, что и пустой слой, так что инъективность рушится даже при инъективном π. Практически это устраняется тем же спутниковым счётным гиперкубом (см. ниже): пара (сумма, мощность слоя) отличает пустой слой от слоя с нулевой суммой. Без него условие предложения 1 следует читать как требование строгой положительности меры.</w:t>
      </w:r>
    </w:p>
    <w:p>
      <w:pPr>
        <w:spacing w:after="120" w:before="0" w:line="300"/>
        <w:ind w:firstLine="567"/>
        <w:jc w:val="both"/>
      </w:pPr>
      <w:r>
        <w:rPr>
          <w:rFonts w:ascii="Times New Roman" w:cs="Times New Roman" w:eastAsia="Times New Roman" w:hAnsi="Times New Roman"/>
          <w:sz w:val="24"/>
          <w:szCs w:val="24"/>
        </w:rPr>
        <w:t xml:space="preserve">Из предложения 1 следуют три обстоятельства.</w:t>
      </w:r>
    </w:p>
    <w:p>
      <w:pPr>
        <w:spacing w:after="120" w:before="0" w:line="300"/>
        <w:ind w:firstLine="567"/>
        <w:jc w:val="both"/>
      </w:pPr>
      <w:r>
        <w:rPr>
          <w:rFonts w:ascii="Times New Roman" w:cs="Times New Roman" w:eastAsia="Times New Roman" w:hAnsi="Times New Roman"/>
          <w:sz w:val="24"/>
          <w:szCs w:val="24"/>
        </w:rPr>
        <w:t xml:space="preserve">Во-первых, соответствие реляционной и многомерно-матричной моделей на уровне экземпляров в общем случае является гомоморфизмом, но не изоморфизмом: изоморфизм имеет место в точности тогда, когда гранулярность гиперкуба совпадает с гранулярностью отношения, то есть когда набор измерений образует ключ отношения фактов. Предложение 1 и указывает, чем выделены те случаи, в которых модели действительно изоморфны.</w:t>
      </w:r>
    </w:p>
    <w:p>
      <w:pPr>
        <w:spacing w:after="120" w:before="0" w:line="300"/>
        <w:ind w:firstLine="567"/>
        <w:jc w:val="both"/>
      </w:pPr>
      <w:r>
        <w:rPr>
          <w:rFonts w:ascii="Times New Roman" w:cs="Times New Roman" w:eastAsia="Times New Roman" w:hAnsi="Times New Roman"/>
          <w:sz w:val="24"/>
          <w:szCs w:val="24"/>
        </w:rPr>
        <w:t xml:space="preserve">Во-вторых, поскольку слой схлопывается ⊕-суммой, максимум по ячейкам гиперкуба не равен максимуму по кортежам, когда слой содержит более одного кортежа. Меры 3 и 5, попавшие в одну ячейку, и мера 4 в другой дают куб {8, 4}: максимум по кубу равен 8, по кортежам — 5. Это свойство отображения, а не дефект реализации, и оно должно быть зафиксировано в документации системы.</w:t>
      </w:r>
    </w:p>
    <w:p>
      <w:pPr>
        <w:spacing w:after="120" w:before="0" w:line="300"/>
        <w:ind w:firstLine="567"/>
        <w:jc w:val="both"/>
      </w:pPr>
      <w:r>
        <w:rPr>
          <w:rFonts w:ascii="Times New Roman" w:cs="Times New Roman" w:eastAsia="Times New Roman" w:hAnsi="Times New Roman"/>
          <w:sz w:val="24"/>
          <w:szCs w:val="24"/>
        </w:rPr>
        <w:t xml:space="preserve">В-третьих, пара из гиперкуба сумм и гиперкуба, построенного по мере, тождественно равной единице, различает больше, чем один лишь гиперкуб сумм: она сохраняет мощность каждого слоя. Поэтому при загрузке факта создаётся спутниковый счётный гиперкуб, благодаря которому агрегаты COUNT и AVG вычисляются точно, а не по непустым ячейкам.</w:t>
      </w:r>
    </w:p>
    <w:p>
      <w:pPr>
        <w:spacing w:after="120" w:before="0" w:line="300"/>
        <w:ind w:firstLine="567"/>
        <w:jc w:val="both"/>
      </w:pPr>
      <w:r>
        <w:rPr>
          <w:rFonts w:ascii="Times New Roman" w:cs="Times New Roman" w:eastAsia="Times New Roman" w:hAnsi="Times New Roman"/>
          <w:sz w:val="24"/>
          <w:szCs w:val="24"/>
        </w:rPr>
        <w:t xml:space="preserve">Иерархии измерений (дата → месяц → квартал, товар → категория) задаются отображением h из значений дочернего измерения в значения родительского и представляются матрицей перехода H, у которой H[i, j] = 1, если h(v</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v</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и 0 иначе. Для цепочки иерархий матрица перехода есть матричное произведение соответствующих матриц, поскольку в сумме по промежуточному индексу ровно одно слагаемое отлично от нуля.</w:t>
      </w:r>
    </w:p>
    <w:p>
      <w:pPr>
        <w:spacing w:after="120" w:before="0" w:line="300"/>
        <w:ind w:firstLine="567"/>
        <w:jc w:val="both"/>
      </w:pPr>
      <w:r>
        <w:rPr>
          <w:rFonts w:ascii="Times New Roman" w:cs="Times New Roman" w:eastAsia="Times New Roman" w:hAnsi="Times New Roman"/>
          <w:sz w:val="24"/>
          <w:szCs w:val="24"/>
        </w:rPr>
        <w:t xml:space="preserve">Отсутствующие значения.</w:t>
      </w:r>
      <w:r>
        <w:rPr>
          <w:rFonts w:ascii="Times New Roman" w:cs="Times New Roman" w:eastAsia="Times New Roman" w:hAnsi="Times New Roman"/>
          <w:sz w:val="24"/>
          <w:szCs w:val="24"/>
        </w:rPr>
        <w:t xml:space="preserve"> В реляционной модели NULL есть не значение, а признак его отсутствия, и сравнения с ним дают третье логическое значение — неизвестность. Многомерно-матричная модель третьего значения не имеет: ось есть конечное множество значений, а коэффициент принадлежит полукольцу. Отсутствие тем не менее укладывается в модель, причём по-разному для меры и для измерения.</w:t>
      </w:r>
    </w:p>
    <w:p>
      <w:pPr>
        <w:spacing w:after="120" w:before="0" w:line="300"/>
        <w:ind w:firstLine="567"/>
        <w:jc w:val="both"/>
      </w:pPr>
      <w:r>
        <w:rPr>
          <w:rFonts w:ascii="Times New Roman" w:cs="Times New Roman" w:eastAsia="Times New Roman" w:hAnsi="Times New Roman"/>
          <w:sz w:val="24"/>
          <w:szCs w:val="24"/>
        </w:rPr>
        <w:t xml:space="preserve">Отсутствующая мера отображается в нейтральный по ⊕ элемент. Слой F(x), содержащий кортеж с неизвестной мерой, даёт ту же ⊕-сумму, что и слой без него, — а это в точности правило SQL, по которому SUM игнорирует NULL. Спутниковый счётный гиперкуб при этом строится по мере, тождественно равной единице </w:t>
      </w:r>
      <w:r>
        <w:rPr>
          <w:rFonts w:ascii="Times New Roman" w:cs="Times New Roman" w:eastAsia="Times New Roman" w:hAnsi="Times New Roman"/>
          <w:sz w:val="24"/>
          <w:szCs w:val="24"/>
        </w:rPr>
        <w:t xml:space="preserve">на кортежах с известной мерой</w:t>
      </w:r>
      <w:r>
        <w:rPr>
          <w:rFonts w:ascii="Times New Roman" w:cs="Times New Roman" w:eastAsia="Times New Roman" w:hAnsi="Times New Roman"/>
          <w:sz w:val="24"/>
          <w:szCs w:val="24"/>
        </w:rPr>
        <w:t xml:space="preserve">, отчего COUNT и AVG также совпадают с SQL. Расхождение остаётся одно: группа, все меры которой неизвестны, имеет нулевую мощность слоя и в выдачу не попадает, тогда как SQL вернул бы её со значением NULL.</w:t>
      </w:r>
    </w:p>
    <w:p>
      <w:pPr>
        <w:spacing w:after="120" w:before="0" w:line="300"/>
        <w:ind w:firstLine="567"/>
        <w:jc w:val="both"/>
      </w:pPr>
      <w:r>
        <w:rPr>
          <w:rFonts w:ascii="Times New Roman" w:cs="Times New Roman" w:eastAsia="Times New Roman" w:hAnsi="Times New Roman"/>
          <w:sz w:val="24"/>
          <w:szCs w:val="24"/>
        </w:rPr>
        <w:t xml:space="preserve">Отсутствующее значение измерения вводится в словарь этого измерения отдельным ординалом. Тогда группировка совпадает с SQL — все такие кортежи образуют одну группу, — а индикатор χ любого сравнения равен на этом ординале нулю, что совпадает с поведением неизвестности в условии отбора: строка не проходит. Существенно, что и отрицание условия её не пропускает: дополнение индикатора берётся с обнулением ординала отсутствия, поскольку отрицание неизвестности остаётся неизвестностью. Тем самым двузначная арифметика индикаторов воспроизводит трёхзначную логику WHERE, не вводя третьего значения в полукольцо. Условие IS NULL при таком представлении есть индикатор, выделяющий один ординал, — операнд того же рода, что и всякий другой фильтр.</w:t>
      </w:r>
    </w:p>
    <w:p>
      <w:pPr>
        <w:spacing w:after="120" w:before="0" w:line="300"/>
        <w:ind w:firstLine="567"/>
        <w:jc w:val="both"/>
      </w:pPr>
      <w:r>
        <w:rPr>
          <w:rFonts w:ascii="Times New Roman" w:cs="Times New Roman" w:eastAsia="Times New Roman" w:hAnsi="Times New Roman"/>
          <w:sz w:val="24"/>
          <w:szCs w:val="24"/>
        </w:rPr>
        <w:t xml:space="preserve">Оговорка о порядке: словарь измерения append-only, поэтому ординал отсутствия занимает очередную свободную позицию и появляется тогда, когда в данных встречается первое отсутствующее значение, — в том числе при дозагрузке.</w:t>
      </w:r>
    </w:p>
    <w:p>
      <w:pPr>
        <w:pStyle w:val="Heading1"/>
        <w:spacing w:after="160" w:before="320"/>
      </w:pPr>
      <w:r>
        <w:rPr>
          <w:rFonts w:ascii="Times New Roman" w:cs="Times New Roman" w:eastAsia="Times New Roman" w:hAnsi="Times New Roman"/>
          <w:b/>
          <w:bCs/>
          <w:sz w:val="26"/>
          <w:szCs w:val="26"/>
        </w:rPr>
        <w:t xml:space="preserve">2. Трансляция запроса в цепочку свёрнутых произведений</w:t>
      </w:r>
    </w:p>
    <w:p>
      <w:pPr>
        <w:spacing w:after="120" w:before="0" w:line="300"/>
        <w:ind w:firstLine="567"/>
        <w:jc w:val="both"/>
      </w:pPr>
      <w:r>
        <w:rPr>
          <w:rFonts w:ascii="Times New Roman" w:cs="Times New Roman" w:eastAsia="Times New Roman" w:hAnsi="Times New Roman"/>
          <w:sz w:val="24"/>
          <w:szCs w:val="24"/>
        </w:rPr>
        <w:t xml:space="preserve">Напомним определение [1, 2]; изложение теории многомерных матриц см. также в [8]. Для матриц A: I</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и B: I</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M</w:t>
      </w:r>
    </w:p>
    <w:p>
      <w:pPr>
        <w:spacing w:after="120" w:before="120" w:line="300"/>
        <w:jc w:val="center"/>
      </w:pPr>
      <w:r>
        <w:rPr>
          <w:rFonts w:ascii="Times New Roman" w:cs="Times New Roman" w:eastAsia="Times New Roman" w:hAnsi="Times New Roman"/>
          <w:i/>
          <w:iCs/>
          <w:sz w:val="24"/>
          <w:szCs w:val="24"/>
        </w:rPr>
        <w:t xml:space="preserve">(A ∗</w:t>
      </w:r>
      <w:r>
        <w:rPr>
          <w:rFonts w:ascii="Times New Roman" w:cs="Times New Roman" w:eastAsia="Times New Roman" w:hAnsi="Times New Roman"/>
          <w:i/>
          <w:iCs/>
          <w:sz w:val="24"/>
          <w:szCs w:val="24"/>
          <w:vertAlign w:val="subscript"/>
        </w:rPr>
        <w:t xml:space="preserve">(λ, μ)</w:t>
      </w:r>
      <w:r>
        <w:rPr>
          <w:rFonts w:ascii="Times New Roman" w:cs="Times New Roman" w:eastAsia="Times New Roman" w:hAnsi="Times New Roman"/>
          <w:i/>
          <w:iCs/>
          <w:sz w:val="24"/>
          <w:szCs w:val="24"/>
        </w:rPr>
        <w:t xml:space="preserve"> B)[L, S, M] = ⊕</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 A[L, S, C] ⊗ B[S, C, M],</w:t>
      </w:r>
    </w:p>
    <w:p>
      <w:pPr>
        <w:spacing w:after="120" w:before="0" w:line="300"/>
        <w:ind w:firstLine="567"/>
        <w:jc w:val="both"/>
      </w:pPr>
      <w:r>
        <w:rPr>
          <w:rFonts w:ascii="Times New Roman" w:cs="Times New Roman" w:eastAsia="Times New Roman" w:hAnsi="Times New Roman"/>
          <w:sz w:val="24"/>
          <w:szCs w:val="24"/>
        </w:rPr>
        <w:t xml:space="preserve">где суммирование ведётся по всем наборам значений группы C, то есть по I</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группа S мощности λ — общие индексы, сохраняемые в результате, группа C мощности μ — общие индексы, по которым идёт суммирование, а группы L и M — свободные индексы сомножителей. Общие индексы носят имена, данные им самим Соколовым [1, с. 55]: индексы разбиения S называются </w:t>
      </w:r>
      <w:r>
        <w:rPr>
          <w:rFonts w:ascii="Times New Roman" w:cs="Times New Roman" w:eastAsia="Times New Roman" w:hAnsi="Times New Roman"/>
          <w:sz w:val="24"/>
          <w:szCs w:val="24"/>
        </w:rPr>
        <w:t xml:space="preserve">скоттовыми</w:t>
      </w:r>
      <w:r>
        <w:rPr>
          <w:rFonts w:ascii="Times New Roman" w:cs="Times New Roman" w:eastAsia="Times New Roman" w:hAnsi="Times New Roman"/>
          <w:sz w:val="24"/>
          <w:szCs w:val="24"/>
        </w:rPr>
        <w:t xml:space="preserve">, индексы разбиения C — </w:t>
      </w:r>
      <w:r>
        <w:rPr>
          <w:rFonts w:ascii="Times New Roman" w:cs="Times New Roman" w:eastAsia="Times New Roman" w:hAnsi="Times New Roman"/>
          <w:sz w:val="24"/>
          <w:szCs w:val="24"/>
        </w:rPr>
        <w:t xml:space="preserve">кэлиевыми</w:t>
      </w:r>
      <w:r>
        <w:rPr>
          <w:rFonts w:ascii="Times New Roman" w:cs="Times New Roman" w:eastAsia="Times New Roman" w:hAnsi="Times New Roman"/>
          <w:sz w:val="24"/>
          <w:szCs w:val="24"/>
        </w:rPr>
        <w:t xml:space="preserve">, а L и M — свободными. Именно наличие скоттовых индексов отличает эту операцию от умножения обычных матриц и от тензорной свёртки: при λ = 0 она в них вырождается.</w:t>
      </w:r>
    </w:p>
    <w:p>
      <w:pPr>
        <w:spacing w:after="120" w:before="0" w:line="300"/>
        <w:ind w:firstLine="567"/>
        <w:jc w:val="both"/>
      </w:pPr>
      <w:r>
        <w:rPr>
          <w:rFonts w:ascii="Times New Roman" w:cs="Times New Roman" w:eastAsia="Times New Roman" w:hAnsi="Times New Roman"/>
          <w:sz w:val="24"/>
          <w:szCs w:val="24"/>
        </w:rPr>
        <w:t xml:space="preserve">Ранг результата равен [1, с. 55]</w:t>
      </w:r>
    </w:p>
    <w:p>
      <w:pPr>
        <w:spacing w:after="120" w:before="120" w:line="300"/>
        <w:jc w:val="center"/>
      </w:pPr>
      <w:r>
        <w:rPr>
          <w:rFonts w:ascii="Times New Roman" w:cs="Times New Roman" w:eastAsia="Times New Roman" w:hAnsi="Times New Roman"/>
          <w:i/>
          <w:iCs/>
          <w:sz w:val="24"/>
          <w:szCs w:val="24"/>
        </w:rPr>
        <w:t xml:space="preserve">r = p + q − λ − 2μ,</w:t>
      </w:r>
    </w:p>
    <w:p>
      <w:pPr>
        <w:spacing w:after="120" w:before="0" w:line="300"/>
        <w:ind w:firstLine="567"/>
        <w:jc w:val="both"/>
      </w:pPr>
      <w:r>
        <w:rPr>
          <w:rFonts w:ascii="Times New Roman" w:cs="Times New Roman" w:eastAsia="Times New Roman" w:hAnsi="Times New Roman"/>
          <w:sz w:val="24"/>
          <w:szCs w:val="24"/>
        </w:rPr>
        <w:t xml:space="preserve">то есть при различных сочетаниях λ и μ пробегает все значения от 0 (скаляр) до p + q (по существу декартово произведение). Порядок параметров в обозначении существен и здесь принят тот же, что в [7]: </w:t>
      </w:r>
      <w:r>
        <w:rPr>
          <w:rFonts w:ascii="Times New Roman" w:cs="Times New Roman" w:eastAsia="Times New Roman" w:hAnsi="Times New Roman"/>
          <w:sz w:val="24"/>
          <w:szCs w:val="24"/>
        </w:rPr>
        <w:t xml:space="preserve">первый — число скоттовых индексов, второй — число кэлиевых</w:t>
      </w:r>
      <w:r>
        <w:rPr>
          <w:rFonts w:ascii="Times New Roman" w:cs="Times New Roman" w:eastAsia="Times New Roman" w:hAnsi="Times New Roman"/>
          <w:sz w:val="24"/>
          <w:szCs w:val="24"/>
        </w:rPr>
        <w:t xml:space="preserve">.</w:t>
      </w:r>
    </w:p>
    <w:p>
      <w:pPr>
        <w:spacing w:after="120" w:before="0" w:line="300"/>
        <w:ind w:firstLine="567"/>
        <w:jc w:val="both"/>
      </w:pPr>
      <w:r>
        <w:rPr>
          <w:rFonts w:ascii="Times New Roman" w:cs="Times New Roman" w:eastAsia="Times New Roman" w:hAnsi="Times New Roman"/>
          <w:sz w:val="24"/>
          <w:szCs w:val="24"/>
        </w:rPr>
        <w:t xml:space="preserve">Отсюда важное для дальнейшего обстоятельство: при μ = 0 суммирования нет вовсе, операция чисто мультипликативна, и ранг результата растёт. Случай не вырожденный: в настоящей работе (1, 0)-произведения возникают в двух местах — условие отбора есть умножение на индикатор без свёртки, а соединение двух таблиц фактов по общему измерению, остающемуся в группировке, повышает ранг результата над рангом каждого из сомножителей.</w:t>
      </w:r>
    </w:p>
    <w:p>
      <w:pPr>
        <w:spacing w:after="120" w:before="0" w:line="300"/>
        <w:ind w:firstLine="567"/>
        <w:jc w:val="both"/>
      </w:pPr>
      <w:r>
        <w:rPr>
          <w:rFonts w:ascii="Times New Roman" w:cs="Times New Roman" w:eastAsia="Times New Roman" w:hAnsi="Times New Roman"/>
          <w:sz w:val="24"/>
          <w:szCs w:val="24"/>
        </w:rPr>
        <w:t xml:space="preserve">Транслятор построен на том, что эти роли находятся во взаимно однозначном соответствии с конструкциями языка запросов (табл. 2).</w:t>
      </w:r>
    </w:p>
    <w:p>
      <w:pPr>
        <w:spacing w:after="100" w:before="200" w:line="300"/>
      </w:pPr>
      <w:r>
        <w:rPr>
          <w:rFonts w:ascii="Times New Roman" w:cs="Times New Roman" w:eastAsia="Times New Roman" w:hAnsi="Times New Roman"/>
          <w:i/>
          <w:iCs/>
          <w:sz w:val="24"/>
          <w:szCs w:val="24"/>
        </w:rPr>
        <w:t xml:space="preserve">Таблица 2 — Соответствие ролей индексов конструкциям SQL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62"/>
        <w:gridCol w:w="3733"/>
        <w:gridCol w:w="3505"/>
      </w:tblGrid>
      <w:tr>
        <w:trPr>
          <w:tblHeader/>
        </w:trPr>
        <w:tc>
          <w:tcPr>
            <w:tcW w:type="dxa" w:w="236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Роль индекса</w:t>
            </w:r>
          </w:p>
        </w:tc>
        <w:tc>
          <w:tcPr>
            <w:tcW w:type="dxa" w:w="37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Условие</w:t>
            </w:r>
          </w:p>
        </w:tc>
        <w:tc>
          <w:tcPr>
            <w:tcW w:type="dxa" w:w="350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Конструкция запроса</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скоттов (общий, сохраняется)</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общая для операндов и присутствует в GROUP BY</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по ключу, остающемуся в группировке</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μ, кэлиев (общий, свёртывается)</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общая, в GROUP BY отсутствует</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по ключу с последующей агрегацией</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свободный</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принадлежит одному операнду</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измерение, уникальное для данного факта</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Соединение и агрегация суть одна операция, различающаяся лишь тем, попал общий индекс в результат или нет. Остальные конструкции языка получаются как следствия.</w:t>
      </w:r>
    </w:p>
    <w:p>
      <w:pPr>
        <w:spacing w:after="120" w:before="0" w:line="300"/>
        <w:ind w:firstLine="567"/>
        <w:jc w:val="both"/>
      </w:pPr>
      <w:r>
        <w:rPr>
          <w:rFonts w:ascii="Times New Roman" w:cs="Times New Roman" w:eastAsia="Times New Roman" w:hAnsi="Times New Roman"/>
          <w:sz w:val="24"/>
          <w:szCs w:val="24"/>
        </w:rPr>
        <w:t xml:space="preserve">Отбор.</w:t>
      </w:r>
      <w:r>
        <w:rPr>
          <w:rFonts w:ascii="Times New Roman" w:cs="Times New Roman" w:eastAsia="Times New Roman" w:hAnsi="Times New Roman"/>
          <w:sz w:val="24"/>
          <w:szCs w:val="24"/>
        </w:rPr>
        <w:t xml:space="preserve"> Пусть условие φ зависит от нескольких измерений и χ — его индикатор, то есть матрица со значениями 0 и 1 на соответствующих осях. Сумма по ячейкам, удовлетворяющим φ, равна сумме по всем ячейкам произведения A ⊗ χ, поскольку не удовлетворяющие ячейки умножаются на нуль. Следовательно условие отбора — не проход по данным, а дополнительный операнд той же свёртки. Конъюнкция условий по разным измерениям остаётся факторизованной, тогда как дизъюнкция требует материализации совместного индикатора по формуле χ = 1 − (1 − χ</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)(1 − χ</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это причина, по которой OR между разными измерениями дороже, чем AND. Приведённая формула записана для булевых индикаторов над (+, ·) и опирается на равенство χ</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χ; над произвольным полукольцом дизъюнкция выражается через ⊕ булева полукольца (∨, ∧), а не через вычитание, которого в полукольце может не быть.</w:t>
      </w:r>
    </w:p>
    <w:p>
      <w:pPr>
        <w:spacing w:after="120" w:before="0" w:line="300"/>
        <w:ind w:firstLine="567"/>
        <w:jc w:val="both"/>
      </w:pPr>
      <w:r>
        <w:rPr>
          <w:rFonts w:ascii="Times New Roman" w:cs="Times New Roman" w:eastAsia="Times New Roman" w:hAnsi="Times New Roman"/>
          <w:sz w:val="24"/>
          <w:szCs w:val="24"/>
        </w:rPr>
        <w:t xml:space="preserve">Свёртка по иерархии.</w:t>
      </w:r>
      <w:r>
        <w:rPr>
          <w:rFonts w:ascii="Times New Roman" w:cs="Times New Roman" w:eastAsia="Times New Roman" w:hAnsi="Times New Roman"/>
          <w:sz w:val="24"/>
          <w:szCs w:val="24"/>
        </w:rPr>
        <w:t xml:space="preserve"> Группировка по родительскому измерению есть (0,1)-свёртка с матрицей перехода: сумма произведений A[…,c]·H[c,p] по c равна сумме A[…,c] по прообразу p. Отдельного кода агрегации по иерархии не требуется.</w:t>
      </w:r>
    </w:p>
    <w:p>
      <w:pPr>
        <w:spacing w:after="120" w:before="0" w:line="300"/>
        <w:ind w:firstLine="567"/>
        <w:jc w:val="both"/>
      </w:pPr>
      <w:r>
        <w:rPr>
          <w:rFonts w:ascii="Times New Roman" w:cs="Times New Roman" w:eastAsia="Times New Roman" w:hAnsi="Times New Roman"/>
          <w:sz w:val="24"/>
          <w:szCs w:val="24"/>
        </w:rPr>
        <w:t xml:space="preserve">Оконные функции.</w:t>
      </w:r>
      <w:r>
        <w:rPr>
          <w:rFonts w:ascii="Times New Roman" w:cs="Times New Roman" w:eastAsia="Times New Roman" w:hAnsi="Times New Roman"/>
          <w:sz w:val="24"/>
          <w:szCs w:val="24"/>
        </w:rPr>
        <w:t xml:space="preserve"> Накопительная сумма вдоль оси есть умножение на верхнетреугольную матрицу; скользящее окно ширины w — на ленточную; взвешенное окно — на произвольную матрицу весов.</w:t>
      </w:r>
    </w:p>
    <w:p>
      <w:pPr>
        <w:spacing w:after="120" w:before="0" w:line="300"/>
        <w:ind w:firstLine="567"/>
        <w:jc w:val="both"/>
      </w:pPr>
      <w:r>
        <w:rPr>
          <w:rFonts w:ascii="Times New Roman" w:cs="Times New Roman" w:eastAsia="Times New Roman" w:hAnsi="Times New Roman"/>
          <w:sz w:val="24"/>
          <w:szCs w:val="24"/>
        </w:rPr>
        <w:t xml:space="preserve">Разграничение доступа.</w:t>
      </w:r>
      <w:r>
        <w:rPr>
          <w:rFonts w:ascii="Times New Roman" w:cs="Times New Roman" w:eastAsia="Times New Roman" w:hAnsi="Times New Roman"/>
          <w:sz w:val="24"/>
          <w:szCs w:val="24"/>
        </w:rPr>
        <w:t xml:space="preserve"> Право роли на измерение задаётся вектором из нулей и единиц и добавляется в тот же терм ещё одним операндом; запрещённые данные не участвуют в арифметике ни на одном промежуточном шаге.</w:t>
      </w:r>
    </w:p>
    <w:p>
      <w:pPr>
        <w:spacing w:after="120" w:before="0" w:line="300"/>
        <w:ind w:firstLine="567"/>
        <w:jc w:val="both"/>
      </w:pPr>
      <w:r>
        <w:rPr>
          <w:rFonts w:ascii="Times New Roman" w:cs="Times New Roman" w:eastAsia="Times New Roman" w:hAnsi="Times New Roman"/>
          <w:sz w:val="24"/>
          <w:szCs w:val="24"/>
        </w:rPr>
        <w:t xml:space="preserve">Разбор случаев.</w:t>
      </w:r>
      <w:r>
        <w:rPr>
          <w:rFonts w:ascii="Times New Roman" w:cs="Times New Roman" w:eastAsia="Times New Roman" w:hAnsi="Times New Roman"/>
          <w:sz w:val="24"/>
          <w:szCs w:val="24"/>
        </w:rPr>
        <w:t xml:space="preserve"> Пусть выражение под агрегатом имеет вид CASE WHEN φ</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THEN e</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WHEN φ</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THEN e</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ELSE e</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END. Ветви взаимно исключающи в порядке записи, поэтому индикатор i-й ветви равен χ</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vertAlign w:val="subscript"/>
        </w:rPr>
        <w:t xml:space="preserve">j &lt; i</w:t>
      </w:r>
      <w:r>
        <w:rPr>
          <w:rFonts w:ascii="Times New Roman" w:cs="Times New Roman" w:eastAsia="Times New Roman" w:hAnsi="Times New Roman"/>
          <w:sz w:val="24"/>
          <w:szCs w:val="24"/>
        </w:rPr>
        <w:t xml:space="preserve">(1 − χ</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а индикатор ветви ELSE равен ∏</w:t>
      </w:r>
      <w:r>
        <w:rPr>
          <w:rFonts w:ascii="Times New Roman" w:cs="Times New Roman" w:eastAsia="Times New Roman" w:hAnsi="Times New Roman"/>
          <w:sz w:val="24"/>
          <w:szCs w:val="24"/>
          <w:vertAlign w:val="subscript"/>
        </w:rPr>
        <w:t xml:space="preserve">j ≤ k</w:t>
      </w:r>
      <w:r>
        <w:rPr>
          <w:rFonts w:ascii="Times New Roman" w:cs="Times New Roman" w:eastAsia="Times New Roman" w:hAnsi="Times New Roman"/>
          <w:sz w:val="24"/>
          <w:szCs w:val="24"/>
        </w:rPr>
        <w:t xml:space="preserve">(1 − χ</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Каждое выражение e</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раскрывается в сумму термов по теореме 1, и все термы i-й ветви получают её индикатор дополнительным операндом. Новых операций разбор случаев не требует: это условие отбора, применённое к отдельному слагаемому, а не ко всему запросу.</w:t>
      </w:r>
    </w:p>
    <w:p>
      <w:pPr>
        <w:spacing w:after="120" w:before="0" w:line="300"/>
        <w:ind w:firstLine="567"/>
        <w:jc w:val="both"/>
      </w:pPr>
      <w:r>
        <w:rPr>
          <w:rFonts w:ascii="Times New Roman" w:cs="Times New Roman" w:eastAsia="Times New Roman" w:hAnsi="Times New Roman"/>
          <w:sz w:val="24"/>
          <w:szCs w:val="24"/>
        </w:rPr>
        <w:t xml:space="preserve">Соединение по неравенству.</w:t>
      </w:r>
      <w:r>
        <w:rPr>
          <w:rFonts w:ascii="Times New Roman" w:cs="Times New Roman" w:eastAsia="Times New Roman" w:hAnsi="Times New Roman"/>
          <w:sz w:val="24"/>
          <w:szCs w:val="24"/>
        </w:rPr>
        <w:t xml:space="preserve"> Соединение по совпадению имён измерений не стоит ничего: общая ось сама связывает операнды и получает роль λ или μ по правилу табл. 2. Когда же соединяются два разных измерения — ось d</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матрицы A и ось d</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 матрицы B, связанные условием d</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θ d</w:t>
      </w:r>
      <w:r>
        <w:rPr>
          <w:rFonts w:ascii="Times New Roman" w:cs="Times New Roman" w:eastAsia="Times New Roman" w:hAnsi="Times New Roman"/>
          <w:sz w:val="24"/>
          <w:szCs w:val="24"/>
          <w:vertAlign w:val="subscript"/>
        </w:rPr>
        <w:t xml:space="preserve">B</w:t>
      </w:r>
      <w:r>
        <w:rPr>
          <w:rFonts w:ascii="Times New Roman" w:cs="Times New Roman" w:eastAsia="Times New Roman" w:hAnsi="Times New Roman"/>
          <w:sz w:val="24"/>
          <w:szCs w:val="24"/>
        </w:rPr>
        <w:t xml:space="preserve">, — их связывает дополнительный операнд, матрица сравнения</w:t>
      </w:r>
    </w:p>
    <w:p>
      <w:pPr>
        <w:spacing w:after="120" w:before="120" w:line="300"/>
        <w:jc w:val="center"/>
      </w:pPr>
      <w:r>
        <w:rPr>
          <w:rFonts w:ascii="Times New Roman" w:cs="Times New Roman" w:eastAsia="Times New Roman" w:hAnsi="Times New Roman"/>
          <w:i/>
          <w:iCs/>
          <w:sz w:val="24"/>
          <w:szCs w:val="24"/>
        </w:rPr>
        <w:t xml:space="preserve">M[i, j] = [значение</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 θ значение</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iCs/>
          <w:sz w:val="24"/>
          <w:szCs w:val="24"/>
        </w:rPr>
        <w:t xml:space="preserve">],  M: I</w:t>
      </w:r>
      <w:r>
        <w:rPr>
          <w:rFonts w:ascii="Times New Roman" w:cs="Times New Roman" w:eastAsia="Times New Roman" w:hAnsi="Times New Roman"/>
          <w:i/>
          <w:iCs/>
          <w:sz w:val="24"/>
          <w:szCs w:val="24"/>
          <w:vertAlign w:val="subscript"/>
        </w:rPr>
        <w:t xml:space="preserve">dA</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dB</w:t>
      </w:r>
      <w:r>
        <w:rPr>
          <w:rFonts w:ascii="Times New Roman" w:cs="Times New Roman" w:eastAsia="Times New Roman" w:hAnsi="Times New Roman"/>
          <w:i/>
          <w:iCs/>
          <w:sz w:val="24"/>
          <w:szCs w:val="24"/>
        </w:rPr>
        <w:t xml:space="preserve">},</w:t>
      </w:r>
    </w:p>
    <w:p>
      <w:pPr>
        <w:spacing w:after="120" w:before="0" w:line="300"/>
        <w:ind w:firstLine="567"/>
        <w:jc w:val="both"/>
      </w:pPr>
      <w:r>
        <w:rPr>
          <w:rFonts w:ascii="Times New Roman" w:cs="Times New Roman" w:eastAsia="Times New Roman" w:hAnsi="Times New Roman"/>
          <w:sz w:val="24"/>
          <w:szCs w:val="24"/>
        </w:rPr>
        <w:t xml:space="preserve">со значениями 0 и 1, где θ — любое из отношений =, ≠, &lt;, ≤, &gt;, ≥. Она той же природы, что матрица перехода иерархии и треугольная матрица окна, и входит в ту же свёртку: соединение гиперкуба фактов со справочником даёт спецификацию ab, c, bc → a, соединение двух гиперкубов фактов — ab, cd, bd → ac. Цена состоит в материализации матрицы из |I</w:t>
      </w:r>
      <w:r>
        <w:rPr>
          <w:rFonts w:ascii="Times New Roman" w:cs="Times New Roman" w:eastAsia="Times New Roman" w:hAnsi="Times New Roman"/>
          <w:sz w:val="24"/>
          <w:szCs w:val="24"/>
          <w:vertAlign w:val="subscript"/>
        </w:rPr>
        <w:t xml:space="preserve">dA</w:t>
      </w: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vertAlign w:val="subscript"/>
        </w:rPr>
        <w:t xml:space="preserve">dB</w:t>
      </w:r>
      <w:r>
        <w:rPr>
          <w:rFonts w:ascii="Times New Roman" w:cs="Times New Roman" w:eastAsia="Times New Roman" w:hAnsi="Times New Roman"/>
          <w:sz w:val="24"/>
          <w:szCs w:val="24"/>
        </w:rPr>
        <w:t xml:space="preserve">}| элементов, поэтому построение отклоняется, когда это произведение превышает установленный порог. Сравнение измерения с самим собой требует его переименованной копии: одна ось не может выступать в свёртке сразу двумя индексами.</w:t>
      </w:r>
    </w:p>
    <w:p>
      <w:pPr>
        <w:spacing w:after="120" w:before="0" w:line="300"/>
        <w:ind w:firstLine="567"/>
        <w:jc w:val="both"/>
      </w:pPr>
      <w:r>
        <w:rPr>
          <w:rFonts w:ascii="Times New Roman" w:cs="Times New Roman" w:eastAsia="Times New Roman" w:hAnsi="Times New Roman"/>
          <w:sz w:val="24"/>
          <w:szCs w:val="24"/>
        </w:rPr>
        <w:t xml:space="preserve">Различные значения.</w:t>
      </w:r>
      <w:r>
        <w:rPr>
          <w:rFonts w:ascii="Times New Roman" w:cs="Times New Roman" w:eastAsia="Times New Roman" w:hAnsi="Times New Roman"/>
          <w:sz w:val="24"/>
          <w:szCs w:val="24"/>
        </w:rPr>
        <w:t xml:space="preserve"> Конструкция SELECT DISTINCT c</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c</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возвращает носитель проекции гиперкуба на перечисленные оси, то есть множество наборов координат, для которых свёртка по остальным осям отлична от нуля. Это (0, μ)-свёртка индикатора присутствия [A ≠ 0] над булевым полукольцом ({0,1}, ∨, ∧) по осям, не вошедшим в список, — та же операция, что образует первый шаг агрегата COUNT DISTINCT (предложение 3), но без второго шага суммирования.</w:t>
      </w:r>
    </w:p>
    <w:p>
      <w:pPr>
        <w:spacing w:after="120" w:before="0" w:line="300"/>
        <w:ind w:firstLine="567"/>
        <w:jc w:val="both"/>
      </w:pPr>
      <w:r>
        <w:rPr>
          <w:rFonts w:ascii="Times New Roman" w:cs="Times New Roman" w:eastAsia="Times New Roman" w:hAnsi="Times New Roman"/>
          <w:sz w:val="24"/>
          <w:szCs w:val="24"/>
        </w:rPr>
        <w:t xml:space="preserve">Отдельного прохода по данным конструкция не требует, и это стоит оговорить, поскольку удаление дубликатов принято считать самостоятельной операцией. Всякий запрос с группировкой уже вычисляет свёртку над спутниковым счётным гиперкубом, отделяющую пустую группу от группы с нулевой суммой (§1); её носитель и есть множество различных сочетаний значений. SELECT DISTINCT отличается от обычной группировки лишь тем, что стягивание меры в нём отсутствует, а вычисляется одна эта свёртка. Исполняется она при этом не над (∨, ∧), а над (+, ·): на неотрицательных мощностях слоёв условие «⊕-сумма отлична от нуля» поэлементно совпадает с ∨-редукцией, а пара (+, ·) в отличие от булевой пары ложится на BLAS. Это тот же приём, что описан в §5 для COUNT DISTINCT: полукольцевая формулировка задаёт смысл операции, а исполняется она наиболее дешёвым эквивалентным способом.</w:t>
      </w:r>
    </w:p>
    <w:p>
      <w:pPr>
        <w:spacing w:after="120" w:before="0" w:line="300"/>
        <w:ind w:firstLine="567"/>
        <w:jc w:val="both"/>
      </w:pPr>
      <w:r>
        <w:rPr>
          <w:rFonts w:ascii="Times New Roman" w:cs="Times New Roman" w:eastAsia="Times New Roman" w:hAnsi="Times New Roman"/>
          <w:sz w:val="24"/>
          <w:szCs w:val="24"/>
        </w:rPr>
        <w:t xml:space="preserve">Операции над результирующей таблицей.</w:t>
      </w:r>
      <w:r>
        <w:rPr>
          <w:rFonts w:ascii="Times New Roman" w:cs="Times New Roman" w:eastAsia="Times New Roman" w:hAnsi="Times New Roman"/>
          <w:sz w:val="24"/>
          <w:szCs w:val="24"/>
        </w:rPr>
        <w:t xml:space="preserve"> Условие HAVING, упорядочение ORDER BY и ограничение LIMIT действуют не над гиперкубами, а над таблицей, полученной развёрткой результата свёртки, и потому лежат вне алгебры по природе; то же относится к редукциям MIN и MAX, непредставимым над (+, ·) по утверждению 2. Все они поддержаны реализацией, но выполняются отдельным шагом после стягивания. Разделение существенно для модели стоимости: стоимость запроса складывается из стоимости цепочки свёрток, оцениваемой по §3.2, и стоимости развёртки результата, пропорциональной длине выдачи (§4.7).</w:t>
      </w:r>
    </w:p>
    <w:p>
      <w:pPr>
        <w:spacing w:after="120" w:before="0" w:line="300"/>
        <w:ind w:firstLine="567"/>
        <w:jc w:val="both"/>
      </w:pPr>
      <w:r>
        <w:rPr>
          <w:rFonts w:ascii="Times New Roman" w:cs="Times New Roman" w:eastAsia="Times New Roman" w:hAnsi="Times New Roman"/>
          <w:sz w:val="24"/>
          <w:szCs w:val="24"/>
        </w:rPr>
        <w:t xml:space="preserve">Сводка трансляции по всем поддержанным конструкциям приведена в табл. 3. Третий столбец показывает, что именно добавляется в терм: для большинства конструкций это один операнд ранга 1 или 2, для соединения — ничего, поскольку общая ось связывает операнды сама.</w:t>
      </w:r>
    </w:p>
    <w:p>
      <w:pPr>
        <w:spacing w:after="100" w:before="200" w:line="300"/>
      </w:pPr>
      <w:r>
        <w:rPr>
          <w:rFonts w:ascii="Times New Roman" w:cs="Times New Roman" w:eastAsia="Times New Roman" w:hAnsi="Times New Roman"/>
          <w:i/>
          <w:iCs/>
          <w:sz w:val="24"/>
          <w:szCs w:val="24"/>
        </w:rPr>
        <w:t xml:space="preserve">Таблица 3 — Трансляция конструкций SQL в операции алгебры многомерных матриц</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52"/>
        <w:gridCol w:w="4645"/>
        <w:gridCol w:w="1703"/>
      </w:tblGrid>
      <w:tr>
        <w:trPr>
          <w:tblHeader/>
        </w:trPr>
        <w:tc>
          <w:tcPr>
            <w:tcW w:type="dxa" w:w="325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Конструкция запроса</w:t>
            </w:r>
          </w:p>
        </w:tc>
        <w:tc>
          <w:tcPr>
            <w:tcW w:type="dxa" w:w="464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Операция алгебры</w:t>
            </w:r>
          </w:p>
        </w:tc>
        <w:tc>
          <w:tcPr>
            <w:tcW w:type="dxa" w:w="170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Что добавляется в терм</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FROM t</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Отображение отношения в гиперкуб A: I</w:t>
            </w:r>
            <w:r>
              <w:rPr>
                <w:rFonts w:ascii="Times New Roman" w:cs="Times New Roman" w:eastAsia="Times New Roman" w:hAnsi="Times New Roman"/>
                <w:b w:val="false"/>
                <w:bCs w:val="false"/>
                <w:sz w:val="22"/>
                <w:szCs w:val="22"/>
                <w:vertAlign w:val="subscript"/>
              </w:rPr>
              <w:t xml:space="preserve">D1</w:t>
            </w:r>
            <w:r>
              <w:rPr>
                <w:rFonts w:ascii="Times New Roman" w:cs="Times New Roman" w:eastAsia="Times New Roman" w:hAnsi="Times New Roman"/>
                <w:b w:val="false"/>
                <w:bCs w:val="false"/>
                <w:sz w:val="22"/>
                <w:szCs w:val="22"/>
              </w:rPr>
              <w:t xml:space="preserve">} × … × I</w:t>
            </w:r>
            <w:r>
              <w:rPr>
                <w:rFonts w:ascii="Times New Roman" w:cs="Times New Roman" w:eastAsia="Times New Roman" w:hAnsi="Times New Roman"/>
                <w:b w:val="false"/>
                <w:bCs w:val="false"/>
                <w:sz w:val="22"/>
                <w:szCs w:val="22"/>
                <w:vertAlign w:val="subscript"/>
              </w:rPr>
              <w:t xml:space="preserve">Dp</w:t>
            </w:r>
            <w:r>
              <w:rPr>
                <w:rFonts w:ascii="Times New Roman" w:cs="Times New Roman" w:eastAsia="Times New Roman" w:hAnsi="Times New Roman"/>
                <w:b w:val="false"/>
                <w:bCs w:val="false"/>
                <w:sz w:val="22"/>
                <w:szCs w:val="22"/>
              </w:rPr>
              <w:t xml:space="preserve">} (§1)</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сам гиперкуб</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JOIN … ON A.d = B.d, d в GROUP BY</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μ)-произведение, ось d скоттова</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 ось общая</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JOIN … ON A.d = B.d, d вне GROUP BY</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μ)-произведение, ось d кэлиева</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 ось общая</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JOIN … ON A.d</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θ B.d</w:t>
            </w:r>
            <w:r>
              <w:rPr>
                <w:rFonts w:ascii="Times New Roman" w:cs="Times New Roman" w:eastAsia="Times New Roman" w:hAnsi="Times New Roman"/>
                <w:b w:val="false"/>
                <w:bCs w:val="false"/>
                <w:sz w:val="22"/>
                <w:szCs w:val="22"/>
                <w:vertAlign w:val="subscript"/>
              </w:rPr>
              <w:t xml:space="preserve">2</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матрицей сравнения M[i, j] = [i θ j]</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2</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WHERE φ по измерению или его атрибуту</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Умножение на индикатор χ</w:t>
            </w:r>
            <w:r>
              <w:rPr>
                <w:rFonts w:ascii="Times New Roman" w:cs="Times New Roman" w:eastAsia="Times New Roman" w:hAnsi="Times New Roman"/>
                <w:b w:val="false"/>
                <w:bCs w:val="false"/>
                <w:sz w:val="22"/>
                <w:szCs w:val="22"/>
                <w:vertAlign w:val="subscript"/>
              </w:rPr>
              <w:t xml:space="preserve">φ</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φ</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AND φ</w:t>
            </w:r>
            <w:r>
              <w:rPr>
                <w:rFonts w:ascii="Times New Roman" w:cs="Times New Roman" w:eastAsia="Times New Roman" w:hAnsi="Times New Roman"/>
                <w:b w:val="false"/>
                <w:bCs w:val="false"/>
                <w:sz w:val="22"/>
                <w:szCs w:val="22"/>
                <w:vertAlign w:val="subscript"/>
              </w:rPr>
              <w:t xml:space="preserve">2</w:t>
            </w:r>
            <w:r>
              <w:rPr>
                <w:rFonts w:ascii="Times New Roman" w:cs="Times New Roman" w:eastAsia="Times New Roman" w:hAnsi="Times New Roman"/>
                <w:b w:val="false"/>
                <w:bCs w:val="false"/>
                <w:sz w:val="22"/>
                <w:szCs w:val="22"/>
              </w:rPr>
              <w:t xml:space="preserve"> по разным измерениям</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Произведение индикаторов, остаётся факторизованным</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два операнда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φ</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OR φ</w:t>
            </w:r>
            <w:r>
              <w:rPr>
                <w:rFonts w:ascii="Times New Roman" w:cs="Times New Roman" w:eastAsia="Times New Roman" w:hAnsi="Times New Roman"/>
                <w:b w:val="false"/>
                <w:bCs w:val="false"/>
                <w:sz w:val="22"/>
                <w:szCs w:val="22"/>
                <w:vertAlign w:val="subscript"/>
              </w:rPr>
              <w:t xml:space="preserve">2</w:t>
            </w:r>
            <w:r>
              <w:rPr>
                <w:rFonts w:ascii="Times New Roman" w:cs="Times New Roman" w:eastAsia="Times New Roman" w:hAnsi="Times New Roman"/>
                <w:b w:val="false"/>
                <w:bCs w:val="false"/>
                <w:sz w:val="22"/>
                <w:szCs w:val="22"/>
              </w:rPr>
              <w:t xml:space="preserve"> по разным измерениям</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Совместный индикатор χ = 1 − (1 − χ</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)(1 − χ</w:t>
            </w:r>
            <w:r>
              <w:rPr>
                <w:rFonts w:ascii="Times New Roman" w:cs="Times New Roman" w:eastAsia="Times New Roman" w:hAnsi="Times New Roman"/>
                <w:b w:val="false"/>
                <w:bCs w:val="false"/>
                <w:sz w:val="22"/>
                <w:szCs w:val="22"/>
                <w:vertAlign w:val="subscript"/>
              </w:rPr>
              <w:t xml:space="preserve">2</w:t>
            </w:r>
            <w:r>
              <w:rPr>
                <w:rFonts w:ascii="Times New Roman" w:cs="Times New Roman" w:eastAsia="Times New Roman" w:hAnsi="Times New Roman"/>
                <w:b w:val="false"/>
                <w:bCs w:val="false"/>
                <w:sz w:val="22"/>
                <w:szCs w:val="22"/>
              </w:rPr>
              <w:t xml:space="preserve">)</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2</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WHERE d IN (подзапрос)</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Индикатор, вычисленный отдельной цепочкой свёрток</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WHERE d IS [NOT] NULL</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Индикатор ординала отсутствующего значения (§1)</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NOT φ</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Дополнение индикатора с обнулением ординала отсутствия</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GROUP BY d, где d — ось гиперкуба</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d исключается из множества суммирования</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GROUP BY p, где p — родитель d по иерархии</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 1)-произведение с матрицей перехода H[d, p]</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2</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SUM(m)</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⊕-свёртка по осям вне группировки</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SUM(m</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 m</w:t>
            </w:r>
            <w:r>
              <w:rPr>
                <w:rFonts w:ascii="Times New Roman" w:cs="Times New Roman" w:eastAsia="Times New Roman" w:hAnsi="Times New Roman"/>
                <w:b w:val="false"/>
                <w:bCs w:val="false"/>
                <w:sz w:val="22"/>
                <w:szCs w:val="22"/>
                <w:vertAlign w:val="subscript"/>
              </w:rPr>
              <w:t xml:space="preserve">2</w:t>
            </w:r>
            <w:r>
              <w:rPr>
                <w:rFonts w:ascii="Times New Roman" w:cs="Times New Roman" w:eastAsia="Times New Roman" w:hAnsi="Times New Roman"/>
                <w:b w:val="false"/>
                <w:bCs w:val="false"/>
                <w:sz w:val="22"/>
                <w:szCs w:val="22"/>
              </w:rPr>
              <w:t xml:space="preserve">)</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 операндов с последующей ⊕-свёрткой</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второй гиперкуб-мера</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SUM(α·m</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 β·m</w:t>
            </w:r>
            <w:r>
              <w:rPr>
                <w:rFonts w:ascii="Times New Roman" w:cs="Times New Roman" w:eastAsia="Times New Roman" w:hAnsi="Times New Roman"/>
                <w:b w:val="false"/>
                <w:bCs w:val="false"/>
                <w:sz w:val="22"/>
                <w:szCs w:val="22"/>
                <w:vertAlign w:val="subscript"/>
              </w:rPr>
              <w:t xml:space="preserve">2</w:t>
            </w:r>
            <w:r>
              <w:rPr>
                <w:rFonts w:ascii="Times New Roman" w:cs="Times New Roman" w:eastAsia="Times New Roman" w:hAnsi="Times New Roman"/>
                <w:b w:val="false"/>
                <w:bCs w:val="false"/>
                <w:sz w:val="22"/>
                <w:szCs w:val="22"/>
              </w:rPr>
              <w:t xml:space="preserve">)</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Линейная комбинация свёрнутых произведений (теорема 1)</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по терму на слагаемое</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Та же свёртка над гиперкубом присутствия [A ≠ 0]</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гиперкуб-счётчик</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AVG(e)</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Отношение двух свёрток: терма и счётчика</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гиперкуб-счётчик</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CASE WHEN φ</w:t>
            </w:r>
            <w:r>
              <w:rPr>
                <w:rFonts w:ascii="Times New Roman" w:cs="Times New Roman" w:eastAsia="Times New Roman" w:hAnsi="Times New Roman"/>
                <w:b w:val="false"/>
                <w:bCs w:val="false"/>
                <w:sz w:val="22"/>
                <w:szCs w:val="22"/>
                <w:vertAlign w:val="subscript"/>
              </w:rPr>
              <w:t xml:space="preserve">i</w:t>
            </w:r>
            <w:r>
              <w:rPr>
                <w:rFonts w:ascii="Times New Roman" w:cs="Times New Roman" w:eastAsia="Times New Roman" w:hAnsi="Times New Roman"/>
                <w:b w:val="false"/>
                <w:bCs w:val="false"/>
                <w:sz w:val="22"/>
                <w:szCs w:val="22"/>
              </w:rPr>
              <w:t xml:space="preserve"> THEN e</w:t>
            </w:r>
            <w:r>
              <w:rPr>
                <w:rFonts w:ascii="Times New Roman" w:cs="Times New Roman" w:eastAsia="Times New Roman" w:hAnsi="Times New Roman"/>
                <w:b w:val="false"/>
                <w:bCs w:val="false"/>
                <w:sz w:val="22"/>
                <w:szCs w:val="22"/>
                <w:vertAlign w:val="subscript"/>
              </w:rPr>
              <w:t xml:space="preserve">i</w:t>
            </w:r>
            <w:r>
              <w:rPr>
                <w:rFonts w:ascii="Times New Roman" w:cs="Times New Roman" w:eastAsia="Times New Roman" w:hAnsi="Times New Roman"/>
                <w:b w:val="false"/>
                <w:bCs w:val="false"/>
                <w:sz w:val="22"/>
                <w:szCs w:val="22"/>
              </w:rPr>
              <w:t xml:space="preserve"> ELSE e</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END</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Сумма термов e</w:t>
            </w:r>
            <w:r>
              <w:rPr>
                <w:rFonts w:ascii="Times New Roman" w:cs="Times New Roman" w:eastAsia="Times New Roman" w:hAnsi="Times New Roman"/>
                <w:b w:val="false"/>
                <w:bCs w:val="false"/>
                <w:sz w:val="22"/>
                <w:szCs w:val="22"/>
                <w:vertAlign w:val="subscript"/>
              </w:rPr>
              <w:t xml:space="preserve">i</w:t>
            </w:r>
            <w:r>
              <w:rPr>
                <w:rFonts w:ascii="Times New Roman" w:cs="Times New Roman" w:eastAsia="Times New Roman" w:hAnsi="Times New Roman"/>
                <w:b w:val="false"/>
                <w:bCs w:val="false"/>
                <w:sz w:val="22"/>
                <w:szCs w:val="22"/>
              </w:rPr>
              <w:t xml:space="preserve"> с индикаторами ветвей χ</w:t>
            </w:r>
            <w:r>
              <w:rPr>
                <w:rFonts w:ascii="Times New Roman" w:cs="Times New Roman" w:eastAsia="Times New Roman" w:hAnsi="Times New Roman"/>
                <w:b w:val="false"/>
                <w:bCs w:val="false"/>
                <w:sz w:val="22"/>
                <w:szCs w:val="22"/>
                <w:vertAlign w:val="subscript"/>
              </w:rPr>
              <w:t xml:space="preserve">i</w:t>
            </w:r>
            <w:r>
              <w:rPr>
                <w:rFonts w:ascii="Times New Roman" w:cs="Times New Roman" w:eastAsia="Times New Roman" w:hAnsi="Times New Roman"/>
                <w:b w:val="false"/>
                <w:bCs w:val="false"/>
                <w:sz w:val="22"/>
                <w:szCs w:val="22"/>
              </w:rPr>
              <w:t xml:space="preserve"> ⊗ ∏</w:t>
            </w:r>
            <w:r>
              <w:rPr>
                <w:rFonts w:ascii="Times New Roman" w:cs="Times New Roman" w:eastAsia="Times New Roman" w:hAnsi="Times New Roman"/>
                <w:b w:val="false"/>
                <w:bCs w:val="false"/>
                <w:sz w:val="22"/>
                <w:szCs w:val="22"/>
                <w:vertAlign w:val="subscript"/>
              </w:rPr>
              <w:t xml:space="preserve">j &lt; i</w:t>
            </w:r>
            <w:r>
              <w:rPr>
                <w:rFonts w:ascii="Times New Roman" w:cs="Times New Roman" w:eastAsia="Times New Roman" w:hAnsi="Times New Roman"/>
                <w:b w:val="false"/>
                <w:bCs w:val="false"/>
                <w:sz w:val="22"/>
                <w:szCs w:val="22"/>
              </w:rPr>
              <w:t xml:space="preserve">(1 − χ</w:t>
            </w:r>
            <w:r>
              <w:rPr>
                <w:rFonts w:ascii="Times New Roman" w:cs="Times New Roman" w:eastAsia="Times New Roman" w:hAnsi="Times New Roman"/>
                <w:b w:val="false"/>
                <w:bCs w:val="false"/>
                <w:sz w:val="22"/>
                <w:szCs w:val="22"/>
                <w:vertAlign w:val="subscript"/>
              </w:rPr>
              <w:t xml:space="preserve">j</w:t>
            </w:r>
            <w:r>
              <w:rPr>
                <w:rFonts w:ascii="Times New Roman" w:cs="Times New Roman" w:eastAsia="Times New Roman" w:hAnsi="Times New Roman"/>
                <w:b w:val="false"/>
                <w:bCs w:val="false"/>
                <w:sz w:val="22"/>
                <w:szCs w:val="22"/>
              </w:rPr>
              <w:t xml:space="preserve">)</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маска на каждый терм</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SUM(…) OVER (ORDER BY d ROWS …)</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 1)-произведение с треугольной или ленточной матрицей</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2</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COUNT(DISTINCT d)</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Свёртка над (∨, ∧) с последующей ⊕-свёрткой по оси d (предложение 3)</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матрица из единиц</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SELECT DISTINCT c</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 c</w:t>
            </w:r>
            <w:r>
              <w:rPr>
                <w:rFonts w:ascii="Times New Roman" w:cs="Times New Roman" w:eastAsia="Times New Roman" w:hAnsi="Times New Roman"/>
                <w:b w:val="false"/>
                <w:bCs w:val="false"/>
                <w:sz w:val="22"/>
                <w:szCs w:val="22"/>
                <w:vertAlign w:val="subscript"/>
              </w:rPr>
              <w:t xml:space="preserve">k</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Носитель проекции: свёртка индикатора присутствия над (∨, ∧)</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MIN(m), MAX(m)</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Редукция над (min, ·) и (max, ·) при неотрицательных мерах (§5)</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Разграничение доступа роли к измерению</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Умножение на вектор прав</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операнд ранга 1</w:t>
            </w:r>
          </w:p>
        </w:tc>
      </w:tr>
      <w:tr>
        <w:trPr>
          <w:tblHeader w:val="false"/>
        </w:trPr>
        <w:tc>
          <w:tcPr>
            <w:tcW w:type="dxa" w:w="325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HAVING, ORDER BY, LIMIT</w:t>
            </w:r>
          </w:p>
        </w:tc>
        <w:tc>
          <w:tcPr>
            <w:tcW w:type="dxa" w:w="464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Операции над развёрнутой таблицей результата, вне свёртки</w:t>
            </w:r>
          </w:p>
        </w:tc>
        <w:tc>
          <w:tcPr>
            <w:tcW w:type="dxa" w:w="170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Пример. Запрос</w:t>
      </w:r>
    </w:p>
    <w:p>
      <w:pPr>
        <w:spacing w:after="0" w:line="260"/>
        <w:ind w:left="567"/>
      </w:pPr>
      <w:r>
        <w:rPr>
          <w:rFonts w:ascii="Courier New" w:cs="Courier New" w:eastAsia="Courier New" w:hAnsi="Courier New"/>
          <w:sz w:val="20"/>
          <w:szCs w:val="20"/>
        </w:rPr>
        <w:t xml:space="preserve">SELECT customer, month, SUM(quantity * price)</w:t>
      </w:r>
    </w:p>
    <w:p>
      <w:pPr>
        <w:spacing w:after="0" w:line="260"/>
        <w:ind w:left="567"/>
      </w:pPr>
      <w:r>
        <w:rPr>
          <w:rFonts w:ascii="Courier New" w:cs="Courier New" w:eastAsia="Courier New" w:hAnsi="Courier New"/>
          <w:sz w:val="20"/>
          <w:szCs w:val="20"/>
        </w:rPr>
        <w:t xml:space="preserve">FROM sales JOIN product ON sales.product = product.product</w:t>
      </w:r>
    </w:p>
    <w:p>
      <w:pPr>
        <w:spacing w:after="0" w:line="260"/>
        <w:ind w:left="567"/>
      </w:pPr>
      <w:r>
        <w:rPr>
          <w:rFonts w:ascii="Courier New" w:cs="Courier New" w:eastAsia="Courier New" w:hAnsi="Courier New"/>
          <w:sz w:val="20"/>
          <w:szCs w:val="20"/>
        </w:rPr>
        <w:t xml:space="preserve">WHERE region = 'Смоленск'</w:t>
      </w:r>
    </w:p>
    <w:p>
      <w:pPr>
        <w:spacing w:after="0" w:line="260"/>
        <w:ind w:left="567"/>
      </w:pPr>
      <w:r>
        <w:rPr>
          <w:rFonts w:ascii="Courier New" w:cs="Courier New" w:eastAsia="Courier New" w:hAnsi="Courier New"/>
          <w:sz w:val="20"/>
          <w:szCs w:val="20"/>
        </w:rPr>
        <w:t xml:space="preserve">GROUP BY customer, month</w:t>
      </w:r>
    </w:p>
    <w:p>
      <w:pPr>
        <w:spacing w:after="120" w:before="0" w:line="300"/>
        <w:ind w:firstLine="567"/>
        <w:jc w:val="both"/>
      </w:pPr>
      <w:r>
        <w:rPr>
          <w:rFonts w:ascii="Times New Roman" w:cs="Times New Roman" w:eastAsia="Times New Roman" w:hAnsi="Times New Roman"/>
          <w:sz w:val="24"/>
          <w:szCs w:val="24"/>
        </w:rPr>
        <w:t xml:space="preserve">транслируется в единственное выражение</w:t>
      </w:r>
    </w:p>
    <w:p>
      <w:pPr>
        <w:spacing w:after="0" w:line="260"/>
        <w:ind w:left="567"/>
      </w:pPr>
      <w:r>
        <w:rPr>
          <w:rFonts w:ascii="Courier New" w:cs="Courier New" w:eastAsia="Courier New" w:hAnsi="Courier New"/>
          <w:sz w:val="20"/>
          <w:szCs w:val="20"/>
        </w:rPr>
        <w:t xml:space="preserve">np.einsum('abc,b,cd,a-&gt;ad', sales, price, date_to_month, region_mask),</w:t>
      </w:r>
    </w:p>
    <w:p>
      <w:pPr>
        <w:spacing w:after="120" w:before="0" w:line="300"/>
        <w:ind w:firstLine="567"/>
        <w:jc w:val="both"/>
      </w:pPr>
      <w:r>
        <w:rPr>
          <w:rFonts w:ascii="Times New Roman" w:cs="Times New Roman" w:eastAsia="Times New Roman" w:hAnsi="Times New Roman"/>
          <w:sz w:val="24"/>
          <w:szCs w:val="24"/>
        </w:rPr>
        <w:t xml:space="preserve">где sales — гиперкуб продаж с осями (клиент, товар, дата), price — куб ранга 1 с ценами, date_to_month — матрица перехода иерархии, region_mask — индикатор условия отбора. Индексы b (товар) и c (дата) общие и отсутствуют в результате — это μ-индексы; индекс a (клиент) общий с маской и присутствует в результате — λ-индекс.</w:t>
      </w:r>
    </w:p>
    <w:p>
      <w:pPr>
        <w:spacing w:after="120" w:before="0" w:line="300"/>
        <w:ind w:firstLine="567"/>
        <w:jc w:val="both"/>
      </w:pPr>
      <w:r>
        <w:rPr>
          <w:rFonts w:ascii="Times New Roman" w:cs="Times New Roman" w:eastAsia="Times New Roman" w:hAnsi="Times New Roman"/>
          <w:sz w:val="24"/>
          <w:szCs w:val="24"/>
        </w:rPr>
        <w:t xml:space="preserve">Теорема 1 (о представимости).</w:t>
      </w:r>
      <w:r>
        <w:rPr>
          <w:rFonts w:ascii="Times New Roman" w:cs="Times New Roman" w:eastAsia="Times New Roman" w:hAnsi="Times New Roman"/>
          <w:sz w:val="24"/>
          <w:szCs w:val="24"/>
        </w:rPr>
        <w:t xml:space="preserve"> Всякий запрос, в котором агрегатами служат SUM, COUNT и AVG, выражения под агрегатами построены из мер, констант, операций сложения, вычитания, умножения и деления на ненулевую константу, условие отбора есть произвольная булева комбинация предикатов над измерениями и их атрибутами, а каждое измерение группировки является осью куба либо достижимо по цепочке иерархий, представим как линейная комбинация (λ, μ)-свёрнутых произведений.</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конструктивно и повторяет работу транслятора: выражение под агрегатом приводится к сумме произведений мер с коэффициентами индукцией по структуре с использованием дистрибутивности умножения над сложением; каждое слагаемое даёт отдельное стягивание, к операндам которого добавляются индикатор условия и матрицы перехода иерархий. □</w:t>
      </w:r>
    </w:p>
    <w:p>
      <w:pPr>
        <w:spacing w:after="120" w:before="0" w:line="300"/>
        <w:ind w:firstLine="567"/>
        <w:jc w:val="both"/>
      </w:pPr>
      <w:r>
        <w:rPr>
          <w:rFonts w:ascii="Times New Roman" w:cs="Times New Roman" w:eastAsia="Times New Roman" w:hAnsi="Times New Roman"/>
          <w:sz w:val="24"/>
          <w:szCs w:val="24"/>
        </w:rPr>
        <w:t xml:space="preserve">Утверждение 2 (о непредставимости MIN и MAX).</w:t>
      </w:r>
      <w:r>
        <w:rPr>
          <w:rFonts w:ascii="Times New Roman" w:cs="Times New Roman" w:eastAsia="Times New Roman" w:hAnsi="Times New Roman"/>
          <w:sz w:val="24"/>
          <w:szCs w:val="24"/>
        </w:rPr>
        <w:t xml:space="preserve"> Агрегаты MIN и MAX не выражаются никакой линейной комбинацией (λ, μ)-свёрнутых произведений над полем действительных чисел с фиксированными вспомогательными матрицами.</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Свёрнутое произведение билинейно, поэтому любая такая комбинация есть линейная, а значит аддитивная функция гиперкуба-меры. Но max((1,0)) + max((0,1)) = 2, тогда как max((1,0) + (0,1)) = max((1,1)) = 1. □</w:t>
      </w:r>
    </w:p>
    <w:p>
      <w:pPr>
        <w:spacing w:after="120" w:before="0" w:line="300"/>
        <w:ind w:firstLine="567"/>
        <w:jc w:val="both"/>
      </w:pPr>
      <w:r>
        <w:rPr>
          <w:rFonts w:ascii="Times New Roman" w:cs="Times New Roman" w:eastAsia="Times New Roman" w:hAnsi="Times New Roman"/>
          <w:sz w:val="24"/>
          <w:szCs w:val="24"/>
        </w:rPr>
        <w:t xml:space="preserve">Исключение MIN и MAX из модели есть свойство алгебры, а не недоработка реализации; в §5 показано, что они возвращаются в модель при замене полукольца коэффициентов.</w:t>
      </w:r>
    </w:p>
    <w:p>
      <w:pPr>
        <w:pStyle w:val="Heading1"/>
        <w:spacing w:after="160" w:before="320"/>
      </w:pPr>
      <w:r>
        <w:rPr>
          <w:rFonts w:ascii="Times New Roman" w:cs="Times New Roman" w:eastAsia="Times New Roman" w:hAnsi="Times New Roman"/>
          <w:b/>
          <w:bCs/>
          <w:sz w:val="26"/>
          <w:szCs w:val="26"/>
        </w:rPr>
        <w:t xml:space="preserve">3. План запроса как терм алгебры и модель стоимости</w:t>
      </w:r>
    </w:p>
    <w:p>
      <w:pPr>
        <w:pStyle w:val="Heading2"/>
        <w:spacing w:after="160" w:before="240"/>
      </w:pPr>
      <w:r>
        <w:rPr>
          <w:rFonts w:ascii="Times New Roman" w:cs="Times New Roman" w:eastAsia="Times New Roman" w:hAnsi="Times New Roman"/>
          <w:b/>
          <w:bCs/>
          <w:sz w:val="24"/>
          <w:szCs w:val="24"/>
        </w:rPr>
        <w:t xml:space="preserve">3.1. Разложение плана</w:t>
      </w:r>
    </w:p>
    <w:p>
      <w:pPr>
        <w:spacing w:after="120" w:before="0" w:line="300"/>
        <w:ind w:firstLine="567"/>
        <w:jc w:val="both"/>
      </w:pPr>
      <w:r>
        <w:rPr>
          <w:rFonts w:ascii="Times New Roman" w:cs="Times New Roman" w:eastAsia="Times New Roman" w:hAnsi="Times New Roman"/>
          <w:sz w:val="24"/>
          <w:szCs w:val="24"/>
        </w:rPr>
        <w:t xml:space="preserve">Выражение с четырьмя операндами не является операцией алгебры Соколова: последняя бинарна. Пусть матрицы A</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A</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индексированы наборами имён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X</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положим X =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 ∪ X</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и пусть O ⊆ X — набор выходных индексов. Многооперандным стягиванием назовём</w:t>
      </w:r>
    </w:p>
    <w:p>
      <w:pPr>
        <w:spacing w:after="120" w:before="120" w:line="300"/>
        <w:jc w:val="center"/>
      </w:pPr>
      <w:r>
        <w:rPr>
          <w:rFonts w:ascii="Times New Roman" w:cs="Times New Roman" w:eastAsia="Times New Roman" w:hAnsi="Times New Roman"/>
          <w:i/>
          <w:iCs/>
          <w:sz w:val="24"/>
          <w:szCs w:val="24"/>
        </w:rPr>
        <w:t xml:space="preserve">T[O] = ⊕</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iCs/>
          <w:sz w:val="24"/>
          <w:szCs w:val="24"/>
        </w:rPr>
        <w:t xml:space="preserve"> A</w:t>
      </w:r>
      <w:r>
        <w:rPr>
          <w:rFonts w:ascii="Times New Roman" w:cs="Times New Roman" w:eastAsia="Times New Roman" w:hAnsi="Times New Roman"/>
          <w:i/>
          <w:iCs/>
          <w:sz w:val="24"/>
          <w:szCs w:val="24"/>
          <w:vertAlign w:val="subscript"/>
        </w:rPr>
        <w:t xml:space="preserve">1</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iCs/>
          <w:sz w:val="24"/>
          <w:szCs w:val="24"/>
          <w:vertAlign w:val="subscript"/>
        </w:rPr>
        <w:t xml:space="preserve">1</w:t>
      </w:r>
      <w:r>
        <w:rPr>
          <w:rFonts w:ascii="Times New Roman" w:cs="Times New Roman" w:eastAsia="Times New Roman" w:hAnsi="Times New Roman"/>
          <w:i/>
          <w:iCs/>
          <w:sz w:val="24"/>
          <w:szCs w:val="24"/>
        </w:rPr>
        <w:t xml:space="preserve">] ⊗ … ⊗ A</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rPr>
        <w:t xml:space="preserve">],</w:t>
      </w:r>
    </w:p>
    <w:p>
      <w:pPr>
        <w:spacing w:after="120" w:before="0" w:line="300"/>
        <w:ind w:firstLine="567"/>
        <w:jc w:val="both"/>
      </w:pPr>
      <w:r>
        <w:rPr>
          <w:rFonts w:ascii="Times New Roman" w:cs="Times New Roman" w:eastAsia="Times New Roman" w:hAnsi="Times New Roman"/>
          <w:sz w:val="24"/>
          <w:szCs w:val="24"/>
        </w:rPr>
        <w:t xml:space="preserve">где ν пробегает все наборы значений невыходных индексов, то есть I</w:t>
      </w:r>
      <w:r>
        <w:rPr>
          <w:rFonts w:ascii="Times New Roman" w:cs="Times New Roman" w:eastAsia="Times New Roman" w:hAnsi="Times New Roman"/>
          <w:sz w:val="24"/>
          <w:szCs w:val="24"/>
          <w:vertAlign w:val="subscript"/>
        </w:rPr>
        <w:t xml:space="preserve">X \ O</w:t>
      </w:r>
      <w:r>
        <w:rPr>
          <w:rFonts w:ascii="Times New Roman" w:cs="Times New Roman" w:eastAsia="Times New Roman" w:hAnsi="Times New Roman"/>
          <w:sz w:val="24"/>
          <w:szCs w:val="24"/>
        </w:rPr>
        <w:t xml:space="preserve">, а ν</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сужение на имена 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полного набора значений, составленного из ν и значений выходных индексов. Планом назовём двоичное дерево с листьями A</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A</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вычисление идёт снизу вверх бинарными (λ, μ)-произведениями, где μ-группу образуют общие индексы, не нужные ни далее, ни в выходе, а λ-группу — прочие общие индексы.</w:t>
      </w:r>
    </w:p>
    <w:p>
      <w:pPr>
        <w:spacing w:after="120" w:before="0" w:line="300"/>
        <w:ind w:firstLine="567"/>
        <w:jc w:val="both"/>
      </w:pPr>
      <w:r>
        <w:rPr>
          <w:rFonts w:ascii="Times New Roman" w:cs="Times New Roman" w:eastAsia="Times New Roman" w:hAnsi="Times New Roman"/>
          <w:sz w:val="24"/>
          <w:szCs w:val="24"/>
        </w:rPr>
        <w:t xml:space="preserve">Ассоциативность свёрнутого произведения установлена самим Соколовым [1, с. 56] с существенной оговоркой: закон имеет место при условии, что свёртываемые совокупности кэлиевых индексов в разных парах перемножаемых матриц не пересекаются между собой и с совокупностями скоттовых индексов. Иначе говоря, переставлять сомножители можно, пока роли индексов сохраняются.</w:t>
      </w:r>
    </w:p>
    <w:p>
      <w:pPr>
        <w:spacing w:after="120" w:before="0" w:line="300"/>
        <w:ind w:firstLine="567"/>
        <w:jc w:val="both"/>
      </w:pPr>
      <w:r>
        <w:rPr>
          <w:rFonts w:ascii="Times New Roman" w:cs="Times New Roman" w:eastAsia="Times New Roman" w:hAnsi="Times New Roman"/>
          <w:sz w:val="24"/>
          <w:szCs w:val="24"/>
        </w:rPr>
        <w:t xml:space="preserve">Для оптимизатора этого недостаточно. Он выбирает не порядок в фиксированной цепочке, а произвольное двоичное дерево над n операндами, причём роли индексов в каждом узле определяются самим деревом: один и тот же индекс может оказаться кэлиевым в одном плане и скоттовым в другом. Требуется поэтому утверждение о равенстве всех планов многооперандному стягиванию, из которого равенство планов между собой следует автоматически.</w:t>
      </w:r>
    </w:p>
    <w:p>
      <w:pPr>
        <w:spacing w:after="120" w:before="0" w:line="300"/>
        <w:ind w:firstLine="567"/>
        <w:jc w:val="both"/>
      </w:pPr>
      <w:r>
        <w:rPr>
          <w:rFonts w:ascii="Times New Roman" w:cs="Times New Roman" w:eastAsia="Times New Roman" w:hAnsi="Times New Roman"/>
          <w:sz w:val="24"/>
          <w:szCs w:val="24"/>
        </w:rPr>
        <w:t xml:space="preserve">Теорема 2 (о разложении).</w:t>
      </w:r>
      <w:r>
        <w:rPr>
          <w:rFonts w:ascii="Times New Roman" w:cs="Times New Roman" w:eastAsia="Times New Roman" w:hAnsi="Times New Roman"/>
          <w:sz w:val="24"/>
          <w:szCs w:val="24"/>
        </w:rPr>
        <w:t xml:space="preserve"> Для любого плана результат его вычисления равен многооперандному стягиванию.</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Индукция по числу операндов. База очевидна. Пусть корень объединяет поддеревья с наборами операндов P и Q. Разобьём невыходные индексы на встречающиеся только в P, только в Q и общие. Так как индексы первого класса не входят в множители из Q и наоборот, соответствующие суммы выносятся за скобку по правой дистрибутивности умножения над конечной суммой, и стягивание распадается на внешнюю сумму по общим невыходным индексам от произведения двух внутренних выражений. Внутренние выражения по предположению индукции равны результатам поддеревьев, а внешняя сумма есть в точности (λ, μ)-произведение. □</w:t>
      </w:r>
    </w:p>
    <w:p>
      <w:pPr>
        <w:spacing w:after="120" w:before="0" w:line="300"/>
        <w:ind w:firstLine="567"/>
        <w:jc w:val="both"/>
      </w:pPr>
      <w:r>
        <w:rPr>
          <w:rFonts w:ascii="Times New Roman" w:cs="Times New Roman" w:eastAsia="Times New Roman" w:hAnsi="Times New Roman"/>
          <w:sz w:val="24"/>
          <w:szCs w:val="24"/>
        </w:rPr>
        <w:t xml:space="preserve">Следствие 1.</w:t>
      </w:r>
      <w:r>
        <w:rPr>
          <w:rFonts w:ascii="Times New Roman" w:cs="Times New Roman" w:eastAsia="Times New Roman" w:hAnsi="Times New Roman"/>
          <w:sz w:val="24"/>
          <w:szCs w:val="24"/>
        </w:rPr>
        <w:t xml:space="preserve"> Результат не зависит от порядка свёрток: любые два плана дают одно и то же.</w:t>
      </w:r>
    </w:p>
    <w:p>
      <w:pPr>
        <w:spacing w:after="120" w:before="0" w:line="300"/>
        <w:ind w:firstLine="567"/>
        <w:jc w:val="both"/>
      </w:pPr>
      <w:r>
        <w:rPr>
          <w:rFonts w:ascii="Times New Roman" w:cs="Times New Roman" w:eastAsia="Times New Roman" w:hAnsi="Times New Roman"/>
          <w:sz w:val="24"/>
          <w:szCs w:val="24"/>
        </w:rPr>
        <w:t xml:space="preserve">Условие Соколова при этом не исчезает, а переходит в определение плана: μ-группу образуют общие индексы, не нужные ни далее, ни в выходе. Именно это и означает, что кэлиевы совокупности разных узлов не пересекаются. Если же роль индекса сменить произвольно — например, свернуть в промежуточном узле ось, входящую в результат, — равенство рушится, и это проверяется отдельным тестом реализации.</w:t>
      </w:r>
    </w:p>
    <w:p>
      <w:pPr>
        <w:spacing w:after="120" w:before="0" w:line="300"/>
        <w:ind w:firstLine="567"/>
        <w:jc w:val="both"/>
      </w:pPr>
      <w:r>
        <w:rPr>
          <w:rFonts w:ascii="Times New Roman" w:cs="Times New Roman" w:eastAsia="Times New Roman" w:hAnsi="Times New Roman"/>
          <w:sz w:val="24"/>
          <w:szCs w:val="24"/>
        </w:rPr>
        <w:t xml:space="preserve">Следствие 1 делает оптимизацию корректной — выбирая порядок по стоимости, оптимизатор не меняет ответ. Оно же обосновывает приём, применяемый при превышении технического ограничения einsum на число различных индексов (52 буквы латинского алфавита в обоих регистрах): план разбивается на цепочку парных произведений с промежуточной материализацией.</w:t>
      </w:r>
    </w:p>
    <w:p>
      <w:pPr>
        <w:spacing w:after="120" w:before="0" w:line="300"/>
        <w:ind w:firstLine="567"/>
        <w:jc w:val="both"/>
      </w:pPr>
      <w:r>
        <w:rPr>
          <w:rFonts w:ascii="Times New Roman" w:cs="Times New Roman" w:eastAsia="Times New Roman" w:hAnsi="Times New Roman"/>
          <w:sz w:val="24"/>
          <w:szCs w:val="24"/>
        </w:rPr>
        <w:t xml:space="preserve">Для приведённого выше запроса разложение имеет вид, показанный в табл. 4; численная проверка показывает, что последовательное применение операций ядра даёт тот же результат, что и единый вызов einsum, с относительным расхождением менее 10</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w:t>
      </w:r>
    </w:p>
    <w:p>
      <w:pPr>
        <w:spacing w:after="100" w:before="200" w:line="300"/>
      </w:pPr>
      <w:r>
        <w:rPr>
          <w:rFonts w:ascii="Times New Roman" w:cs="Times New Roman" w:eastAsia="Times New Roman" w:hAnsi="Times New Roman"/>
          <w:i/>
          <w:iCs/>
          <w:sz w:val="24"/>
          <w:szCs w:val="24"/>
        </w:rPr>
        <w:t xml:space="preserve">Таблица 4 — Разложение плана запроса в композицию бинарных произведений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33"/>
        <w:gridCol w:w="4133"/>
        <w:gridCol w:w="2000"/>
        <w:gridCol w:w="2133"/>
      </w:tblGrid>
      <w:tr>
        <w:trPr>
          <w:tblHeader/>
        </w:trPr>
        <w:tc>
          <w:tcPr>
            <w:tcW w:type="dxa" w:w="13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Шаг</w:t>
            </w:r>
          </w:p>
        </w:tc>
        <w:tc>
          <w:tcPr>
            <w:tcW w:type="dxa" w:w="41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Операнды</w:t>
            </w:r>
          </w:p>
        </w:tc>
        <w:tc>
          <w:tcPr>
            <w:tcW w:type="dxa" w:w="200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Результат</w:t>
            </w:r>
          </w:p>
        </w:tc>
        <w:tc>
          <w:tcPr>
            <w:tcW w:type="dxa" w:w="21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Тип свёртки</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товар, дата] ∗ [товар]</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дата]</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 μ: товар</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[дата, месяц] ∗ [клиент, дата]</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[месяц, клиент]</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 μ: дата</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 [месяц, клиент]</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месяц]</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 λ: клиент</w:t>
            </w:r>
          </w:p>
        </w:tc>
      </w:tr>
    </w:tbl>
    <w:p>
      <w:pPr>
        <w:spacing w:after="120"/>
      </w:pPr>
    </w:p>
    <w:p>
      <w:pPr>
        <w:pStyle w:val="Heading2"/>
        <w:spacing w:after="160" w:before="240"/>
      </w:pPr>
      <w:r>
        <w:rPr>
          <w:rFonts w:ascii="Times New Roman" w:cs="Times New Roman" w:eastAsia="Times New Roman" w:hAnsi="Times New Roman"/>
          <w:b/>
          <w:bCs/>
          <w:sz w:val="24"/>
          <w:szCs w:val="24"/>
        </w:rPr>
        <w:t xml:space="preserve">3.2. Функция стоимости</w:t>
      </w:r>
    </w:p>
    <w:p>
      <w:pPr>
        <w:spacing w:after="120" w:before="0" w:line="300"/>
        <w:ind w:firstLine="567"/>
        <w:jc w:val="both"/>
      </w:pPr>
      <w:r>
        <w:rPr>
          <w:rFonts w:ascii="Times New Roman" w:cs="Times New Roman" w:eastAsia="Times New Roman" w:hAnsi="Times New Roman"/>
          <w:sz w:val="24"/>
          <w:szCs w:val="24"/>
        </w:rPr>
        <w:t xml:space="preserve">Пусть |I</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обозначает произведение мощностей осей группы X. Для одного бинарного произведения A: I</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и B: I</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vertAlign w:val="subscript"/>
        </w:rPr>
        <w:t xml:space="preserve">M</w:t>
      </w:r>
    </w:p>
    <w:p>
      <w:pPr>
        <w:spacing w:after="120" w:before="120" w:line="300"/>
        <w:jc w:val="center"/>
      </w:pPr>
      <w:r>
        <w:rPr>
          <w:rFonts w:ascii="Times New Roman" w:cs="Times New Roman" w:eastAsia="Times New Roman" w:hAnsi="Times New Roman"/>
          <w:i/>
          <w:iCs/>
          <w:sz w:val="24"/>
          <w:szCs w:val="24"/>
        </w:rPr>
        <w:t xml:space="preserve">число ⊗-операций = |I</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M</w:t>
      </w:r>
      <w:r>
        <w:rPr>
          <w:rFonts w:ascii="Times New Roman" w:cs="Times New Roman" w:eastAsia="Times New Roman" w:hAnsi="Times New Roman"/>
          <w:i/>
          <w:iCs/>
          <w:sz w:val="24"/>
          <w:szCs w:val="24"/>
        </w:rPr>
        <w:t xml:space="preserve">|,</w:t>
      </w:r>
    </w:p>
    <w:p>
      <w:pPr>
        <w:spacing w:after="120" w:before="120" w:line="300"/>
        <w:jc w:val="center"/>
      </w:pPr>
      <w:r>
        <w:rPr>
          <w:rFonts w:ascii="Times New Roman" w:cs="Times New Roman" w:eastAsia="Times New Roman" w:hAnsi="Times New Roman"/>
          <w:i/>
          <w:iCs/>
          <w:sz w:val="24"/>
          <w:szCs w:val="24"/>
        </w:rPr>
        <w:t xml:space="preserve">число ⊕-операций = (|I</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iCs/>
          <w:sz w:val="24"/>
          <w:szCs w:val="24"/>
        </w:rPr>
        <w:t xml:space="preserve">| − 1) · |I</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M</w:t>
      </w:r>
      <w:r>
        <w:rPr>
          <w:rFonts w:ascii="Times New Roman" w:cs="Times New Roman" w:eastAsia="Times New Roman" w:hAnsi="Times New Roman"/>
          <w:i/>
          <w:iCs/>
          <w:sz w:val="24"/>
          <w:szCs w:val="24"/>
        </w:rPr>
        <w:t xml:space="preserve">|,</w:t>
      </w:r>
    </w:p>
    <w:p>
      <w:pPr>
        <w:spacing w:after="120" w:before="120" w:line="300"/>
        <w:jc w:val="center"/>
      </w:pPr>
      <w:r>
        <w:rPr>
          <w:rFonts w:ascii="Times New Roman" w:cs="Times New Roman" w:eastAsia="Times New Roman" w:hAnsi="Times New Roman"/>
          <w:i/>
          <w:iCs/>
          <w:sz w:val="24"/>
          <w:szCs w:val="24"/>
        </w:rPr>
        <w:t xml:space="preserve">размер результата = |I</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iCs/>
          <w:sz w:val="24"/>
          <w:szCs w:val="24"/>
        </w:rPr>
        <w:t xml:space="preserve">| · |I</w:t>
      </w:r>
      <w:r>
        <w:rPr>
          <w:rFonts w:ascii="Times New Roman" w:cs="Times New Roman" w:eastAsia="Times New Roman" w:hAnsi="Times New Roman"/>
          <w:i/>
          <w:iCs/>
          <w:sz w:val="24"/>
          <w:szCs w:val="24"/>
          <w:vertAlign w:val="subscript"/>
        </w:rPr>
        <w:t xml:space="preserve">M</w:t>
      </w:r>
      <w:r>
        <w:rPr>
          <w:rFonts w:ascii="Times New Roman" w:cs="Times New Roman" w:eastAsia="Times New Roman" w:hAnsi="Times New Roman"/>
          <w:i/>
          <w:iCs/>
          <w:sz w:val="24"/>
          <w:szCs w:val="24"/>
        </w:rPr>
        <w:t xml:space="preserve">| ячеек.</w:t>
      </w:r>
    </w:p>
    <w:p>
      <w:pPr>
        <w:spacing w:after="120" w:before="0" w:line="300"/>
        <w:ind w:firstLine="567"/>
        <w:jc w:val="both"/>
      </w:pPr>
      <w:r>
        <w:rPr>
          <w:rFonts w:ascii="Times New Roman" w:cs="Times New Roman" w:eastAsia="Times New Roman" w:hAnsi="Times New Roman"/>
          <w:sz w:val="24"/>
          <w:szCs w:val="24"/>
        </w:rPr>
        <w:t xml:space="preserve">Стоимость плана есть сумма стоимостей его узлов, а требование к памяти — максимум размеров промежуточных результатов. Оптимизатор вычисляет обе величины до аллокации и отклоняет план, чей наибольший промежуточный результат превышает заданный бюджет, с объяснением причины, вместо того чтобы аварийно завершиться во время счёта.</w:t>
      </w:r>
    </w:p>
    <w:p>
      <w:pPr>
        <w:spacing w:after="120" w:before="0" w:line="300"/>
        <w:ind w:firstLine="567"/>
        <w:jc w:val="both"/>
      </w:pPr>
      <w:r>
        <w:rPr>
          <w:rFonts w:ascii="Times New Roman" w:cs="Times New Roman" w:eastAsia="Times New Roman" w:hAnsi="Times New Roman"/>
          <w:sz w:val="24"/>
          <w:szCs w:val="24"/>
        </w:rPr>
        <w:t xml:space="preserve">Для разреженных операндов формула заменяется на оценку, учитывающую фактор заполнения θ: для случая «разреженная × плотная» число ⊗-операций равно nnz · |I</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для случая «разреженная × разреженная» — сумме по общим ключам произведений мощностей соответствующих подсписков, что в худшем случае даёт произведение чисел ненулевых элементов.</w:t>
      </w:r>
    </w:p>
    <w:p>
      <w:pPr>
        <w:pStyle w:val="Heading2"/>
        <w:spacing w:after="160" w:before="240"/>
      </w:pPr>
      <w:r>
        <w:rPr>
          <w:rFonts w:ascii="Times New Roman" w:cs="Times New Roman" w:eastAsia="Times New Roman" w:hAnsi="Times New Roman"/>
          <w:b/>
          <w:bCs/>
          <w:sz w:val="24"/>
          <w:szCs w:val="24"/>
        </w:rPr>
        <w:t xml:space="preserve">3.3. Выбор порядка свёрток</w:t>
      </w:r>
    </w:p>
    <w:p>
      <w:pPr>
        <w:spacing w:after="120" w:before="0" w:line="300"/>
        <w:ind w:firstLine="567"/>
        <w:jc w:val="both"/>
      </w:pPr>
      <w:r>
        <w:rPr>
          <w:rFonts w:ascii="Times New Roman" w:cs="Times New Roman" w:eastAsia="Times New Roman" w:hAnsi="Times New Roman"/>
          <w:sz w:val="24"/>
          <w:szCs w:val="24"/>
        </w:rPr>
        <w:t xml:space="preserve">Задача поиска плана минимальной стоимости эквивалентна задаче оптимального стягивания тензорной сети и в общем случае NP-трудна: число различных деревьев растёт как двойной факториал (2n−3)!! — пятнадцать при n = 4 и свыше 3.4·10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при n = 10.</w:t>
      </w:r>
    </w:p>
    <w:p>
      <w:pPr>
        <w:spacing w:after="120" w:before="0" w:line="300"/>
        <w:ind w:firstLine="567"/>
        <w:jc w:val="both"/>
      </w:pPr>
      <w:r>
        <w:rPr>
          <w:rFonts w:ascii="Times New Roman" w:cs="Times New Roman" w:eastAsia="Times New Roman" w:hAnsi="Times New Roman"/>
          <w:sz w:val="24"/>
          <w:szCs w:val="24"/>
        </w:rPr>
        <w:t xml:space="preserve">При n ≤ 8 применяется полный перебор динамическим программированием по подмножествам операндов: для каждого подмножества запоминается минимальная стоимость его стягивания и соответствующий набор оставшихся индексов, после чего оптимум для объединения подмножеств получается перебором всех разбиений на две части.</w:t>
      </w:r>
    </w:p>
    <w:p>
      <w:pPr>
        <w:spacing w:after="120" w:before="0" w:line="300"/>
        <w:ind w:firstLine="567"/>
        <w:jc w:val="both"/>
      </w:pPr>
      <w:r>
        <w:rPr>
          <w:rFonts w:ascii="Times New Roman" w:cs="Times New Roman" w:eastAsia="Times New Roman" w:hAnsi="Times New Roman"/>
          <w:sz w:val="24"/>
          <w:szCs w:val="24"/>
        </w:rPr>
        <w:t xml:space="preserve">При n &gt; 8 применяется жадная стратегия: на каждом шаге среди всех пар оставшихся операндов выбирается пара с наименьшим значением функции стоимости данного шага; выбранная пара заменяется результатом, и шаг повторяется до единственного операнда. Жадный выбор не гарантирует оптимума, но по следствию 1 любой его результат корректен, а стоимость на планах рассматриваемого класса (три–пять операндов) от оптимальной практически не отличается.</w:t>
      </w:r>
    </w:p>
    <w:p>
      <w:pPr>
        <w:spacing w:after="120" w:before="0" w:line="300"/>
        <w:ind w:firstLine="567"/>
        <w:jc w:val="both"/>
      </w:pPr>
      <w:r>
        <w:rPr>
          <w:rFonts w:ascii="Times New Roman" w:cs="Times New Roman" w:eastAsia="Times New Roman" w:hAnsi="Times New Roman"/>
          <w:sz w:val="24"/>
          <w:szCs w:val="24"/>
        </w:rPr>
        <w:t xml:space="preserve">Найденный порядок кэшируется вместе с планом: как показано в §4.6, его пересчёт при каждом вызове на малых операндах стоит дороже самой свёртки.</w:t>
      </w:r>
    </w:p>
    <w:p>
      <w:pPr>
        <w:spacing w:after="120" w:before="0" w:line="300"/>
        <w:ind w:firstLine="567"/>
        <w:jc w:val="both"/>
      </w:pPr>
      <w:r>
        <w:rPr>
          <w:rFonts w:ascii="Times New Roman" w:cs="Times New Roman" w:eastAsia="Times New Roman" w:hAnsi="Times New Roman"/>
          <w:sz w:val="24"/>
          <w:szCs w:val="24"/>
        </w:rPr>
        <w:t xml:space="preserve">Эффект от выбора порядка иллюстрирует рассматриваемый запрос. При мощностях измерений 100, 100, 100 и 4 стягивание по полному индексному пространству потребовало бы 4·10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операций, тогда как оптимальный порядок даёт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+ 4·10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+ 4·10</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то есть около 1.04·10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 выигрыш почти в сорок раз при неизменном результате. Наибольший промежуточный результат при этом составляет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ячеек.</w:t>
      </w:r>
    </w:p>
    <w:p>
      <w:pPr>
        <w:pStyle w:val="Heading2"/>
        <w:spacing w:after="160" w:before="240"/>
      </w:pPr>
      <w:r>
        <w:rPr>
          <w:rFonts w:ascii="Times New Roman" w:cs="Times New Roman" w:eastAsia="Times New Roman" w:hAnsi="Times New Roman"/>
          <w:b/>
          <w:bCs/>
          <w:sz w:val="24"/>
          <w:szCs w:val="24"/>
        </w:rPr>
        <w:t xml:space="preserve">3.4. Сопоставление схемы распараллеливания</w:t>
      </w:r>
    </w:p>
    <w:p>
      <w:pPr>
        <w:spacing w:after="120" w:before="0" w:line="300"/>
        <w:ind w:firstLine="567"/>
        <w:jc w:val="both"/>
      </w:pPr>
      <w:r>
        <w:rPr>
          <w:rFonts w:ascii="Times New Roman" w:cs="Times New Roman" w:eastAsia="Times New Roman" w:hAnsi="Times New Roman"/>
          <w:sz w:val="24"/>
          <w:szCs w:val="24"/>
        </w:rPr>
        <w:t xml:space="preserve">Разбиение работы между узлами естественно вести по оси, присутствующей в результате: подзадачи выходят независимыми, и межузловая редукция не нужна. Но оси результата неравноценны по объёму пересылок.</w:t>
      </w:r>
    </w:p>
    <w:p>
      <w:pPr>
        <w:spacing w:after="120" w:before="0" w:line="300"/>
        <w:ind w:firstLine="567"/>
        <w:jc w:val="both"/>
      </w:pPr>
      <w:r>
        <w:rPr>
          <w:rFonts w:ascii="Times New Roman" w:cs="Times New Roman" w:eastAsia="Times New Roman" w:hAnsi="Times New Roman"/>
          <w:sz w:val="24"/>
          <w:szCs w:val="24"/>
        </w:rPr>
        <w:t xml:space="preserve">В [6] доказано утверждение: при λ &gt; 0 результат (λ, μ)-свёрнутого произведения составлен из сечений ориентации скоттовых индексов, каждое из которых есть произведение соответствующих сечений сомножителей с тем же набором значений этих индексов. Иначе говоря, одно (λ, μ)-произведение распадается на n^λ независимых (0, μ)-произведений над сечениями.</w:t>
      </w:r>
    </w:p>
    <w:p>
      <w:pPr>
        <w:spacing w:after="120" w:before="0" w:line="300"/>
        <w:ind w:firstLine="567"/>
        <w:jc w:val="both"/>
      </w:pPr>
      <w:r>
        <w:rPr>
          <w:rFonts w:ascii="Times New Roman" w:cs="Times New Roman" w:eastAsia="Times New Roman" w:hAnsi="Times New Roman"/>
          <w:sz w:val="24"/>
          <w:szCs w:val="24"/>
        </w:rPr>
        <w:t xml:space="preserve">Отсюда следует, что разбивать выгоднее именно по скоттовой оси: она режет оба сомножителя, и узел получает лишь свои срезы каждого. Разбиение по свободной оси режет только один операнд, а второй приходится реплицировать на все узлы целиком. Реализация следует этому порядку предпочтения; правило подтверждено измерением, приведённым в §4.9.</w:t>
      </w:r>
    </w:p>
    <w:p>
      <w:pPr>
        <w:spacing w:after="120" w:before="0" w:line="300"/>
        <w:ind w:firstLine="567"/>
        <w:jc w:val="both"/>
      </w:pPr>
      <w:r>
        <w:rPr>
          <w:rFonts w:ascii="Times New Roman" w:cs="Times New Roman" w:eastAsia="Times New Roman" w:hAnsi="Times New Roman"/>
          <w:sz w:val="24"/>
          <w:szCs w:val="24"/>
        </w:rPr>
        <w:t xml:space="preserve">Различие сохраняется на внутреннем уровне. В [6] полученные (0, μ)-произведения вычисляются обобщением алгоритма Кэннона — с систолической циркуляцией блоков между процессорами распределённой памяти и пересчётом блочных индексов через смешанные системы счисления; при этом требуется, чтобы мощности всех измерений совпадали. Настоящая работа на внутреннем уровне полагается на многопоточную реализацию BLAS в пределах одного узла, распределённого умножения не выполняет, но и ограничения на равенство мощностей измерений не накладывает.</w:t>
      </w:r>
    </w:p>
    <w:p>
      <w:pPr>
        <w:pStyle w:val="Heading1"/>
        <w:spacing w:after="160" w:before="320"/>
      </w:pPr>
      <w:r>
        <w:rPr>
          <w:rFonts w:ascii="Times New Roman" w:cs="Times New Roman" w:eastAsia="Times New Roman" w:hAnsi="Times New Roman"/>
          <w:b/>
          <w:bCs/>
          <w:sz w:val="26"/>
          <w:szCs w:val="26"/>
        </w:rPr>
        <w:t xml:space="preserve">4. Экспериментальная оценка</w:t>
      </w:r>
    </w:p>
    <w:p>
      <w:pPr>
        <w:spacing w:after="120" w:before="0" w:line="300"/>
        <w:ind w:firstLine="567"/>
        <w:jc w:val="both"/>
      </w:pPr>
      <w:r>
        <w:rPr>
          <w:rFonts w:ascii="Times New Roman" w:cs="Times New Roman" w:eastAsia="Times New Roman" w:hAnsi="Times New Roman"/>
          <w:sz w:val="24"/>
          <w:szCs w:val="24"/>
        </w:rPr>
        <w:t xml:space="preserve">Испытания проводились на процессоре AMD Ryzen 7 PRO 3700 (8 ядер, 16 потоков) под Ubuntu 24.04, Python 3.12.3, NumPy 2.5.2 с библиотекой scipy-openblas 0.3.34, pandas 3.0.5, DuckDB 1.5.5, ClickHouse 26.7.2 во встраиваемой сборке chdb 4.3.0. Использован тот же процессор, что и в работе [2], что делает сверку с опубликованными там результатами методически корректной. Каждый замер — минимум из нескольких прогонов после прогрева.</w:t>
      </w:r>
    </w:p>
    <w:p>
      <w:pPr>
        <w:spacing w:after="120" w:before="0" w:line="300"/>
        <w:ind w:firstLine="567"/>
        <w:jc w:val="both"/>
      </w:pPr>
      <w:r>
        <w:rPr>
          <w:rFonts w:ascii="Times New Roman" w:cs="Times New Roman" w:eastAsia="Times New Roman" w:hAnsi="Times New Roman"/>
          <w:sz w:val="24"/>
          <w:szCs w:val="24"/>
        </w:rPr>
        <w:t xml:space="preserve">Версии библиотек существенны: реализация свёртки опирается на BLAS, и приведённые числа воспроизводятся на указанном наборе версий, закреплённом в репозитории.</w:t>
      </w:r>
    </w:p>
    <w:p>
      <w:pPr>
        <w:spacing w:after="120" w:before="0" w:line="300"/>
        <w:ind w:firstLine="567"/>
        <w:jc w:val="both"/>
      </w:pPr>
      <w:r>
        <w:rPr>
          <w:rFonts w:ascii="Times New Roman" w:cs="Times New Roman" w:eastAsia="Times New Roman" w:hAnsi="Times New Roman"/>
          <w:sz w:val="24"/>
          <w:szCs w:val="24"/>
        </w:rPr>
        <w:t xml:space="preserve">Сравнение с колоночной СУБД устроено следующим образом. Результаты сверяются построчно, и расхождение считается провалом запроса; набор из одиннадцати запросов включает заведомо невыгодный для матричного подхода случай — запрос, не сворачивающий ни одного измерения; помимо замера в одной точке проведены развёртки по объёму фактов, размеру гиперкуба и перекосу распределения, позволяющие указать границу применимости. Там, где в таблицах сравнения применено полужирное начертание, им выделено наименьшее время в строке.</w:t>
      </w:r>
    </w:p>
    <w:p>
      <w:pPr>
        <w:spacing w:after="120" w:before="0" w:line="300"/>
        <w:ind w:firstLine="567"/>
        <w:jc w:val="both"/>
      </w:pPr>
      <w:r>
        <w:rPr>
          <w:rFonts w:ascii="Times New Roman" w:cs="Times New Roman" w:eastAsia="Times New Roman" w:hAnsi="Times New Roman"/>
          <w:sz w:val="24"/>
          <w:szCs w:val="24"/>
        </w:rPr>
        <w:t xml:space="preserve">В качестве системы сравнения взята DuckDB — колоночная аналитическая СУБД, работающая в одном процессе и в общей памяти с измеряемой реализацией, что исключает из замера сетевой обмен, сериализацию и клиент-серверные накладные расходы. По устройству исполнителя — колоночное хранение, векторизованная обработка, соединение хешированием — она принадлежит тому же классу, что ClickHouse и MonetDB, поэтому измеряется разница моделей исполнения, а не транспортных уровней; распределённое поведение при таком выборе, разумеется, не охвачено. Наконец, гиперкуб строится однократно, тогда как колоночная СУБД работает по сырым таблицам и выполняет соединение при каждом запросе, поэтому сравнение отвечает на вопрос «что выгоднее при повторных обращениях к неизменному набору данных» и всюду сопровождается расчётом окупаемости построения.</w:t>
      </w:r>
    </w:p>
    <w:p>
      <w:pPr>
        <w:pStyle w:val="Heading2"/>
        <w:spacing w:after="160" w:before="240"/>
      </w:pPr>
      <w:r>
        <w:rPr>
          <w:rFonts w:ascii="Times New Roman" w:cs="Times New Roman" w:eastAsia="Times New Roman" w:hAnsi="Times New Roman"/>
          <w:b/>
          <w:bCs/>
          <w:sz w:val="24"/>
          <w:szCs w:val="24"/>
        </w:rPr>
        <w:t xml:space="preserve">4.1. Сверка с опубликованным замером</w:t>
      </w:r>
    </w:p>
    <w:p>
      <w:pPr>
        <w:spacing w:after="120" w:before="0" w:line="300"/>
        <w:ind w:firstLine="567"/>
        <w:jc w:val="both"/>
      </w:pPr>
      <w:r>
        <w:rPr>
          <w:rFonts w:ascii="Times New Roman" w:cs="Times New Roman" w:eastAsia="Times New Roman" w:hAnsi="Times New Roman"/>
          <w:sz w:val="24"/>
          <w:szCs w:val="24"/>
        </w:rPr>
        <w:t xml:space="preserve">Времена (1,1)-свёрнутого произведения сопоставлены с опубликованными в [2] (табл. 5). Замер служит проверкой постановки: если реализуемая операция та же, порядок величин должен совпасть.</w:t>
      </w:r>
    </w:p>
    <w:p>
      <w:pPr>
        <w:spacing w:after="100" w:before="200" w:line="300"/>
      </w:pPr>
      <w:r>
        <w:rPr>
          <w:rFonts w:ascii="Times New Roman" w:cs="Times New Roman" w:eastAsia="Times New Roman" w:hAnsi="Times New Roman"/>
          <w:i/>
          <w:iCs/>
          <w:sz w:val="24"/>
          <w:szCs w:val="24"/>
        </w:rPr>
        <w:t xml:space="preserve">Таблица 5 — Время выполнения (1,1)-свёрнутого произведения, нс/операция</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76"/>
        <w:gridCol w:w="2259"/>
        <w:gridCol w:w="1694"/>
        <w:gridCol w:w="3671"/>
      </w:tblGrid>
      <w:tr>
        <w:trPr>
          <w:tblHeader/>
        </w:trPr>
        <w:tc>
          <w:tcPr>
            <w:tcW w:type="dxa" w:w="197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Размер данных</w:t>
            </w:r>
          </w:p>
        </w:tc>
        <w:tc>
          <w:tcPr>
            <w:tcW w:type="dxa" w:w="225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6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NumPy по [2]</w:t>
            </w:r>
          </w:p>
        </w:tc>
        <w:tc>
          <w:tcPr>
            <w:tcW w:type="dxa" w:w="367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Go последовательный по [2]</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2D 10×10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3 920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4 465</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1 686</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2D 100×100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40 810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18 323</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139 068</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3D 10×10×10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18 800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20 646</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553 848</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3D 100×100×100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3 217 925</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65 128 484</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5 357 979 300</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На двумерных матрицах времена сопоставимы с опубликованными, на трёхмерных 10×10×10 — тоже. Различие на 100×100×100 объясняется устройством вычисления: при λ = 1 произведение сводится к пакетному матричному умножению разложением на сечения (§4.6), и на кубе такого размера этот путь быстрее прямого стягивания по определению в 7.5 раза. Отрыв от последовательной реализации на Go составляет 1717 раз.</w:t>
      </w:r>
    </w:p>
    <w:p>
      <w:pPr>
        <w:spacing w:after="120" w:before="0" w:line="300"/>
        <w:ind w:firstLine="567"/>
        <w:jc w:val="both"/>
      </w:pPr>
      <w:r>
        <w:rPr>
          <w:rFonts w:ascii="Times New Roman" w:cs="Times New Roman" w:eastAsia="Times New Roman" w:hAnsi="Times New Roman"/>
          <w:sz w:val="24"/>
          <w:szCs w:val="24"/>
        </w:rPr>
        <w:t xml:space="preserve">Расхождение на двумерных данных разобрано в §4.6: там свёртка сводится к обычному матричному умножению, и разница определяется постоянными накладными расходами на разбор индексной спецификации.</w:t>
      </w:r>
    </w:p>
    <w:p>
      <w:pPr>
        <w:pStyle w:val="Heading2"/>
        <w:spacing w:after="160" w:before="240"/>
      </w:pPr>
      <w:r>
        <w:rPr>
          <w:rFonts w:ascii="Times New Roman" w:cs="Times New Roman" w:eastAsia="Times New Roman" w:hAnsi="Times New Roman"/>
          <w:b/>
          <w:bCs/>
          <w:sz w:val="24"/>
          <w:szCs w:val="24"/>
        </w:rPr>
        <w:t xml:space="preserve">4.2. Сравнение с колоночной СУБД: по сырым фактам и по материализованному агрегату</w:t>
      </w:r>
    </w:p>
    <w:p>
      <w:pPr>
        <w:spacing w:after="120" w:before="0" w:line="300"/>
        <w:ind w:firstLine="567"/>
        <w:jc w:val="both"/>
      </w:pPr>
      <w:r>
        <w:rPr>
          <w:rFonts w:ascii="Times New Roman" w:cs="Times New Roman" w:eastAsia="Times New Roman" w:hAnsi="Times New Roman"/>
          <w:sz w:val="24"/>
          <w:szCs w:val="24"/>
        </w:rPr>
        <w:t xml:space="preserve">Синтетическая звёздная схема: гиперкуб 100×100×100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ячеек), справочник товаров с ценами, справочник клиентов с регионами, иерархии дата → месяц → квартал. В качестве базы сравнения взята колоночная аналитическая СУБД DuckDB [11], работающая в оперативной памяти по тем же данным. Выполнялся набор из одиннадцати запросов; результаты сверялись построчно, поскольку замер без проверки правильности лишён смысла. Все одиннадцать результатов совпали. Выдача в обеих системах запрашивалась в виде кадра данных (см. §4.7 о влиянии формата выдачи), и обе работали на собственных внутренних представлениях: гиперкуб у одной, нативные таблицы у другой. Последнее существенно — чтение зарегистрированного кадра данных заставляет колоночную СУБД преобразовывать его при каждом запросе, и сравнение перестаёт быть сравнением исполнителей. Результаты при 500 тыс. строк фактов приведены в табл. 6.</w:t>
      </w:r>
    </w:p>
    <w:p>
      <w:pPr>
        <w:spacing w:after="100" w:before="200" w:line="300"/>
      </w:pPr>
      <w:r>
        <w:rPr>
          <w:rFonts w:ascii="Times New Roman" w:cs="Times New Roman" w:eastAsia="Times New Roman" w:hAnsi="Times New Roman"/>
          <w:i/>
          <w:iCs/>
          <w:sz w:val="24"/>
          <w:szCs w:val="24"/>
        </w:rPr>
        <w:t xml:space="preserve">Таблица 6 — Время выполнения запросов, мс (500 тыс. строк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560"/>
        <w:gridCol w:w="1726"/>
        <w:gridCol w:w="1079"/>
        <w:gridCol w:w="1079"/>
        <w:gridCol w:w="2157"/>
      </w:tblGrid>
      <w:tr>
        <w:trPr>
          <w:tblHeader/>
        </w:trPr>
        <w:tc>
          <w:tcPr>
            <w:tcW w:type="dxa" w:w="356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172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07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107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w:t>
            </w:r>
          </w:p>
        </w:tc>
        <w:tc>
          <w:tcPr>
            <w:tcW w:type="dxa" w:w="2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Окупаемость загрузки</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Скалярная сумма</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291 запрос</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Группировка по одному измерению</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1.02</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1.37</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458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со справочником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2.63</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2.2×</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112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и свёртка по иерархии</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3.09</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8.71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избирательным фильтром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3.20</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6.75</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45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Диапазонный фильтр</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1.52</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2.93</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114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Средний чек и число сделок</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2.63</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93 запроса</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Среднее</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1.75</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2.66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177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Умеренно широкий результат</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1.58</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7.14</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Широкий результат, 394 тыс. строк</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18.31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35.56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измерению</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7.56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 запросов</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Последний столбец отвечает на главный практический вопрос. Гиперкуб строится однократно за 159 мс, тогда как DuckDB работает по сырым таблицам и выполняет соединение при каждом запросе. Отсюда подход оправдан начиная с некоторого числа обращений к одному и тому же набору данных: от 10 запросов для широкой выдачи и 29 для соединения со свёрткой по иерархии до 458 для группировки по одному измерению, где абсолютная экономия мала.</w:t>
      </w:r>
    </w:p>
    <w:p>
      <w:pPr>
        <w:spacing w:after="120" w:before="0" w:line="300"/>
        <w:ind w:firstLine="567"/>
        <w:jc w:val="both"/>
      </w:pPr>
      <w:r>
        <w:rPr>
          <w:rFonts w:ascii="Times New Roman" w:cs="Times New Roman" w:eastAsia="Times New Roman" w:hAnsi="Times New Roman"/>
          <w:sz w:val="24"/>
          <w:szCs w:val="24"/>
        </w:rPr>
        <w:t xml:space="preserve">Величина порога определяется устройством загрузки. Основная часть её времени приходится на кодирование значений измерений в ординалы, а не на арифметику построения матрицы: при пословном обходе на кодирование уходит свыше 90 % времени, и лишь его векторизация двоичным поиском по отсортированному словарю доводит загрузку до приведённых 159 мс. Узкое место загрузки для систем этого класса — перевод значений в индексы. Расчёт окупаемости предполагает однородный поток запросов, то есть повторение запросов того же типа по неизменным данным; при разнородной нагрузке окупаемость следует считать по средневзвешенной экономии, а при непрерывно меняющихся данных построение куба возобновляется и приведённые числа неприменимы.</w:t>
      </w:r>
    </w:p>
    <w:p>
      <w:pPr>
        <w:spacing w:after="120" w:before="0" w:line="300"/>
        <w:ind w:firstLine="567"/>
        <w:jc w:val="both"/>
      </w:pPr>
      <w:r>
        <w:rPr>
          <w:rFonts w:ascii="Times New Roman" w:cs="Times New Roman" w:eastAsia="Times New Roman" w:hAnsi="Times New Roman"/>
          <w:sz w:val="24"/>
          <w:szCs w:val="24"/>
        </w:rPr>
        <w:t xml:space="preserve">Преимущество на всех одиннадцати запросах умеренное — от 1.3 до 4.5 раза, — и наименьшее оно там, где запрос сводится к одной агрегации: группировка по одному измерению даёт лишь 1.3 раза, поскольку свёртка обходит миллион ячеек, а колоночная СУБД хеширует полмиллиона строк в сотню групп, и такая хеш-таблица целиком помещается в кэш процессора. Отношение времён на разных запросах различается при этом втрое, и различие объясняется числом операций, сливающихся в одно стягивание, а не размером результата: свёртка дешевеет с каждым свёрнутым измерением, сборка результата — нет.</w:t>
      </w:r>
    </w:p>
    <w:p>
      <w:pPr>
        <w:spacing w:after="120" w:before="0" w:line="300"/>
        <w:ind w:firstLine="567"/>
        <w:jc w:val="both"/>
      </w:pPr>
      <w:r>
        <w:rPr>
          <w:rFonts w:ascii="Times New Roman" w:cs="Times New Roman" w:eastAsia="Times New Roman" w:hAnsi="Times New Roman"/>
          <w:sz w:val="24"/>
          <w:szCs w:val="24"/>
        </w:rPr>
        <w:t xml:space="preserve">Симметричное сравнение.</w:t>
      </w:r>
      <w:r>
        <w:rPr>
          <w:rFonts w:ascii="Times New Roman" w:cs="Times New Roman" w:eastAsia="Times New Roman" w:hAnsi="Times New Roman"/>
          <w:sz w:val="24"/>
          <w:szCs w:val="24"/>
        </w:rPr>
        <w:t xml:space="preserve"> Приведённый замер сопоставляет предпосчитанную сводку с обходом сырых фактов, то есть сравнивает не столько исполнители, сколько модели хранения. Чтобы отделить вклад алгебры от вклада предварительной агрегации, поставлен второй, симметричный опыт: DuckDB получает таблицу той же гранулярности, что и гиперкуб, — факт, свёрнутый до (клиент, товар, дата) и снабжённый счётчиком строк, то есть точный аналог гиперкуба вместе со спутниковым счётным кубом. Все одиннадцать запросов переписаны под эту таблицу, результаты по-прежнему сверяются построчно. Замер при 2 млн строк фактов приведён в табл. 7.</w:t>
      </w:r>
    </w:p>
    <w:p>
      <w:pPr>
        <w:spacing w:after="100" w:before="200" w:line="300"/>
      </w:pPr>
      <w:r>
        <w:rPr>
          <w:rFonts w:ascii="Times New Roman" w:cs="Times New Roman" w:eastAsia="Times New Roman" w:hAnsi="Times New Roman"/>
          <w:i/>
          <w:iCs/>
          <w:sz w:val="24"/>
          <w:szCs w:val="24"/>
        </w:rPr>
        <w:t xml:space="preserve">Таблица 7 — Симметричное сравнение: обе системы стартуют из предпосчитанной сводки, мс (2 млн строк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12"/>
        <w:gridCol w:w="1506"/>
        <w:gridCol w:w="1788"/>
        <w:gridCol w:w="1412"/>
        <w:gridCol w:w="1882"/>
      </w:tblGrid>
      <w:tr>
        <w:trPr>
          <w:tblHeader/>
        </w:trPr>
        <w:tc>
          <w:tcPr>
            <w:tcW w:type="dxa" w:w="30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150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78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 сырые факты</w:t>
            </w:r>
          </w:p>
        </w:tc>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 агрегат</w:t>
            </w:r>
          </w:p>
        </w:tc>
        <w:tc>
          <w:tcPr>
            <w:tcW w:type="dxa" w:w="18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агрегату</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Скалярная сумма</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0.40</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1.24</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0.96</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2.43×</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Группировка по одному измерению</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2.19</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1.40</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1.41×</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со справочником</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1.20</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3.71</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3.03</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2.53×</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и свёртка по иерархии</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3.13</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12.50</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10.30</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3.29×</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избирательным фильтром</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3.69</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10.01</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6.16</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1.67×</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Диапазонный фильтр</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1.34</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3.71</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2.91</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2.17×</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Средний чек и число сделок</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0.89</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3.32</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2.94</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3.30×</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Среднее</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1.71</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3.56</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3.11</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1.82×</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Умеренно широкий результат</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1.57</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10.22</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7.65</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4.88×</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Широкий результат, без свёртки</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37.28</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197.89</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73.30</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1.97×</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измерению</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1.99</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11.01</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8.19</w:t>
            </w:r>
          </w:p>
        </w:tc>
        <w:tc>
          <w:tcPr>
            <w:tcW w:type="dxa" w:w="18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4.11×</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Опыт разделяет два источника преимущества. Предпосчёт объясняет заметную его часть: против сырых фактов отношение доходит до 5.3 раза, против агрегата той же гранулярности — до 4.9, и на простой группировке падает с 2.2 до 1.4. Но преимущество не исчезает нигде, и наибольшим оно остаётся там, где несколько операций сливаются в одно стягивание. Это и есть вклад собственно алгебры, отделённый от вклада предварительной агрегации.</w:t>
      </w:r>
    </w:p>
    <w:p>
      <w:pPr>
        <w:spacing w:after="120" w:before="0" w:line="300"/>
        <w:ind w:firstLine="567"/>
        <w:jc w:val="both"/>
      </w:pPr>
      <w:r>
        <w:rPr>
          <w:rFonts w:ascii="Times New Roman" w:cs="Times New Roman" w:eastAsia="Times New Roman" w:hAnsi="Times New Roman"/>
          <w:sz w:val="24"/>
          <w:szCs w:val="24"/>
        </w:rPr>
        <w:t xml:space="preserve">Симметрия соблюдена и по стоимости построения: DuckDB строит свой агрегат за 116 мс, настоящая работа — гиперкуб за 722 мс, то есть вшестеро дольше. Гиперкуб при этом занимает 15 МиБ против 865 тыс. строк агрегата, а словари измерений добавляют к нему менее 2 % объёма (0.57 МиБ на словари при 25.6 МиБ кубов в замере с текстовыми ключами мощностью 5 тыс. и 336); каталог метаданных на этом фоне пренебрежимо мал. Итог опыта: предпосчёт объясняет преимущество на простых агрегациях, алгебра — на составных запросах.</w:t>
      </w:r>
    </w:p>
    <w:p>
      <w:pPr>
        <w:spacing w:after="120" w:before="0" w:line="300"/>
        <w:ind w:firstLine="567"/>
        <w:jc w:val="both"/>
      </w:pPr>
      <w:r>
        <w:rPr>
          <w:rFonts w:ascii="Times New Roman" w:cs="Times New Roman" w:eastAsia="Times New Roman" w:hAnsi="Times New Roman"/>
          <w:sz w:val="24"/>
          <w:szCs w:val="24"/>
        </w:rPr>
        <w:t xml:space="preserve">Сравнение с ClickHouse.</w:t>
      </w:r>
      <w:r>
        <w:rPr>
          <w:rFonts w:ascii="Times New Roman" w:cs="Times New Roman" w:eastAsia="Times New Roman" w:hAnsi="Times New Roman"/>
          <w:sz w:val="24"/>
          <w:szCs w:val="24"/>
        </w:rPr>
        <w:t xml:space="preserve"> DuckDB отвечает на возражение «сравните с колоночной СУБД». Отдельного ответа требует возражение «возьмите признанный OLAP-движок», и для него взята ClickHouse [12] во встраиваемой сборке chdb: она работает в том же процессе, что и остальные измеряемые системы, и потому сохраняет условие, на котором в стенд взята DuckDB. Выровнены четыре обстоятельства, каждое из которых иначе исказило бы результат: данные лежат в собственных таблицах каждой системы; число потоков у обоих движков равно числу ядер; столбцы объявлены не-nullable, иначе ClickHouse не принимает их в ключ сортировки и считает медленнее; наконец, у встраиваемой сборки измерены и вычтены постоянные накладные расходы на запрос — 0.70 мс, что на запросах в единицы миллисекунд составляет заметную долю. Результаты сверялись построчно во всех трёх системах и совпали. Замер при 5 млн строк фактов приведён в табл. 8.</w:t>
      </w:r>
    </w:p>
    <w:p>
      <w:pPr>
        <w:spacing w:after="100" w:before="200" w:line="300"/>
      </w:pPr>
      <w:r>
        <w:rPr>
          <w:rFonts w:ascii="Times New Roman" w:cs="Times New Roman" w:eastAsia="Times New Roman" w:hAnsi="Times New Roman"/>
          <w:i/>
          <w:iCs/>
          <w:sz w:val="24"/>
          <w:szCs w:val="24"/>
        </w:rPr>
        <w:t xml:space="preserve">Таблица 8 — Три исполнителя на одном наборе, мс (5 млн строк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44"/>
        <w:gridCol w:w="1422"/>
        <w:gridCol w:w="889"/>
        <w:gridCol w:w="889"/>
        <w:gridCol w:w="1600"/>
        <w:gridCol w:w="1956"/>
      </w:tblGrid>
      <w:tr>
        <w:trPr>
          <w:tblHeader/>
        </w:trPr>
        <w:tc>
          <w:tcPr>
            <w:tcW w:type="dxa" w:w="284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142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8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8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w:t>
            </w:r>
          </w:p>
        </w:tc>
        <w:tc>
          <w:tcPr>
            <w:tcW w:type="dxa" w:w="160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DuckDB</w:t>
            </w:r>
          </w:p>
        </w:tc>
        <w:tc>
          <w:tcPr>
            <w:tcW w:type="dxa" w:w="195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ClickHouse</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Скалярная сумма</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0.34</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2.45</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2.47</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Группировка по одному измерению</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1.03</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3.91</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4.46</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3.8×</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4.3×</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со справочником</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1.14</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6.74</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19.40</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5.9×</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17.0×</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и свёртка по иерархии</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7.68</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24.81</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57.62</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7.5×</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избирательным фильтром</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3.09</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14.17</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203.75</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4.6×</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66.0×</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Диапазонный фильтр</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1.47</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5.71</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19.16</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13.1×</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Средний чек и число сделок</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1.16</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5.83</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20.84</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18.0×</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Умеренно широкий результат</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1.63</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23.46</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60.58</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14.4×</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37.1×</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Широкий результат, без свёртки</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43.13</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266.83</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199.03</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6.2×</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4.6×</w:t>
            </w:r>
          </w:p>
        </w:tc>
      </w:tr>
      <w:tr>
        <w:trPr>
          <w:tblHeader w:val="false"/>
        </w:trPr>
        <w:tc>
          <w:tcPr>
            <w:tcW w:type="dxa" w:w="284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измерению</w:t>
            </w:r>
          </w:p>
        </w:tc>
        <w:tc>
          <w:tcPr>
            <w:tcW w:type="dxa" w:w="14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2.09</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21.75</w:t>
            </w:r>
          </w:p>
        </w:tc>
        <w:tc>
          <w:tcPr>
            <w:tcW w:type="dxa" w:w="8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7.60</w:t>
            </w:r>
          </w:p>
        </w:tc>
        <w:tc>
          <w:tcPr>
            <w:tcW w:type="dxa" w:w="16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10.4×</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Соотношение двух колоночных систем требует оговорки. На звёздной схеме ClickHouse уступает DuckDB почти везде, и тем сильнее, чем больше в запросе соединений — от 2.9 раза на соединении со справочником до четырнадцати на соединении с фильтром. Это согласуется с её устройством: ClickHouse рассчитана на широкие плоские таблицы и в собственной документации рекомендует денормализацию, тогда как рассматриваемый набор запросов нормализован по определению. Там, где соединений нет, соотношение обратное: точный подсчёт различных значений выполняется втрое быстрее, чем в DuckDB, и на широкой выдаче ClickHouse также впереди.</w:t>
      </w:r>
    </w:p>
    <w:p>
      <w:pPr>
        <w:spacing w:after="120" w:before="0" w:line="300"/>
        <w:ind w:firstLine="567"/>
        <w:jc w:val="both"/>
      </w:pPr>
      <w:r>
        <w:rPr>
          <w:rFonts w:ascii="Times New Roman" w:cs="Times New Roman" w:eastAsia="Times New Roman" w:hAnsi="Times New Roman"/>
          <w:sz w:val="24"/>
          <w:szCs w:val="24"/>
        </w:rPr>
        <w:t xml:space="preserve">Для настоящей работы важно, что добавление второй колоночной системы не изменило картины: преимущество матричного исполнения сохраняется против обеих и в том же диапазоне.</w:t>
      </w:r>
    </w:p>
    <w:p>
      <w:pPr>
        <w:pStyle w:val="Heading2"/>
        <w:spacing w:after="160" w:before="240"/>
      </w:pPr>
      <w:r>
        <w:rPr>
          <w:rFonts w:ascii="Times New Roman" w:cs="Times New Roman" w:eastAsia="Times New Roman" w:hAnsi="Times New Roman"/>
          <w:b/>
          <w:bCs/>
          <w:sz w:val="24"/>
          <w:szCs w:val="24"/>
        </w:rPr>
        <w:t xml:space="preserve">4.3. Зависимость от объёма фактов</w:t>
      </w:r>
    </w:p>
    <w:p>
      <w:pPr>
        <w:spacing w:after="120" w:before="0" w:line="300"/>
        <w:ind w:firstLine="567"/>
        <w:jc w:val="both"/>
      </w:pPr>
      <w:r>
        <w:rPr>
          <w:rFonts w:ascii="Times New Roman" w:cs="Times New Roman" w:eastAsia="Times New Roman" w:hAnsi="Times New Roman"/>
          <w:sz w:val="24"/>
          <w:szCs w:val="24"/>
        </w:rPr>
        <w:t xml:space="preserve">Замер в одной точке говорит мало, поэтому проведены развёртки по трём параметрам. Первая — по числу фактов при неизменном гиперкубе (табл. 9).</w:t>
      </w:r>
    </w:p>
    <w:p>
      <w:pPr>
        <w:spacing w:after="100" w:before="200" w:line="300"/>
      </w:pPr>
      <w:r>
        <w:rPr>
          <w:rFonts w:ascii="Times New Roman" w:cs="Times New Roman" w:eastAsia="Times New Roman" w:hAnsi="Times New Roman"/>
          <w:i/>
          <w:iCs/>
          <w:sz w:val="24"/>
          <w:szCs w:val="24"/>
        </w:rPr>
        <w:t xml:space="preserve">Таблица 9 — Преимущество при росте числа фактов, гиперкуб 100×100×100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94"/>
        <w:gridCol w:w="1402"/>
        <w:gridCol w:w="1294"/>
        <w:gridCol w:w="1834"/>
        <w:gridCol w:w="2265"/>
        <w:gridCol w:w="1510"/>
      </w:tblGrid>
      <w:tr>
        <w:trPr>
          <w:tblHeader/>
        </w:trPr>
        <w:tc>
          <w:tcPr>
            <w:tcW w:type="dxa" w:w="12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Строк фактов</w:t>
            </w:r>
          </w:p>
        </w:tc>
        <w:tc>
          <w:tcPr>
            <w:tcW w:type="dxa" w:w="140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2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Загрузка, мс</w:t>
            </w:r>
          </w:p>
        </w:tc>
        <w:tc>
          <w:tcPr>
            <w:tcW w:type="dxa" w:w="183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26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51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9.5 %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1.16×</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3.19×</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2.41×</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39.4 %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155</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1.24×</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3.77×</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2.07×</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2 000 000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86.5 %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787</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2.10×</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4.26×</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5.64×</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5 000 000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99.3 %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1 845</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3.61×</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7.80×</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5.80×</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Причина в устройстве модели: гиперкуб есть сводка постоянного размера. Сколько бы фактов ни поступило, число ячеек остаётся равным произведению мощностей измерений, и время свёртки не меняется — растёт лишь заполненность. Колоночная же СУБД обрабатывает при каждом запросе всё большее число строк. Преимущество поэтому растёт линейно с объёмом фактов: от 3.2 раза при 100 тыс. строк до 7.8 раза при 5 млн на запросе с соединением и свёрткой по иерархии, и от 1.2 до 3.6 раза на простой свёртке. Рост наблюдается по всем трём столбцам, то есть определяется устройством модели, а не видом запроса.</w:t>
      </w:r>
    </w:p>
    <w:p>
      <w:pPr>
        <w:spacing w:after="120" w:before="0" w:line="300"/>
        <w:ind w:firstLine="567"/>
        <w:jc w:val="both"/>
      </w:pPr>
      <w:r>
        <w:rPr>
          <w:rFonts w:ascii="Times New Roman" w:cs="Times New Roman" w:eastAsia="Times New Roman" w:hAnsi="Times New Roman"/>
          <w:sz w:val="24"/>
          <w:szCs w:val="24"/>
        </w:rPr>
        <w:t xml:space="preserve">Обратная сторона видна в столбце загрузки: однократное построение куба растёт линейно и при 5 млн строк занимает 1.8 с. Это плата за постоянство размера сводки — впрочем, после устранения узкого места в кодировании измерений (§4.2) плата уже невелика.</w:t>
      </w:r>
    </w:p>
    <w:p>
      <w:pPr>
        <w:pStyle w:val="Heading2"/>
        <w:spacing w:after="160" w:before="240"/>
      </w:pPr>
      <w:r>
        <w:rPr>
          <w:rFonts w:ascii="Times New Roman" w:cs="Times New Roman" w:eastAsia="Times New Roman" w:hAnsi="Times New Roman"/>
          <w:b/>
          <w:bCs/>
          <w:sz w:val="24"/>
          <w:szCs w:val="24"/>
        </w:rPr>
        <w:t xml:space="preserve">4.4. Зависимость от размера гиперкуба и граница применимости</w:t>
      </w:r>
    </w:p>
    <w:p>
      <w:pPr>
        <w:spacing w:after="120" w:before="0" w:line="300"/>
        <w:ind w:firstLine="567"/>
        <w:jc w:val="both"/>
      </w:pPr>
      <w:r>
        <w:rPr>
          <w:rFonts w:ascii="Times New Roman" w:cs="Times New Roman" w:eastAsia="Times New Roman" w:hAnsi="Times New Roman"/>
          <w:sz w:val="24"/>
          <w:szCs w:val="24"/>
        </w:rPr>
        <w:t xml:space="preserve">Вторая развёртка — по размеру гиперкуба при неизменных двух миллионах фактов (табл. 10). Число ячеек растёт кубически с мощностью измерений.</w:t>
      </w:r>
    </w:p>
    <w:p>
      <w:pPr>
        <w:spacing w:after="100" w:before="200" w:line="300"/>
      </w:pPr>
      <w:r>
        <w:rPr>
          <w:rFonts w:ascii="Times New Roman" w:cs="Times New Roman" w:eastAsia="Times New Roman" w:hAnsi="Times New Roman"/>
          <w:i/>
          <w:iCs/>
          <w:sz w:val="24"/>
          <w:szCs w:val="24"/>
        </w:rPr>
        <w:t xml:space="preserve">Таблица 10 — Преимущество при росте гиперкуба, 2 млн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89"/>
        <w:gridCol w:w="990"/>
        <w:gridCol w:w="1287"/>
        <w:gridCol w:w="1089"/>
        <w:gridCol w:w="1682"/>
        <w:gridCol w:w="2078"/>
        <w:gridCol w:w="1386"/>
      </w:tblGrid>
      <w:tr>
        <w:trPr>
          <w:tblHeader/>
        </w:trPr>
        <w:tc>
          <w:tcPr>
            <w:tcW w:type="dxa" w:w="10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Гиперкуб</w:t>
            </w:r>
          </w:p>
        </w:tc>
        <w:tc>
          <w:tcPr>
            <w:tcW w:type="dxa" w:w="99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Ячеек</w:t>
            </w:r>
          </w:p>
        </w:tc>
        <w:tc>
          <w:tcPr>
            <w:tcW w:type="dxa" w:w="128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0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МиБ</w:t>
            </w:r>
          </w:p>
        </w:tc>
        <w:tc>
          <w:tcPr>
            <w:tcW w:type="dxa" w:w="16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07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38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50×50×50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125 тыс.</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16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8.09×</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21.49×</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7.21×</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100×100×100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86.5 %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w:t>
            </w:r>
          </w:p>
        </w:tc>
        <w:tc>
          <w:tcPr>
            <w:tcW w:type="dxa" w:w="16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1.88×</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3.61×</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5.31×</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150×150×150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3.4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44.7 %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51</w:t>
            </w:r>
          </w:p>
        </w:tc>
        <w:tc>
          <w:tcPr>
            <w:tcW w:type="dxa" w:w="16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0.69×</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1.46×</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3.90×</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200×200×200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22.1 %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122</w:t>
            </w:r>
          </w:p>
        </w:tc>
        <w:tc>
          <w:tcPr>
            <w:tcW w:type="dxa" w:w="168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0.36×</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0.64×</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3.71×</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Здесь и проходит граница применимости. На кубе 200×200×200 матричное исполнение проигрывает колоночной СУБД и на простой агрегации (0.36×), и на соединении со свёрткой по иерархии (0.64×): свёртка обходит все восемь миллионов ячеек, из которых заполнена лишь пятая часть, тогда как DuckDB обрабатывает ровно два миллиона существующих строк. Преимущество сохраняется лишь на широкой выдаче, где обе системы заняты сборкой результата, а не счётом.</w:t>
      </w:r>
    </w:p>
    <w:p>
      <w:pPr>
        <w:spacing w:after="120" w:before="0" w:line="300"/>
        <w:ind w:firstLine="567"/>
        <w:jc w:val="both"/>
      </w:pPr>
      <w:r>
        <w:rPr>
          <w:rFonts w:ascii="Times New Roman" w:cs="Times New Roman" w:eastAsia="Times New Roman" w:hAnsi="Times New Roman"/>
          <w:sz w:val="24"/>
          <w:szCs w:val="24"/>
        </w:rPr>
        <w:t xml:space="preserve">Третья развёртка — по перекосу распределения при неизменных числе фактов и размере куба (табл. 11). Степенной закон означает, что немногие клиенты и товары дают большую часть продаж, — распределение, характерное для реальной торговли.</w:t>
      </w:r>
    </w:p>
    <w:p>
      <w:pPr>
        <w:spacing w:after="100" w:before="200" w:line="300"/>
      </w:pPr>
      <w:r>
        <w:rPr>
          <w:rFonts w:ascii="Times New Roman" w:cs="Times New Roman" w:eastAsia="Times New Roman" w:hAnsi="Times New Roman"/>
          <w:i/>
          <w:iCs/>
          <w:sz w:val="24"/>
          <w:szCs w:val="24"/>
        </w:rPr>
        <w:t xml:space="preserve">Таблица 11 — Влияние перекоса распределения, гиперкуб 200×200×100, 2 млн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82"/>
        <w:gridCol w:w="1504"/>
        <w:gridCol w:w="1966"/>
        <w:gridCol w:w="2429"/>
        <w:gridCol w:w="1619"/>
      </w:tblGrid>
      <w:tr>
        <w:trPr>
          <w:tblHeader/>
        </w:trPr>
        <w:tc>
          <w:tcPr>
            <w:tcW w:type="dxa" w:w="20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Показатель степени</w:t>
            </w:r>
          </w:p>
        </w:tc>
        <w:tc>
          <w:tcPr>
            <w:tcW w:type="dxa" w:w="15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96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42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0.0 (равномерно)</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39.4 %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0.62×</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1.18×</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4.89×</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0.6</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30.7 %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0.65×</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0.91×</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4.05×</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17.1 %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0.66×</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1.20×</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3.66×</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0.75×</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1.36×</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1.14×</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Заполненность падает впятеро, а отношение времён не меняется вовсе. Объяснение этому связывает все три развёртки в одно правило.</w:t>
      </w:r>
    </w:p>
    <w:p>
      <w:pPr>
        <w:spacing w:after="120" w:before="0" w:line="300"/>
        <w:ind w:firstLine="567"/>
        <w:jc w:val="both"/>
      </w:pPr>
      <w:r>
        <w:rPr>
          <w:rFonts w:ascii="Times New Roman" w:cs="Times New Roman" w:eastAsia="Times New Roman" w:hAnsi="Times New Roman"/>
          <w:sz w:val="24"/>
          <w:szCs w:val="24"/>
        </w:rPr>
        <w:t xml:space="preserve">Правило.</w:t>
      </w:r>
      <w:r>
        <w:rPr>
          <w:rFonts w:ascii="Times New Roman" w:cs="Times New Roman" w:eastAsia="Times New Roman" w:hAnsi="Times New Roman"/>
          <w:sz w:val="24"/>
          <w:szCs w:val="24"/>
        </w:rPr>
        <w:t xml:space="preserve"> Время свёртки определяется числом ячеек гиперкуба и не зависит ни от числа фактов, ни от их распределения. Время колоночной СУБД определяется числом строк. Отсюда напрашивается вывод, что отношение времён есть функция единственной величины — числа фактов, приходящихся на ячейку.</w:t>
      </w:r>
    </w:p>
    <w:p>
      <w:pPr>
        <w:spacing w:after="120" w:before="0" w:line="300"/>
        <w:ind w:firstLine="567"/>
        <w:jc w:val="both"/>
      </w:pPr>
      <w:r>
        <w:rPr>
          <w:rFonts w:ascii="Times New Roman" w:cs="Times New Roman" w:eastAsia="Times New Roman" w:hAnsi="Times New Roman"/>
          <w:sz w:val="24"/>
          <w:szCs w:val="24"/>
        </w:rPr>
        <w:t xml:space="preserve">Все три развёртки этому не противоречат. В первой ячейки постоянны, факты растут — отношение растёт. Во второй факты постоянны, ячейки растут — отношение падает. В третьей постоянны и то, и другое, меняется лишь распределение — отношение неизменно. Совпадают и точки из разных развёрток: 3.4 млн ячеек при 2 млн фактов (0.59 факта на ячейку) дают 0.69×, а 4 млн ячеек при тех же 2 млн фактов (0.5 факта на ячейку) — 0.62×.</w:t>
      </w:r>
    </w:p>
    <w:p>
      <w:pPr>
        <w:spacing w:after="120" w:before="0" w:line="300"/>
        <w:ind w:firstLine="567"/>
        <w:jc w:val="both"/>
      </w:pPr>
      <w:r>
        <w:rPr>
          <w:rFonts w:ascii="Times New Roman" w:cs="Times New Roman" w:eastAsia="Times New Roman" w:hAnsi="Times New Roman"/>
          <w:sz w:val="24"/>
          <w:szCs w:val="24"/>
        </w:rPr>
        <w:t xml:space="preserve">Однако согласие трёх развёрток с гипотезой ещё не есть её проверка: во всех трёх обе величины менялись одновременно. Управляемый опыт, разделяющий их, приведён в §4.10, и он показывает, что одной величины недостаточно.</w:t>
      </w:r>
    </w:p>
    <w:p>
      <w:pPr>
        <w:spacing w:after="120" w:before="0" w:line="300"/>
        <w:ind w:firstLine="567"/>
        <w:jc w:val="both"/>
      </w:pPr>
      <w:r>
        <w:rPr>
          <w:rFonts w:ascii="Times New Roman" w:cs="Times New Roman" w:eastAsia="Times New Roman" w:hAnsi="Times New Roman"/>
          <w:sz w:val="24"/>
          <w:szCs w:val="24"/>
        </w:rPr>
        <w:t xml:space="preserve">Отсюда предварительный критерий применимости: подход выгоден, когда на ячейку гиперкуба приходится порядка одного факта и более; уточнённая его форма дана в §4.10. При 0.25 факта на ячейку матричное исполнение уступает колоночной СУБД втрое на простой агрегации и в полтора раза на составном запросе; при 0.5 — уступает ещё; при двух фактах на ячейку выигрывает вдвое, при пяти — вчетверо. Поскольку число ячеек есть произведение мощностей измерений, критерий переводится в требование к схеме: измерения должны быть достаточно грубыми, а при мелких — гиперкуб следует строить не по всем сразу.</w:t>
      </w:r>
    </w:p>
    <w:p>
      <w:pPr>
        <w:spacing w:after="120" w:before="0" w:line="300"/>
        <w:ind w:firstLine="567"/>
        <w:jc w:val="both"/>
      </w:pPr>
      <w:r>
        <w:rPr>
          <w:rFonts w:ascii="Times New Roman" w:cs="Times New Roman" w:eastAsia="Times New Roman" w:hAnsi="Times New Roman"/>
          <w:sz w:val="24"/>
          <w:szCs w:val="24"/>
        </w:rPr>
        <w:t xml:space="preserve">Перекос распределения, таким образом, ничего не меняет: разреженность сама по себе не помогает, пока представление остаётся плотным. Что даёт переход к разреженному представлению, показано в следующем разделе.</w:t>
      </w:r>
    </w:p>
    <w:p>
      <w:pPr>
        <w:pStyle w:val="Heading2"/>
        <w:spacing w:after="160" w:before="240"/>
      </w:pPr>
      <w:r>
        <w:rPr>
          <w:rFonts w:ascii="Times New Roman" w:cs="Times New Roman" w:eastAsia="Times New Roman" w:hAnsi="Times New Roman"/>
          <w:b/>
          <w:bCs/>
          <w:sz w:val="24"/>
          <w:szCs w:val="24"/>
        </w:rPr>
        <w:t xml:space="preserve">4.5. Плотное и разреженное представления</w:t>
      </w:r>
    </w:p>
    <w:p>
      <w:pPr>
        <w:spacing w:after="120" w:before="0" w:line="300"/>
        <w:ind w:firstLine="567"/>
        <w:jc w:val="both"/>
      </w:pPr>
      <w:r>
        <w:rPr>
          <w:rFonts w:ascii="Times New Roman" w:cs="Times New Roman" w:eastAsia="Times New Roman" w:hAnsi="Times New Roman"/>
          <w:sz w:val="24"/>
          <w:szCs w:val="24"/>
        </w:rPr>
        <w:t xml:space="preserve">Реальные таблицы фактов дают гиперкубы с малой заполненностью, поэтому реализовано разреженное представление в координатном формате с собственными ядрами свёртки: для случая «разреженная × плотная» — выборка значений по координатам, для случая «разреженная × разреженная» — хеш-соединение по общим индексам.</w:t>
      </w:r>
    </w:p>
    <w:p>
      <w:pPr>
        <w:spacing w:after="120" w:before="0" w:line="300"/>
        <w:ind w:firstLine="567"/>
        <w:jc w:val="both"/>
      </w:pPr>
      <w:r>
        <w:rPr>
          <w:rFonts w:ascii="Times New Roman" w:cs="Times New Roman" w:eastAsia="Times New Roman" w:hAnsi="Times New Roman"/>
          <w:sz w:val="24"/>
          <w:szCs w:val="24"/>
        </w:rPr>
        <w:t xml:space="preserve">Прежде замера проверено, что следствие 1 сохраняется и на разреженном пути. Теорема 2 доказана для алгебраических тождеств и от представления не зависит, однако разреженные ядра суммируют вклады в ином порядке, чем плотные, и на числах с плавающей точкой равенство могло бы нарушиться неассоциативностью округления. Цепочка из трёх разреженных гиперкубов, свёрнутая в обоих порядках, дала совпадение с максимальным расхождением 2.2·10</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то есть на уровне машинного эпсилона; оба порядка совпали и с плотным эталоном. Переписывание плана, таким образом, остаётся корректным независимо от выбранного представления, и оптимизатору не требуется знать о нём.</w:t>
      </w:r>
    </w:p>
    <w:p>
      <w:pPr>
        <w:spacing w:after="120" w:before="0" w:line="300"/>
        <w:ind w:firstLine="567"/>
        <w:jc w:val="both"/>
      </w:pPr>
      <w:r>
        <w:rPr>
          <w:rFonts w:ascii="Times New Roman" w:cs="Times New Roman" w:eastAsia="Times New Roman" w:hAnsi="Times New Roman"/>
          <w:sz w:val="24"/>
          <w:szCs w:val="24"/>
        </w:rPr>
        <w:t xml:space="preserve">Замер проведён на двух запросах разной формы, и различие между ними определяет исход (табл. 12). Запрос Q1 — группировка по одному измерению, то есть свёртка двух осей одного куба; запрос Q2 — соединение со справочником цен и свёртка по иерархии, то есть стягивание четырёх операндов.</w:t>
      </w:r>
    </w:p>
    <w:p>
      <w:pPr>
        <w:spacing w:after="100" w:before="200" w:line="300"/>
      </w:pPr>
      <w:r>
        <w:rPr>
          <w:rFonts w:ascii="Times New Roman" w:cs="Times New Roman" w:eastAsia="Times New Roman" w:hAnsi="Times New Roman"/>
          <w:i/>
          <w:iCs/>
          <w:sz w:val="24"/>
          <w:szCs w:val="24"/>
        </w:rPr>
        <w:t xml:space="preserve">Таблица 12 — Плотное и разреженное представления, гиперкуб 10</w:t>
      </w:r>
      <w:r>
        <w:rPr>
          <w:rFonts w:ascii="Times New Roman" w:cs="Times New Roman" w:eastAsia="Times New Roman" w:hAnsi="Times New Roman"/>
          <w:i/>
          <w:iCs/>
          <w:sz w:val="24"/>
          <w:szCs w:val="24"/>
          <w:vertAlign w:val="superscript"/>
        </w:rPr>
        <w:t xml:space="preserve">6</w:t>
      </w:r>
      <w:r>
        <w:rPr>
          <w:rFonts w:ascii="Times New Roman" w:cs="Times New Roman" w:eastAsia="Times New Roman" w:hAnsi="Times New Roman"/>
          <w:i/>
          <w:iCs/>
          <w:sz w:val="24"/>
          <w:szCs w:val="24"/>
        </w:rPr>
        <w:t xml:space="preserve"> ячеек</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4"/>
        <w:gridCol w:w="1529"/>
        <w:gridCol w:w="1869"/>
        <w:gridCol w:w="1104"/>
        <w:gridCol w:w="1444"/>
        <w:gridCol w:w="1104"/>
        <w:gridCol w:w="1444"/>
      </w:tblGrid>
      <w:tr>
        <w:trPr>
          <w:tblHeader/>
        </w:trPr>
        <w:tc>
          <w:tcPr>
            <w:tcW w:type="dxa" w:w="11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52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плотно, МиБ</w:t>
            </w:r>
          </w:p>
        </w:tc>
        <w:tc>
          <w:tcPr>
            <w:tcW w:type="dxa" w:w="186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разреженно, МиБ</w:t>
            </w:r>
          </w:p>
        </w:tc>
        <w:tc>
          <w:tcPr>
            <w:tcW w:type="dxa" w:w="11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Q1 плотно, мс</w:t>
            </w:r>
          </w:p>
        </w:tc>
        <w:tc>
          <w:tcPr>
            <w:tcW w:type="dxa" w:w="144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Q1 разреженно, мс</w:t>
            </w:r>
          </w:p>
        </w:tc>
        <w:tc>
          <w:tcPr>
            <w:tcW w:type="dxa" w:w="11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Q2 плотно, мс</w:t>
            </w:r>
          </w:p>
        </w:tc>
        <w:tc>
          <w:tcPr>
            <w:tcW w:type="dxa" w:w="144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Q2 разреженно, мс</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39.3 %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12.00</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0.77</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8.08</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1.04</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29.90</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13.9 %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4.25</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0.72</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2.40</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0.89</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12.57</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6.1 %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1.85</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0.72</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1.05</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0.88</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5.94</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3.1 %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0.94</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0.69</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0.65</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0.88</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3.42</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0.38</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0.66</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0.34</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0.93</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1.86</w:t>
            </w:r>
          </w:p>
        </w:tc>
      </w:tr>
      <w:tr>
        <w:trPr>
          <w:tblHeader w:val="false"/>
        </w:trPr>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0.6 %</w:t>
            </w:r>
          </w:p>
        </w:tc>
        <w:tc>
          <w:tcPr>
            <w:tcW w:type="dxa" w:w="15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186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0.19</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0.73</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0.25</w:t>
            </w:r>
          </w:p>
        </w:tc>
        <w:tc>
          <w:tcPr>
            <w:tcW w:type="dxa" w:w="11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0.88</w:t>
            </w:r>
          </w:p>
        </w:tc>
        <w:tc>
          <w:tcPr>
            <w:tcW w:type="dxa" w:w="144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1.17</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По памяти разреженное представление выигрывает начиная примерно с 25 % заполнения, а при 0.6 % экономит уже в сорок раз. Время зависит от формы запроса, и в этом состоит основной результат замера.</w:t>
      </w:r>
    </w:p>
    <w:p>
      <w:pPr>
        <w:spacing w:after="120" w:before="0" w:line="300"/>
        <w:ind w:firstLine="567"/>
        <w:jc w:val="both"/>
      </w:pPr>
      <w:r>
        <w:rPr>
          <w:rFonts w:ascii="Times New Roman" w:cs="Times New Roman" w:eastAsia="Times New Roman" w:hAnsi="Times New Roman"/>
          <w:sz w:val="24"/>
          <w:szCs w:val="24"/>
        </w:rPr>
        <w:t xml:space="preserve">На свёртке двух осей (Q1) разреженный путь обгоняет плотный ниже примерно 3 % заполнения и при 0.6 % оказывается быстрее втрое. Причина в том, что плотная свёртка обходит все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ячеек независимо от того, сколько из них заполнено, тогда как разреженная работает с числом ненулевых элементов. Время плотного пути в столбце Q1 при этом не меняется вовсе — 0.66–0.77 мс на всех уровнях заполнения. Это то же правило, что и в §4.4, измеренное с другой стороны.</w:t>
      </w:r>
    </w:p>
    <w:p>
      <w:pPr>
        <w:spacing w:after="120" w:before="0" w:line="300"/>
        <w:ind w:firstLine="567"/>
        <w:jc w:val="both"/>
      </w:pPr>
      <w:r>
        <w:rPr>
          <w:rFonts w:ascii="Times New Roman" w:cs="Times New Roman" w:eastAsia="Times New Roman" w:hAnsi="Times New Roman"/>
          <w:sz w:val="24"/>
          <w:szCs w:val="24"/>
        </w:rPr>
        <w:t xml:space="preserve">На запросе с соединением и свёрткой по иерархии (Q2) разреженный путь не выигрывает нигде: при 0.6 % заполнения он на треть медленнее, а при 39 % — в двадцать девять раз. Причина в числе операндов: плотный путь стягивает все четыре одним вызовом einsum поверх BLAS, тогда как разреженный вынужден выполнять последовательность хеш-соединений, и выигрыш от малого числа ненулевых элементов съедается их стоимостью.</w:t>
      </w:r>
    </w:p>
    <w:p>
      <w:pPr>
        <w:spacing w:after="120" w:before="0" w:line="300"/>
        <w:ind w:firstLine="567"/>
        <w:jc w:val="both"/>
      </w:pPr>
      <w:r>
        <w:rPr>
          <w:rFonts w:ascii="Times New Roman" w:cs="Times New Roman" w:eastAsia="Times New Roman" w:hAnsi="Times New Roman"/>
          <w:sz w:val="24"/>
          <w:szCs w:val="24"/>
        </w:rPr>
        <w:t xml:space="preserve">Отсюда правило, принятое в реализации. Порог перехода к разреженному хранению установлен на уровне 2 % заполнения, то есть вблизи точки безубыточности простого запроса и заведомо ниже точки безубыточности составного. Порог един для всех запросов, поэтому выбирать его надлежит по худшей их форме: система, настроенная на Q1, замедлила бы Q2 в разы. Отсюда и направление дальнейшей работы — принимать выбор представления не только по заполненности, но и по числу операндов плана, то есть делать его решением оптимизатора, а не загрузчика.</w:t>
      </w:r>
    </w:p>
    <w:p>
      <w:pPr>
        <w:pStyle w:val="Heading2"/>
        <w:spacing w:after="160" w:before="240"/>
      </w:pPr>
      <w:r>
        <w:rPr>
          <w:rFonts w:ascii="Times New Roman" w:cs="Times New Roman" w:eastAsia="Times New Roman" w:hAnsi="Times New Roman"/>
          <w:b/>
          <w:bCs/>
          <w:sz w:val="24"/>
          <w:szCs w:val="24"/>
        </w:rPr>
        <w:t xml:space="preserve">4.6. Выбор способа обращения к BLAS</w:t>
      </w:r>
    </w:p>
    <w:p>
      <w:pPr>
        <w:spacing w:after="120" w:before="0" w:line="300"/>
        <w:ind w:firstLine="567"/>
        <w:jc w:val="both"/>
      </w:pPr>
      <w:r>
        <w:rPr>
          <w:rFonts w:ascii="Times New Roman" w:cs="Times New Roman" w:eastAsia="Times New Roman" w:hAnsi="Times New Roman"/>
          <w:sz w:val="24"/>
          <w:szCs w:val="24"/>
        </w:rPr>
        <w:t xml:space="preserve">Способ обращения к BLAS определяет исход, и выбирается он по-разному в двух случаях — при λ = 0 и при λ ≥ 1.</w:t>
      </w:r>
    </w:p>
    <w:p>
      <w:pPr>
        <w:spacing w:after="120" w:before="0" w:line="300"/>
        <w:ind w:firstLine="567"/>
        <w:jc w:val="both"/>
      </w:pPr>
      <w:r>
        <w:rPr>
          <w:rFonts w:ascii="Times New Roman" w:cs="Times New Roman" w:eastAsia="Times New Roman" w:hAnsi="Times New Roman"/>
          <w:sz w:val="24"/>
          <w:szCs w:val="24"/>
        </w:rPr>
        <w:t xml:space="preserve">Случай λ = 0 разобран в табл. 13: для рассматриваемого запроса измерены единый вызов einsum с заранее вычисленным порядком свёрток; цепочка из явных вызовов tensordot и матричного умножения; цепочка из двух вызовов einsum.</w:t>
      </w:r>
    </w:p>
    <w:p>
      <w:pPr>
        <w:spacing w:after="100" w:before="200" w:line="300"/>
      </w:pPr>
      <w:r>
        <w:rPr>
          <w:rFonts w:ascii="Times New Roman" w:cs="Times New Roman" w:eastAsia="Times New Roman" w:hAnsi="Times New Roman"/>
          <w:i/>
          <w:iCs/>
          <w:sz w:val="24"/>
          <w:szCs w:val="24"/>
        </w:rPr>
        <w:t xml:space="preserve">Таблица 13 — Способы вычисления одного и того же выражения,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855"/>
        <w:gridCol w:w="1745"/>
      </w:tblGrid>
      <w:tr>
        <w:trPr>
          <w:tblHeader/>
        </w:trPr>
        <w:tc>
          <w:tcPr>
            <w:tcW w:type="dxa" w:w="785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Способ</w:t>
            </w:r>
          </w:p>
        </w:tc>
        <w:tc>
          <w:tcPr>
            <w:tcW w:type="dxa" w:w="174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Время</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Две последовательные свёртки einsum</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0.45</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Единый einsum с кэшированным порядком свёрток</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1.53</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Цепочка tensordot и матричного умножения</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2.32</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Явные вызовы BLAS-функций оказались самыми медленными: tensordot вынуждена копировать массив, чтобы переставить свёртываемую ось в конец, тогда как einsum стягивает без копирования. Но и единый einsum уступает разбиению того же выражения на две последовательные свёртки втрое — при том, что порядок стягивания в обоих случаях один и тот же и найден заранее. Разница здесь целиком внутри библиотеки: при четырёх операндах её планировщик выбирает иной способ исполнения, чем при двух. Прямые вызовы BLAS выигрывают лишь для ранга 2, где перестановка осей не нужна (56 мкс против 65 мкс на матрицах 100×100); постоянные накладные расходы einsum на разбор индексной спецификации составляют около 14 мкс и на малых данных доминируют — этим объясняется расхождение с [2] в двумерных строках табл. 5. В реализации введён порог, ниже которого поиск порядка свёрток не выполняется вовсе, а найденные порядки кэшируются по формам операндов.</w:t>
      </w:r>
    </w:p>
    <w:p>
      <w:pPr>
        <w:spacing w:after="120" w:before="0" w:line="300"/>
        <w:ind w:firstLine="567"/>
        <w:jc w:val="both"/>
      </w:pPr>
      <w:r>
        <w:rPr>
          <w:rFonts w:ascii="Times New Roman" w:cs="Times New Roman" w:eastAsia="Times New Roman" w:hAnsi="Times New Roman"/>
          <w:sz w:val="24"/>
          <w:szCs w:val="24"/>
        </w:rPr>
        <w:t xml:space="preserve">Случай λ ≥ 1 устроен иначе. Здесь у операции есть индекс, общий обоим сомножителям и сохраняемый в результате, а у tensordot пакетного измерения нет — и einsum_path, не найдя сведения к матричному умножению, уходит в собственный цикл на C, теряя BLAS целиком. Именно λ-индексы отличают свёрнутое произведение от тензорной свёртки, так что потеря приходится ровно на ту часть алгебры, которая для настоящей работы существенна.</w:t>
      </w:r>
    </w:p>
    <w:p>
      <w:pPr>
        <w:spacing w:after="120" w:before="0" w:line="300"/>
        <w:ind w:firstLine="567"/>
        <w:jc w:val="both"/>
      </w:pPr>
      <w:r>
        <w:rPr>
          <w:rFonts w:ascii="Times New Roman" w:cs="Times New Roman" w:eastAsia="Times New Roman" w:hAnsi="Times New Roman"/>
          <w:sz w:val="24"/>
          <w:szCs w:val="24"/>
        </w:rPr>
        <w:t xml:space="preserve">Обход даёт сама алгебра. По утверждению из [6], процитированному в §3.4, при λ ≥ 1 результат составлен из сечений ориентации скоттовых индексов, каждое из которых есть (0, μ)-произведение соответствующих сечений сомножителей. Набор одинаковых (0, μ)-произведений над сечениями — это в точности то, что исполняет пакетный gemm: после перестановки скоттовых осей в начало и свёртки групп осей в по одному измерению операция записывается как</w:t>
      </w:r>
    </w:p>
    <w:p>
      <w:pPr>
        <w:spacing w:after="120" w:before="120" w:line="300"/>
        <w:jc w:val="center"/>
      </w:pPr>
      <w:r>
        <w:rPr>
          <w:rFonts w:ascii="Times New Roman" w:cs="Times New Roman" w:eastAsia="Times New Roman" w:hAnsi="Times New Roman"/>
          <w:i/>
          <w:iCs/>
          <w:sz w:val="24"/>
          <w:szCs w:val="24"/>
        </w:rPr>
        <w:t xml:space="preserve">A[L | S | C] → (|S|, |L|, |C|),  B[S | C | M] → (|S|, |C|, |M|),  matmul → (|S|, |L|, |M|) → C[L | S | M].</w:t>
      </w:r>
    </w:p>
    <w:p>
      <w:pPr>
        <w:spacing w:after="120" w:before="0" w:line="300"/>
        <w:ind w:firstLine="567"/>
        <w:jc w:val="both"/>
      </w:pPr>
      <w:r>
        <w:rPr>
          <w:rFonts w:ascii="Times New Roman" w:cs="Times New Roman" w:eastAsia="Times New Roman" w:hAnsi="Times New Roman"/>
          <w:sz w:val="24"/>
          <w:szCs w:val="24"/>
        </w:rPr>
        <w:t xml:space="preserve">Цена этого разложения измерена в табл. 14: свёртывается матрица 200×200×120 с матрицей 200×120×|M| при λ = 1, μ = 1. Базой сравнения взято прямое стягивание по определению — вычисление суммы (2) перебором всех индексов, без сведения к матричному умножению.</w:t>
      </w:r>
    </w:p>
    <w:p>
      <w:pPr>
        <w:spacing w:after="100" w:before="200" w:line="300"/>
      </w:pPr>
      <w:r>
        <w:rPr>
          <w:rFonts w:ascii="Times New Roman" w:cs="Times New Roman" w:eastAsia="Times New Roman" w:hAnsi="Times New Roman"/>
          <w:i/>
          <w:iCs/>
          <w:sz w:val="24"/>
          <w:szCs w:val="24"/>
        </w:rPr>
        <w:t xml:space="preserve">Таблица 14 — Прямое стягивание против разложения на сечения при λ = 1,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267"/>
        <w:gridCol w:w="2800"/>
        <w:gridCol w:w="1333"/>
      </w:tblGrid>
      <w:tr>
        <w:trPr>
          <w:tblHeader/>
        </w:trPr>
        <w:tc>
          <w:tcPr>
            <w:tcW w:type="dxa" w:w="320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Мощность свободной оси B</w:t>
            </w:r>
          </w:p>
        </w:tc>
        <w:tc>
          <w:tcPr>
            <w:tcW w:type="dxa" w:w="226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Прямое стягивание</w:t>
            </w:r>
          </w:p>
        </w:tc>
        <w:tc>
          <w:tcPr>
            <w:tcW w:type="dxa" w:w="280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Разложение на сечения</w:t>
            </w:r>
          </w:p>
        </w:tc>
        <w:tc>
          <w:tcPr>
            <w:tcW w:type="dxa" w:w="13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w:t>
            </w:r>
          </w:p>
        </w:tc>
      </w:tr>
      <w:tr>
        <w:trPr>
          <w:tblHeader w:val="false"/>
        </w:trPr>
        <w:tc>
          <w:tcPr>
            <w:tcW w:type="dxa" w:w="32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226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27.99</w:t>
            </w:r>
          </w:p>
        </w:tc>
        <w:tc>
          <w:tcPr>
            <w:tcW w:type="dxa" w:w="28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2.90</w:t>
            </w:r>
          </w:p>
        </w:tc>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9.7×</w:t>
            </w:r>
          </w:p>
        </w:tc>
      </w:tr>
      <w:tr>
        <w:trPr>
          <w:tblHeader w:val="false"/>
        </w:trPr>
        <w:tc>
          <w:tcPr>
            <w:tcW w:type="dxa" w:w="32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w:t>
            </w:r>
          </w:p>
        </w:tc>
        <w:tc>
          <w:tcPr>
            <w:tcW w:type="dxa" w:w="226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35.01</w:t>
            </w:r>
          </w:p>
        </w:tc>
        <w:tc>
          <w:tcPr>
            <w:tcW w:type="dxa" w:w="28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3.60</w:t>
            </w:r>
          </w:p>
        </w:tc>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9.7×</w:t>
            </w:r>
          </w:p>
        </w:tc>
      </w:tr>
      <w:tr>
        <w:trPr>
          <w:tblHeader w:val="false"/>
        </w:trPr>
        <w:tc>
          <w:tcPr>
            <w:tcW w:type="dxa" w:w="32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w:t>
            </w:r>
          </w:p>
        </w:tc>
        <w:tc>
          <w:tcPr>
            <w:tcW w:type="dxa" w:w="226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54.89</w:t>
            </w:r>
          </w:p>
        </w:tc>
        <w:tc>
          <w:tcPr>
            <w:tcW w:type="dxa" w:w="28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5.12</w:t>
            </w:r>
          </w:p>
        </w:tc>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10.7×</w:t>
            </w:r>
          </w:p>
        </w:tc>
      </w:tr>
      <w:tr>
        <w:trPr>
          <w:tblHeader w:val="false"/>
        </w:trPr>
        <w:tc>
          <w:tcPr>
            <w:tcW w:type="dxa" w:w="32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200</w:t>
            </w:r>
          </w:p>
        </w:tc>
        <w:tc>
          <w:tcPr>
            <w:tcW w:type="dxa" w:w="226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403.85</w:t>
            </w:r>
          </w:p>
        </w:tc>
        <w:tc>
          <w:tcPr>
            <w:tcW w:type="dxa" w:w="280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39.42</w:t>
            </w:r>
          </w:p>
        </w:tc>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10.2×</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Разложение даёт около десятикратного ускорения на всём диапазоне мощности свободной оси, и множитель почти не зависит от неё: выигрыш создаётся переходом к BLAS-3, а не формой конкретного операнда. Совпадение результатов с прямым стягиванием проверено перебором 49 сочетаний рангов и параметров λ, μ; расхождение остаётся на уровне машинного эпсилона.</w:t>
      </w:r>
    </w:p>
    <w:p>
      <w:pPr>
        <w:spacing w:after="120" w:before="0" w:line="300"/>
        <w:ind w:firstLine="567"/>
        <w:jc w:val="both"/>
      </w:pPr>
      <w:r>
        <w:rPr>
          <w:rFonts w:ascii="Times New Roman" w:cs="Times New Roman" w:eastAsia="Times New Roman" w:hAnsi="Times New Roman"/>
          <w:sz w:val="24"/>
          <w:szCs w:val="24"/>
        </w:rPr>
        <w:t xml:space="preserve">Тот же маршрут исполнения способен найти и планировщик библиотеки, распознав структуру выражения по индексной спецификации. Ценность разложения в том, что оно выведено из строения (λ, μ)-произведения и потому применяется по известным ролям индексов, а не по результату распознавания.</w:t>
      </w:r>
    </w:p>
    <w:p>
      <w:pPr>
        <w:spacing w:after="120" w:before="0" w:line="300"/>
        <w:ind w:firstLine="567"/>
        <w:jc w:val="both"/>
      </w:pPr>
      <w:r>
        <w:rPr>
          <w:rFonts w:ascii="Times New Roman" w:cs="Times New Roman" w:eastAsia="Times New Roman" w:hAnsi="Times New Roman"/>
          <w:sz w:val="24"/>
          <w:szCs w:val="24"/>
        </w:rPr>
        <w:t xml:space="preserve">Границы применимости результата таковы. На рассмотренном наборе OLAP-запросов ускорение не проявляется: проталкивание проекций (§3.2) заранее сворачивает частные оси операндов, и к моменту стягивания λ-произведения оказываются мелкими. Выигрыш относится к произведениям куба на куб — запросам по нескольким таблицам фактов с общим измерением, сохраняемым в группировке (§4.11), — и к внутриузловому счёту при распараллеливании, где узел получает свёртку целиком (§4.9).</w:t>
      </w:r>
    </w:p>
    <w:p>
      <w:pPr>
        <w:spacing w:after="120" w:before="0" w:line="300"/>
        <w:ind w:firstLine="567"/>
        <w:jc w:val="both"/>
      </w:pPr>
      <w:r>
        <w:rPr>
          <w:rFonts w:ascii="Times New Roman" w:cs="Times New Roman" w:eastAsia="Times New Roman" w:hAnsi="Times New Roman"/>
          <w:sz w:val="24"/>
          <w:szCs w:val="24"/>
        </w:rPr>
        <w:t xml:space="preserve">Способ обращения к BLAS, таким образом, следует выбирать по числу скоттовых индексов: при λ = 0 предпочтителен единый einsum, при λ ≥ 1 — разложение на сечения с пакетным матричным умножением. Граница проходит ровно там, где свёрнутое произведение Соколова отличается от обычной тензорной свёртки.</w:t>
      </w:r>
    </w:p>
    <w:p>
      <w:pPr>
        <w:spacing w:after="120" w:before="0" w:line="300"/>
        <w:ind w:firstLine="567"/>
        <w:jc w:val="both"/>
      </w:pPr>
      <w:r>
        <w:rPr>
          <w:rFonts w:ascii="Times New Roman" w:cs="Times New Roman" w:eastAsia="Times New Roman" w:hAnsi="Times New Roman"/>
          <w:sz w:val="24"/>
          <w:szCs w:val="24"/>
        </w:rPr>
        <w:t xml:space="preserve">Отдельно отметим, что применение внешней библиотеки оптимизации порядка стягивания [10] не изменило бы результата: используемая функция einsum_path [9] реализует те же алгоритмы динамического программирования и жадного выбора, а дополнительные стратегии такой библиотеки рассчитаны на тензорные сети из десятков операндов, тогда как планы рассматриваемого класса содержат три–пять.</w:t>
      </w:r>
    </w:p>
    <w:p>
      <w:pPr>
        <w:pStyle w:val="Heading2"/>
        <w:spacing w:after="160" w:before="240"/>
      </w:pPr>
      <w:r>
        <w:rPr>
          <w:rFonts w:ascii="Times New Roman" w:cs="Times New Roman" w:eastAsia="Times New Roman" w:hAnsi="Times New Roman"/>
          <w:b/>
          <w:bCs/>
          <w:sz w:val="24"/>
          <w:szCs w:val="24"/>
        </w:rPr>
        <w:t xml:space="preserve">4.7. Формат выдачи результата</w:t>
      </w:r>
    </w:p>
    <w:p>
      <w:pPr>
        <w:spacing w:after="120" w:before="0" w:line="300"/>
        <w:ind w:firstLine="567"/>
        <w:jc w:val="both"/>
      </w:pPr>
      <w:r>
        <w:rPr>
          <w:rFonts w:ascii="Times New Roman" w:cs="Times New Roman" w:eastAsia="Times New Roman" w:hAnsi="Times New Roman"/>
          <w:sz w:val="24"/>
          <w:szCs w:val="24"/>
        </w:rPr>
        <w:t xml:space="preserve">При широкой выдаче время уходит не на свёртку, а на сборку результата, и потому исход сравнения зависит от того, в каком виде результат запрашивается. Замер на запросе, возвращающем 394 тыс. строк, приведён в табл. 15.</w:t>
      </w:r>
    </w:p>
    <w:p>
      <w:pPr>
        <w:spacing w:after="100" w:before="200" w:line="300"/>
      </w:pPr>
      <w:r>
        <w:rPr>
          <w:rFonts w:ascii="Times New Roman" w:cs="Times New Roman" w:eastAsia="Times New Roman" w:hAnsi="Times New Roman"/>
          <w:i/>
          <w:iCs/>
          <w:sz w:val="24"/>
          <w:szCs w:val="24"/>
        </w:rPr>
        <w:t xml:space="preserve">Таблица 15 — Влияние формата выдачи, 394 тыс. строк результата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74"/>
        <w:gridCol w:w="3339"/>
        <w:gridCol w:w="2087"/>
      </w:tblGrid>
      <w:tr>
        <w:trPr>
          <w:tblHeader/>
        </w:trPr>
        <w:tc>
          <w:tcPr>
            <w:tcW w:type="dxa" w:w="417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Формат</w:t>
            </w:r>
          </w:p>
        </w:tc>
        <w:tc>
          <w:tcPr>
            <w:tcW w:type="dxa" w:w="333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208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r>
      <w:tr>
        <w:trPr>
          <w:tblHeader w:val="false"/>
        </w:trPr>
        <w:tc>
          <w:tcPr>
            <w:tcW w:type="dxa" w:w="417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Кадр данных</w:t>
            </w:r>
          </w:p>
        </w:tc>
        <w:tc>
          <w:tcPr>
            <w:tcW w:type="dxa" w:w="333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19.48 мс</w:t>
            </w:r>
          </w:p>
        </w:tc>
        <w:tc>
          <w:tcPr>
            <w:tcW w:type="dxa" w:w="208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38.34 мс</w:t>
            </w:r>
          </w:p>
        </w:tc>
      </w:tr>
      <w:tr>
        <w:trPr>
          <w:tblHeader w:val="false"/>
        </w:trPr>
        <w:tc>
          <w:tcPr>
            <w:tcW w:type="dxa" w:w="417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Кортежи языка Python</w:t>
            </w:r>
          </w:p>
        </w:tc>
        <w:tc>
          <w:tcPr>
            <w:tcW w:type="dxa" w:w="333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71.08 мс</w:t>
            </w:r>
          </w:p>
        </w:tc>
        <w:tc>
          <w:tcPr>
            <w:tcW w:type="dxa" w:w="208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192.44 мс</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Различие велико и в обе стороны, поэтому сравнивать системы в разных форматах недопустимо: такой замер измеряет не движок, а способ упаковки ответа. В настоящей работе обе системы всюду запрашивались в одинаковом формате.</w:t>
      </w:r>
    </w:p>
    <w:p>
      <w:pPr>
        <w:spacing w:after="120" w:before="0" w:line="300"/>
        <w:ind w:firstLine="567"/>
        <w:jc w:val="both"/>
      </w:pPr>
      <w:r>
        <w:rPr>
          <w:rFonts w:ascii="Times New Roman" w:cs="Times New Roman" w:eastAsia="Times New Roman" w:hAnsi="Times New Roman"/>
          <w:sz w:val="24"/>
          <w:szCs w:val="24"/>
        </w:rPr>
        <w:t xml:space="preserve">Приведённые числа получены при хранении результата по столбцам с ленивой сборкой строк; построение кадра из кортежей языка обходится на порядок дороже. Отсюда общее наблюдение: на запросах с широкой выдачей узким местом становится не алгебра, а представление результата.</w:t>
      </w:r>
    </w:p>
    <w:p>
      <w:pPr>
        <w:pStyle w:val="Heading2"/>
        <w:spacing w:after="160" w:before="240"/>
      </w:pPr>
      <w:r>
        <w:rPr>
          <w:rFonts w:ascii="Times New Roman" w:cs="Times New Roman" w:eastAsia="Times New Roman" w:hAnsi="Times New Roman"/>
          <w:b/>
          <w:bCs/>
          <w:sz w:val="24"/>
          <w:szCs w:val="24"/>
        </w:rPr>
        <w:t xml:space="preserve">4.8. Точность</w:t>
      </w:r>
    </w:p>
    <w:p>
      <w:pPr>
        <w:spacing w:after="120" w:before="0" w:line="300"/>
        <w:ind w:firstLine="567"/>
        <w:jc w:val="both"/>
      </w:pPr>
      <w:r>
        <w:rPr>
          <w:rFonts w:ascii="Times New Roman" w:cs="Times New Roman" w:eastAsia="Times New Roman" w:hAnsi="Times New Roman"/>
          <w:sz w:val="24"/>
          <w:szCs w:val="24"/>
        </w:rPr>
        <w:t xml:space="preserve">Свёртка есть сумма произведений, поэтому точность определяется точностью суммирования. Измерение на сумме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случайных слагаемых дало относительную погрешность 4.4·10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для одинарной точности и менее 10</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для двойной. Погрешность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на агрегате порядка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даёт абсолютное расхождение около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что для денежных мер неприемлемо, поэтому по умолчанию используется двойная точность.</w:t>
      </w:r>
    </w:p>
    <w:p>
      <w:pPr>
        <w:pStyle w:val="Heading2"/>
        <w:spacing w:after="160" w:before="240"/>
      </w:pPr>
      <w:r>
        <w:rPr>
          <w:rFonts w:ascii="Times New Roman" w:cs="Times New Roman" w:eastAsia="Times New Roman" w:hAnsi="Times New Roman"/>
          <w:b/>
          <w:bCs/>
          <w:sz w:val="24"/>
          <w:szCs w:val="24"/>
        </w:rPr>
        <w:t xml:space="preserve">4.9. Проверка правила выбора оси дробления</w:t>
      </w:r>
    </w:p>
    <w:p>
      <w:pPr>
        <w:spacing w:after="120" w:before="0" w:line="300"/>
        <w:ind w:firstLine="567"/>
        <w:jc w:val="both"/>
      </w:pPr>
      <w:r>
        <w:rPr>
          <w:rFonts w:ascii="Times New Roman" w:cs="Times New Roman" w:eastAsia="Times New Roman" w:hAnsi="Times New Roman"/>
          <w:sz w:val="24"/>
          <w:szCs w:val="24"/>
        </w:rPr>
        <w:t xml:space="preserve">Правило из §3.4 — резать по скоттовой оси, а не по свободной — выведено из утверждения работы [6] и потому нуждается в самостоятельной проверке. Измерялось разбиение свёртки A[l, s, c] ∗(1,1) B[s, c, m] между четырьмя узлами, где оси l и m свободны, а ось s скоттова. Мощности всех осей 200, кроме кэлиевой (120); каждый сомножитель занимает 36.6 МиБ. Для каждой оси разбиения фиксировался объём пересылок — суммарный размер полезных нагрузок, которые получат узлы, — и время их фактической подготовки: узел не может считать по чужому срезу, срез нужно выделить и скопировать. Результаты в табл. 16.</w:t>
      </w:r>
    </w:p>
    <w:p>
      <w:pPr>
        <w:spacing w:after="100" w:before="200" w:line="300"/>
      </w:pPr>
      <w:r>
        <w:rPr>
          <w:rFonts w:ascii="Times New Roman" w:cs="Times New Roman" w:eastAsia="Times New Roman" w:hAnsi="Times New Roman"/>
          <w:i/>
          <w:iCs/>
          <w:sz w:val="24"/>
          <w:szCs w:val="24"/>
        </w:rPr>
        <w:t xml:space="preserve">Таблица 16 — Цена разбиения по осям разного типа, четыре узла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57"/>
        <w:gridCol w:w="1388"/>
        <w:gridCol w:w="1619"/>
        <w:gridCol w:w="1157"/>
        <w:gridCol w:w="1504"/>
        <w:gridCol w:w="1619"/>
        <w:gridCol w:w="1157"/>
      </w:tblGrid>
      <w:tr>
        <w:trPr>
          <w:tblHeader/>
        </w:trPr>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Ось</w:t>
            </w:r>
          </w:p>
        </w:tc>
        <w:tc>
          <w:tcPr>
            <w:tcW w:type="dxa" w:w="138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Роль</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Переслано, МиБ</w:t>
            </w:r>
          </w:p>
        </w:tc>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Рост</w:t>
            </w:r>
          </w:p>
        </w:tc>
        <w:tc>
          <w:tcPr>
            <w:tcW w:type="dxa" w:w="15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Реплицируется</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Подготовка, мс</w:t>
            </w:r>
          </w:p>
        </w:tc>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Счёт, мс</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скоттова (λ)</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73.2</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6.7</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49.3</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l</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свободная</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183.1</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B целиком</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0.0</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29.7</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свободная</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183.1</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целиком</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7.7</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25.5</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Результат во всех трёх случаях совпал с монолитной свёрткой, то есть выбор оси влияет на цену, а не на ответ, — как и должно быть по следствию 1.</w:t>
      </w:r>
    </w:p>
    <w:p>
      <w:pPr>
        <w:spacing w:after="120" w:before="0" w:line="300"/>
        <w:ind w:firstLine="567"/>
        <w:jc w:val="both"/>
      </w:pPr>
      <w:r>
        <w:rPr>
          <w:rFonts w:ascii="Times New Roman" w:cs="Times New Roman" w:eastAsia="Times New Roman" w:hAnsi="Times New Roman"/>
          <w:sz w:val="24"/>
          <w:szCs w:val="24"/>
        </w:rPr>
        <w:t xml:space="preserve">По объёму пересылок правило подтверждается прямо: разбиение по скоттовой оси режет оба сомножителя, и суммарный объём равен объёму данных; разбиение по любой из свободных осей вынуждает реплицировать второй сомножитель на все узлы, и объём растёт в 2.5 раза при четырёх узлах — с ростом их числа отношение стремится к удвоению.</w:t>
      </w:r>
    </w:p>
    <w:p>
      <w:pPr>
        <w:spacing w:after="120" w:before="0" w:line="300"/>
        <w:ind w:firstLine="567"/>
        <w:jc w:val="both"/>
      </w:pPr>
      <w:r>
        <w:rPr>
          <w:rFonts w:ascii="Times New Roman" w:cs="Times New Roman" w:eastAsia="Times New Roman" w:hAnsi="Times New Roman"/>
          <w:sz w:val="24"/>
          <w:szCs w:val="24"/>
        </w:rPr>
        <w:t xml:space="preserve">Объём пересылок здесь величина расчётная и от прогона к прогону не меняется; времена же — измеренные, и разброс между прогонами достигает четверти, поэтому содержательно в них лишь то, что все три величины одного порядка и что упорядочены они не так, как объёмы пересылок. Отсутствие выигрыша во времени счёта закономерно: разложение на сечения (§4.6) внесено в само ядро, поэтому узел получает его при любом разбиении. Выбор оси и разложение на сечения отвечают, следовательно, за разное — первый за объём пересылок, второе за внутриузловую арифметику, — хотя и следуют оба из одного утверждения работы [6] о строении результата при λ ≥ 1.</w:t>
      </w:r>
    </w:p>
    <w:p>
      <w:pPr>
        <w:pStyle w:val="Heading2"/>
        <w:spacing w:after="160" w:before="240"/>
      </w:pPr>
      <w:r>
        <w:rPr>
          <w:rFonts w:ascii="Times New Roman" w:cs="Times New Roman" w:eastAsia="Times New Roman" w:hAnsi="Times New Roman"/>
          <w:b/>
          <w:bCs/>
          <w:sz w:val="24"/>
          <w:szCs w:val="24"/>
        </w:rPr>
        <w:t xml:space="preserve">4.10. Уточнение правила: два управляемых опыта</w:t>
      </w:r>
    </w:p>
    <w:p>
      <w:pPr>
        <w:spacing w:after="120" w:before="0" w:line="300"/>
        <w:ind w:firstLine="567"/>
        <w:jc w:val="both"/>
      </w:pPr>
      <w:r>
        <w:rPr>
          <w:rFonts w:ascii="Times New Roman" w:cs="Times New Roman" w:eastAsia="Times New Roman" w:hAnsi="Times New Roman"/>
          <w:sz w:val="24"/>
          <w:szCs w:val="24"/>
        </w:rPr>
        <w:t xml:space="preserve">Развёртки §4.3–4.4 меняли обе величины сразу, поэтому гипотезу о том, что отношение есть функция числа фактов на ячейку, они подтвердить не могли — лишь не опровергнуть. Разделить их позволяют два опыта, в каждом из которых одна величина удерживается постоянной: в первом (табл. 17) неизменна плотность, во втором (табл. 18) — размер гиперкуба. Сравнение всюду симметричное: колоночным СУБД предоставлена сводка гранулярности гиперкуба, то есть тот же предпосчёт, что и матричной модели.</w:t>
      </w:r>
    </w:p>
    <w:p>
      <w:pPr>
        <w:spacing w:after="100" w:before="200" w:line="300"/>
      </w:pPr>
      <w:r>
        <w:rPr>
          <w:rFonts w:ascii="Times New Roman" w:cs="Times New Roman" w:eastAsia="Times New Roman" w:hAnsi="Times New Roman"/>
          <w:i/>
          <w:iCs/>
          <w:sz w:val="24"/>
          <w:szCs w:val="24"/>
        </w:rPr>
        <w:t xml:space="preserve">Таблица 17 — Постоянная плотность 0.25 факта на ячейку, растёт размер куба,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12"/>
        <w:gridCol w:w="1412"/>
        <w:gridCol w:w="1694"/>
        <w:gridCol w:w="2259"/>
        <w:gridCol w:w="1412"/>
        <w:gridCol w:w="1412"/>
      </w:tblGrid>
      <w:tr>
        <w:trPr>
          <w:tblHeader/>
        </w:trPr>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Гиперкуб</w:t>
            </w:r>
          </w:p>
        </w:tc>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Ячеек</w:t>
            </w:r>
          </w:p>
        </w:tc>
        <w:tc>
          <w:tcPr>
            <w:tcW w:type="dxa" w:w="16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Строк сводки</w:t>
            </w:r>
          </w:p>
        </w:tc>
        <w:tc>
          <w:tcPr>
            <w:tcW w:type="dxa" w:w="225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w:t>
            </w:r>
          </w:p>
        </w:tc>
      </w:tr>
      <w:tr>
        <w:trPr>
          <w:tblHeader w:val="false"/>
        </w:trPr>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100³</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 млн</w:t>
            </w:r>
          </w:p>
        </w:tc>
        <w:tc>
          <w:tcPr>
            <w:tcW w:type="dxa" w:w="169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0.2 млн</w:t>
            </w:r>
          </w:p>
        </w:tc>
        <w:tc>
          <w:tcPr>
            <w:tcW w:type="dxa" w:w="225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1.15</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1.48</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2.36</w:t>
            </w:r>
          </w:p>
        </w:tc>
      </w:tr>
      <w:tr>
        <w:trPr>
          <w:tblHeader w:val="false"/>
        </w:trPr>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150³</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3.4 млн</w:t>
            </w:r>
          </w:p>
        </w:tc>
        <w:tc>
          <w:tcPr>
            <w:tcW w:type="dxa" w:w="169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0.8 млн</w:t>
            </w:r>
          </w:p>
        </w:tc>
        <w:tc>
          <w:tcPr>
            <w:tcW w:type="dxa" w:w="225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2.99</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1.67</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2.90</w:t>
            </w:r>
          </w:p>
        </w:tc>
      </w:tr>
      <w:tr>
        <w:trPr>
          <w:tblHeader w:val="false"/>
        </w:trPr>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200³</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8.0 млн</w:t>
            </w:r>
          </w:p>
        </w:tc>
        <w:tc>
          <w:tcPr>
            <w:tcW w:type="dxa" w:w="169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2.0 млн</w:t>
            </w:r>
          </w:p>
        </w:tc>
        <w:tc>
          <w:tcPr>
            <w:tcW w:type="dxa" w:w="225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6.16</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2.18</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3.33</w:t>
            </w:r>
          </w:p>
        </w:tc>
      </w:tr>
      <w:tr>
        <w:trPr>
          <w:tblHeader w:val="false"/>
        </w:trPr>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250³</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16 млн</w:t>
            </w:r>
          </w:p>
        </w:tc>
        <w:tc>
          <w:tcPr>
            <w:tcW w:type="dxa" w:w="169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3.9 млн</w:t>
            </w:r>
          </w:p>
        </w:tc>
        <w:tc>
          <w:tcPr>
            <w:tcW w:type="dxa" w:w="225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11.68</w:t>
            </w:r>
          </w:p>
        </w:tc>
        <w:tc>
          <w:tcPr>
            <w:tcW w:type="dxa" w:w="14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3.21</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4.42</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Плотность во всех строках одна и та же, а исход меняется на противоположный: при миллионе ячеек матричное исполнение быстрее, начиная с трёх миллионов — медленнее, и разрыв растёт. Одной лишь плотностью это не объясняется.</w:t>
      </w:r>
    </w:p>
    <w:p>
      <w:pPr>
        <w:spacing w:after="100" w:before="200" w:line="300"/>
      </w:pPr>
      <w:r>
        <w:rPr>
          <w:rFonts w:ascii="Times New Roman" w:cs="Times New Roman" w:eastAsia="Times New Roman" w:hAnsi="Times New Roman"/>
          <w:i/>
          <w:iCs/>
          <w:sz w:val="24"/>
          <w:szCs w:val="24"/>
        </w:rPr>
        <w:t xml:space="preserve">Таблица 18 — Постоянный гиперкуб 200³, растёт плотность,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38"/>
        <w:gridCol w:w="1676"/>
        <w:gridCol w:w="2438"/>
        <w:gridCol w:w="1524"/>
        <w:gridCol w:w="1524"/>
      </w:tblGrid>
      <w:tr>
        <w:trPr>
          <w:tblHeader/>
        </w:trPr>
        <w:tc>
          <w:tcPr>
            <w:tcW w:type="dxa" w:w="243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Фактов на ячейку</w:t>
            </w:r>
          </w:p>
        </w:tc>
        <w:tc>
          <w:tcPr>
            <w:tcW w:type="dxa" w:w="167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Строк факта</w:t>
            </w:r>
          </w:p>
        </w:tc>
        <w:tc>
          <w:tcPr>
            <w:tcW w:type="dxa" w:w="243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52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152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w:t>
            </w:r>
          </w:p>
        </w:tc>
      </w:tr>
      <w:tr>
        <w:trPr>
          <w:tblHeader w:val="false"/>
        </w:trPr>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0.1</w:t>
            </w:r>
          </w:p>
        </w:tc>
        <w:tc>
          <w:tcPr>
            <w:tcW w:type="dxa" w:w="16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0.8 млн</w:t>
            </w:r>
          </w:p>
        </w:tc>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6.39</w:t>
            </w:r>
          </w:p>
        </w:tc>
        <w:tc>
          <w:tcPr>
            <w:tcW w:type="dxa" w:w="152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1.45</w:t>
            </w:r>
          </w:p>
        </w:tc>
        <w:tc>
          <w:tcPr>
            <w:tcW w:type="dxa" w:w="152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2.80</w:t>
            </w:r>
          </w:p>
        </w:tc>
      </w:tr>
      <w:tr>
        <w:trPr>
          <w:tblHeader w:val="false"/>
        </w:trPr>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0.5</w:t>
            </w:r>
          </w:p>
        </w:tc>
        <w:tc>
          <w:tcPr>
            <w:tcW w:type="dxa" w:w="16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4.0 млн</w:t>
            </w:r>
          </w:p>
        </w:tc>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6.46</w:t>
            </w:r>
          </w:p>
        </w:tc>
        <w:tc>
          <w:tcPr>
            <w:tcW w:type="dxa" w:w="152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3.07</w:t>
            </w:r>
          </w:p>
        </w:tc>
        <w:tc>
          <w:tcPr>
            <w:tcW w:type="dxa" w:w="152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4.31</w:t>
            </w:r>
          </w:p>
        </w:tc>
      </w:tr>
      <w:tr>
        <w:trPr>
          <w:tblHeader w:val="false"/>
        </w:trPr>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w:t>
            </w:r>
          </w:p>
        </w:tc>
        <w:tc>
          <w:tcPr>
            <w:tcW w:type="dxa" w:w="16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16 млн</w:t>
            </w:r>
          </w:p>
        </w:tc>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6.16</w:t>
            </w:r>
          </w:p>
        </w:tc>
        <w:tc>
          <w:tcPr>
            <w:tcW w:type="dxa" w:w="152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4.71</w:t>
            </w:r>
          </w:p>
        </w:tc>
        <w:tc>
          <w:tcPr>
            <w:tcW w:type="dxa" w:w="152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6.00</w:t>
            </w:r>
          </w:p>
        </w:tc>
      </w:tr>
      <w:tr>
        <w:trPr>
          <w:tblHeader w:val="false"/>
        </w:trPr>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w:t>
            </w:r>
          </w:p>
        </w:tc>
        <w:tc>
          <w:tcPr>
            <w:tcW w:type="dxa" w:w="16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40 млн</w:t>
            </w:r>
          </w:p>
        </w:tc>
        <w:tc>
          <w:tcPr>
            <w:tcW w:type="dxa" w:w="243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6.70</w:t>
            </w:r>
          </w:p>
        </w:tc>
        <w:tc>
          <w:tcPr>
            <w:tcW w:type="dxa" w:w="152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5.30</w:t>
            </w:r>
          </w:p>
        </w:tc>
        <w:tc>
          <w:tcPr>
            <w:tcW w:type="dxa" w:w="152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6.49</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Время матричного исполнения не меняется вовсе — гиперкуб один и тот же, — а время колоночной СУБД растёт лишь до двух фактов на ячейку и затем выходит на полку. Причина в симметрии сравнения: сводка гранулярности куба заполняется, её длина ограничена сверху числом ячеек, и дальнейший рост числа фактов на неё уже не влияет.</w:t>
      </w:r>
    </w:p>
    <w:p>
      <w:pPr>
        <w:spacing w:after="120" w:before="0" w:line="300"/>
        <w:ind w:firstLine="567"/>
        <w:jc w:val="both"/>
      </w:pPr>
      <w:r>
        <w:rPr>
          <w:rFonts w:ascii="Times New Roman" w:cs="Times New Roman" w:eastAsia="Times New Roman" w:hAnsi="Times New Roman"/>
          <w:sz w:val="24"/>
          <w:szCs w:val="24"/>
        </w:rPr>
        <w:t xml:space="preserve">Отсюда исправленная формулировка. Отношение времён определяется двумя величинами, а не одной: числом ячеек гиперкуба и длиной сводки, которая сама ограничена сверху числом ячеек. Плотность управляет второй величиной лишь до насыщения, после чего остаётся только размер куба — а на нём преимущество за колоночной СУБД: её стоимость на строку ниже стоимости свёртки на ячейку, и лишь фиксированные накладные расходы порядка миллисекунды дают матричному исполнению перевес на малых объёмах.</w:t>
      </w:r>
    </w:p>
    <w:p>
      <w:pPr>
        <w:spacing w:after="120" w:before="0" w:line="300"/>
        <w:ind w:firstLine="567"/>
        <w:jc w:val="both"/>
      </w:pPr>
      <w:r>
        <w:rPr>
          <w:rFonts w:ascii="Times New Roman" w:cs="Times New Roman" w:eastAsia="Times New Roman" w:hAnsi="Times New Roman"/>
          <w:sz w:val="24"/>
          <w:szCs w:val="24"/>
        </w:rPr>
        <w:t xml:space="preserve">Практический критерий поэтому распадается надвое. При сравнении с сырыми фактами, то есть когда предпосчёт есть только у матричной модели, плотность работает в её пользу, и здесь верно прежнее правило §4.3: чем больше фактов, тем больше отрыв. При сравнении с равным предпосчётом плотность выше двух фактов на ячейку не даёт ничего, и решает абсолютный размер: до двух-трёх миллионов ячеек преимущество за матричным исполнением, выше — теряется.</w:t>
      </w:r>
    </w:p>
    <w:p>
      <w:pPr>
        <w:spacing w:after="120" w:before="0" w:line="300"/>
        <w:ind w:firstLine="567"/>
        <w:jc w:val="both"/>
      </w:pPr>
      <w:r>
        <w:rPr>
          <w:rFonts w:ascii="Times New Roman" w:cs="Times New Roman" w:eastAsia="Times New Roman" w:hAnsi="Times New Roman"/>
          <w:sz w:val="24"/>
          <w:szCs w:val="24"/>
        </w:rPr>
        <w:t xml:space="preserve">Уточнение не отменяет вывода §4.4 о существовании границы применимости, но меняет способ её вычисления: считать надо не только отношение фактов к ячейкам, но и сами ячейки.</w:t>
      </w:r>
    </w:p>
    <w:p>
      <w:pPr>
        <w:pStyle w:val="Heading2"/>
        <w:spacing w:after="160" w:before="240"/>
      </w:pPr>
      <w:r>
        <w:rPr>
          <w:rFonts w:ascii="Times New Roman" w:cs="Times New Roman" w:eastAsia="Times New Roman" w:hAnsi="Times New Roman"/>
          <w:b/>
          <w:bCs/>
          <w:sz w:val="24"/>
          <w:szCs w:val="24"/>
        </w:rPr>
        <w:t xml:space="preserve">4.11. Произведение гиперкуба на гиперкуб</w:t>
      </w:r>
    </w:p>
    <w:p>
      <w:pPr>
        <w:spacing w:after="120" w:before="0" w:line="300"/>
        <w:ind w:firstLine="567"/>
        <w:jc w:val="both"/>
      </w:pPr>
      <w:r>
        <w:rPr>
          <w:rFonts w:ascii="Times New Roman" w:cs="Times New Roman" w:eastAsia="Times New Roman" w:hAnsi="Times New Roman"/>
          <w:sz w:val="24"/>
          <w:szCs w:val="24"/>
        </w:rPr>
        <w:t xml:space="preserve">Все замеры выше велись на звёздной схеме, где вторым сомножителем выступает справочник, то есть матрица малого ранга. Отличительная же черта операции Соколова — скоттовы индексы, а они появляются лишь тогда, когда оба сомножителя суть полноценные гиперкубы фактов с общим измерением, остающимся в группировке. Этот случай выше не измерялся, между тем он и есть та часть алгебры, ради которой вводится параметр λ.</w:t>
      </w:r>
    </w:p>
    <w:p>
      <w:pPr>
        <w:spacing w:after="120" w:before="0" w:line="300"/>
        <w:ind w:firstLine="567"/>
        <w:jc w:val="both"/>
      </w:pPr>
      <w:r>
        <w:rPr>
          <w:rFonts w:ascii="Times New Roman" w:cs="Times New Roman" w:eastAsia="Times New Roman" w:hAnsi="Times New Roman"/>
          <w:sz w:val="24"/>
          <w:szCs w:val="24"/>
        </w:rPr>
        <w:t xml:space="preserve">Схема опыта: гиперкуб продаж с осями (клиент, товар, дата) и гиперкуб цен с осями (товар, дата); обеим колоночным СУБД даны таблицы той же гранулярности. Запрос с группировкой по клиенту и товару даёт λ = 1 (товар сохраняется), μ = 1 (дата сворачивается); запрос с группировкой по всем трём осям — λ = 2, μ = 0, то есть ранг результата превышает ранг каждого из сомножителей. Результаты приведены в табл. 19.</w:t>
      </w:r>
    </w:p>
    <w:p>
      <w:pPr>
        <w:spacing w:after="100" w:before="200" w:line="300"/>
      </w:pPr>
      <w:r>
        <w:rPr>
          <w:rFonts w:ascii="Times New Roman" w:cs="Times New Roman" w:eastAsia="Times New Roman" w:hAnsi="Times New Roman"/>
          <w:i/>
          <w:iCs/>
          <w:sz w:val="24"/>
          <w:szCs w:val="24"/>
        </w:rPr>
        <w:t xml:space="preserve">Таблица 19 — Соединение двух таблиц фактов, 2 млн строк,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63"/>
        <w:gridCol w:w="1516"/>
        <w:gridCol w:w="2021"/>
        <w:gridCol w:w="1263"/>
        <w:gridCol w:w="1263"/>
        <w:gridCol w:w="2274"/>
      </w:tblGrid>
      <w:tr>
        <w:trPr>
          <w:tblHeader/>
        </w:trPr>
        <w:tc>
          <w:tcPr>
            <w:tcW w:type="dxa" w:w="126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Гиперкуб</w:t>
            </w:r>
          </w:p>
        </w:tc>
        <w:tc>
          <w:tcPr>
            <w:tcW w:type="dxa" w:w="151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202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26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126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w:t>
            </w:r>
          </w:p>
        </w:tc>
        <w:tc>
          <w:tcPr>
            <w:tcW w:type="dxa" w:w="227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DuckDB</w:t>
            </w:r>
          </w:p>
        </w:tc>
      </w:tr>
      <w:tr>
        <w:trPr>
          <w:tblHeader w:val="false"/>
        </w:trPr>
        <w:tc>
          <w:tcPr>
            <w:tcW w:type="dxa" w:w="126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100³</w:t>
            </w:r>
          </w:p>
        </w:tc>
        <w:tc>
          <w:tcPr>
            <w:tcW w:type="dxa" w:w="151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 1, μ = 1</w:t>
            </w:r>
          </w:p>
        </w:tc>
        <w:tc>
          <w:tcPr>
            <w:tcW w:type="dxa" w:w="20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1.77</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13.89</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68.23</w:t>
            </w:r>
          </w:p>
        </w:tc>
        <w:tc>
          <w:tcPr>
            <w:tcW w:type="dxa" w:w="227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7.8×</w:t>
            </w:r>
          </w:p>
        </w:tc>
      </w:tr>
      <w:tr>
        <w:trPr>
          <w:tblHeader w:val="false"/>
        </w:trPr>
        <w:tc>
          <w:tcPr>
            <w:tcW w:type="dxa" w:w="126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100³</w:t>
            </w:r>
          </w:p>
        </w:tc>
        <w:tc>
          <w:tcPr>
            <w:tcW w:type="dxa" w:w="151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 2, μ = 0</w:t>
            </w:r>
          </w:p>
        </w:tc>
        <w:tc>
          <w:tcPr>
            <w:tcW w:type="dxa" w:w="20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39.3</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91.7</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106.2</w:t>
            </w:r>
          </w:p>
        </w:tc>
        <w:tc>
          <w:tcPr>
            <w:tcW w:type="dxa" w:w="227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w:t>
            </w:r>
          </w:p>
        </w:tc>
      </w:tr>
      <w:tr>
        <w:trPr>
          <w:tblHeader w:val="false"/>
        </w:trPr>
        <w:tc>
          <w:tcPr>
            <w:tcW w:type="dxa" w:w="126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200³</w:t>
            </w:r>
          </w:p>
        </w:tc>
        <w:tc>
          <w:tcPr>
            <w:tcW w:type="dxa" w:w="151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 1, μ = 1</w:t>
            </w:r>
          </w:p>
        </w:tc>
        <w:tc>
          <w:tcPr>
            <w:tcW w:type="dxa" w:w="20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7.60</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27.56</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81.30</w:t>
            </w:r>
          </w:p>
        </w:tc>
        <w:tc>
          <w:tcPr>
            <w:tcW w:type="dxa" w:w="227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3.6×</w:t>
            </w:r>
          </w:p>
        </w:tc>
      </w:tr>
      <w:tr>
        <w:trPr>
          <w:tblHeader w:val="false"/>
        </w:trPr>
        <w:tc>
          <w:tcPr>
            <w:tcW w:type="dxa" w:w="126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200³</w:t>
            </w:r>
          </w:p>
        </w:tc>
        <w:tc>
          <w:tcPr>
            <w:tcW w:type="dxa" w:w="151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 2, μ = 0</w:t>
            </w:r>
          </w:p>
        </w:tc>
        <w:tc>
          <w:tcPr>
            <w:tcW w:type="dxa" w:w="20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140.2</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169.2</w:t>
            </w:r>
          </w:p>
        </w:tc>
        <w:tc>
          <w:tcPr>
            <w:tcW w:type="dxa" w:w="126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160.9</w:t>
            </w:r>
          </w:p>
        </w:tc>
        <w:tc>
          <w:tcPr>
            <w:tcW w:type="dxa" w:w="227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Преимущество здесь наибольшее из всех измеренных: 7.8 раза против DuckDB и 38 против ClickHouse. Матричному исполнению соединение двух гиперкубов не стоит ничего сверх самой свёртки: общее измерение есть скоттов индекс, и произведение по нему — одна операция. Колоночной же СУБД приходится строить хеш-таблицу по составному ключу (товар, дата) и материализовывать соединение, и эта работа не имеет аналога в матричной записи.</w:t>
      </w:r>
    </w:p>
    <w:p>
      <w:pPr>
        <w:spacing w:after="120" w:before="0" w:line="300"/>
        <w:ind w:firstLine="567"/>
        <w:jc w:val="both"/>
      </w:pPr>
      <w:r>
        <w:rPr>
          <w:rFonts w:ascii="Times New Roman" w:cs="Times New Roman" w:eastAsia="Times New Roman" w:hAnsi="Times New Roman"/>
          <w:sz w:val="24"/>
          <w:szCs w:val="24"/>
        </w:rPr>
        <w:t xml:space="preserve">Преимущество подхода сосредоточено, как видно, не в агрегации как таковой — там отрыв полуторакратный, — а в конструкции, отличающей свёрнутое произведение от обычной тензорной свёртки. Практический результат и теоретическая особенность модели указывают, следовательно, на одно и то же место.</w:t>
      </w:r>
    </w:p>
    <w:p>
      <w:pPr>
        <w:pStyle w:val="Heading2"/>
        <w:spacing w:after="160" w:before="240"/>
      </w:pPr>
      <w:r>
        <w:rPr>
          <w:rFonts w:ascii="Times New Roman" w:cs="Times New Roman" w:eastAsia="Times New Roman" w:hAnsi="Times New Roman"/>
          <w:b/>
          <w:bCs/>
          <w:sz w:val="24"/>
          <w:szCs w:val="24"/>
        </w:rPr>
        <w:t xml:space="preserve">4.12. Сводная область применимости</w:t>
      </w:r>
    </w:p>
    <w:p>
      <w:pPr>
        <w:spacing w:after="120" w:before="0" w:line="300"/>
        <w:ind w:firstLine="567"/>
        <w:jc w:val="both"/>
      </w:pPr>
      <w:r>
        <w:rPr>
          <w:rFonts w:ascii="Times New Roman" w:cs="Times New Roman" w:eastAsia="Times New Roman" w:hAnsi="Times New Roman"/>
          <w:sz w:val="24"/>
          <w:szCs w:val="24"/>
        </w:rPr>
        <w:t xml:space="preserve">Собранные замеры позволяют указать границы предметно. В табл. 20 сведены все проведённые опыты; сравнение всюду симметричное, среда одна.</w:t>
      </w:r>
    </w:p>
    <w:p>
      <w:pPr>
        <w:spacing w:after="100" w:before="200" w:line="300"/>
      </w:pPr>
      <w:r>
        <w:rPr>
          <w:rFonts w:ascii="Times New Roman" w:cs="Times New Roman" w:eastAsia="Times New Roman" w:hAnsi="Times New Roman"/>
          <w:i/>
          <w:iCs/>
          <w:sz w:val="24"/>
          <w:szCs w:val="24"/>
        </w:rPr>
        <w:t xml:space="preserve">Таблица 20 — Где подход выгоден и где нет,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29"/>
        <w:gridCol w:w="2447"/>
        <w:gridCol w:w="1506"/>
        <w:gridCol w:w="1035"/>
        <w:gridCol w:w="941"/>
        <w:gridCol w:w="941"/>
      </w:tblGrid>
      <w:tr>
        <w:trPr>
          <w:tblHeader/>
        </w:trPr>
        <w:tc>
          <w:tcPr>
            <w:tcW w:type="dxa" w:w="272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Сценарий</w:t>
            </w:r>
          </w:p>
        </w:tc>
        <w:tc>
          <w:tcPr>
            <w:tcW w:type="dxa" w:w="244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Условия</w:t>
            </w:r>
          </w:p>
        </w:tc>
        <w:tc>
          <w:tcPr>
            <w:tcW w:type="dxa" w:w="150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03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94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w:t>
            </w:r>
          </w:p>
        </w:tc>
        <w:tc>
          <w:tcPr>
            <w:tcW w:type="dxa" w:w="94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двух фактов, λ = 1</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100³</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1.77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13.89</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68.23</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7.8×</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Много групп в результате</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 тыс. групп</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1.49</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7.70</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58.92</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5.2×</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Составной запрос</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 фактов на ячейку</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3.11</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10.81</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86.03</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3.5×</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Составной запрос</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0.25 факта на ячейку</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3.06</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10.65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17.74</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3.5×</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Селективный запрос</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один клиент, 100³</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0.52</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1.29</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2.35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2.5×</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двух фактов, λ = 2</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100³, рост ранга</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39.3</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91.7</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106.2</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2.3×</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Много групп в результате</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 млн групп</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37.7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82.2</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108.8</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2.2×</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Широкая выдача</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без свёртки</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38.1</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75.8</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103.7</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2.0×</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по измерению</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2.29</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8.85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4.23</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1.8×</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Одиночная агрегация</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 групп, 100³</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1.51</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2.85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Сто запросов с подготовкой</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 млн строк</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887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845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0.95×</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Гиперкуб 200³</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любая плотность</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6.2–6.7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1.5–5.3</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2.8–6.5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0.24–0.79×</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Дозагрузка</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100 тыс. строк к 1 млн</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26.1</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15.5</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0.59×</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Крупный разреженный куб</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250³, 0.25 факта на ячейку</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11.68</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3.21</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4.42</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0.27×</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Разовый запрос с подготовкой</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 млн строк</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727</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99</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0.14×</w:t>
            </w:r>
          </w:p>
        </w:tc>
      </w:tr>
      <w:tr>
        <w:trPr>
          <w:tblHeader w:val="false"/>
        </w:trPr>
        <w:tc>
          <w:tcPr>
            <w:tcW w:type="dxa" w:w="272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Мелкие измерения</w:t>
            </w:r>
          </w:p>
        </w:tc>
        <w:tc>
          <w:tcPr>
            <w:tcW w:type="dxa" w:w="244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5000×5000×365</w:t>
            </w:r>
          </w:p>
        </w:tc>
        <w:tc>
          <w:tcPr>
            <w:tcW w:type="dxa" w:w="150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47.6</w:t>
            </w:r>
          </w:p>
        </w:tc>
        <w:tc>
          <w:tcPr>
            <w:tcW w:type="dxa" w:w="103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8.92</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4.54</w:t>
            </w:r>
          </w:p>
        </w:tc>
        <w:tc>
          <w:tcPr>
            <w:tcW w:type="dxa" w:w="9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0.10×</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Верхняя часть таблицы — запросы, в которых несколько операций сливаются в одно стягивание либо результат содержит много групп: преимущество от полутора до восьми раз, и оно тем больше, чем сильнее выражена отвечающая за него особенность алгебры. Нижняя часть — случаи, где гиперкуб велик и пуст, где измерения мелки, где данные меняются или где запрос задаётся однократно: там предпочтительна колоночная СУБД, и отставание доходит до десяти раз.</w:t>
      </w:r>
    </w:p>
    <w:p>
      <w:pPr>
        <w:spacing w:after="120" w:before="0" w:line="300"/>
        <w:ind w:firstLine="567"/>
        <w:jc w:val="both"/>
      </w:pPr>
      <w:r>
        <w:rPr>
          <w:rFonts w:ascii="Times New Roman" w:cs="Times New Roman" w:eastAsia="Times New Roman" w:hAnsi="Times New Roman"/>
          <w:sz w:val="24"/>
          <w:szCs w:val="24"/>
        </w:rPr>
        <w:t xml:space="preserve">Граница между частями проходит не по объёму данных и не по виду агрегата, а по двум величинам: числу ячеек гиперкуба — до двух-трёх миллионов — и числу операций, сливающихся в одно стягивание, причём чем их больше, тем шире отрыв.</w:t>
      </w:r>
    </w:p>
    <w:p>
      <w:pPr>
        <w:pStyle w:val="Heading2"/>
        <w:spacing w:after="160" w:before="240"/>
      </w:pPr>
      <w:r>
        <w:rPr>
          <w:rFonts w:ascii="Times New Roman" w:cs="Times New Roman" w:eastAsia="Times New Roman" w:hAnsi="Times New Roman"/>
          <w:b/>
          <w:bCs/>
          <w:sz w:val="24"/>
          <w:szCs w:val="24"/>
        </w:rPr>
        <w:t xml:space="preserve">4.13. Кардинальность измерений</w:t>
      </w:r>
    </w:p>
    <w:p>
      <w:pPr>
        <w:spacing w:after="120" w:before="0" w:line="300"/>
        <w:ind w:firstLine="567"/>
        <w:jc w:val="both"/>
      </w:pPr>
      <w:r>
        <w:rPr>
          <w:rFonts w:ascii="Times New Roman" w:cs="Times New Roman" w:eastAsia="Times New Roman" w:hAnsi="Times New Roman"/>
          <w:sz w:val="24"/>
          <w:szCs w:val="24"/>
        </w:rPr>
        <w:t xml:space="preserve">Граница §4.10 сформулирована через число ячеек, а число ячеек есть произведение мощностей измерений. Отсюда вопрос, решающий для применимости подхода к промышленным схемам: что происходит, когда измерение задано не категорией, а ключом — миллион клиентов, сто тысяч товаров. Развёртка §4.4 меняла мощности всех осей сразу и до таких величин не доходила; здесь мощность одного измерения меняется на четыре порядка при неизменных числе фактов (5 млн), мощности товара (100) и месяца (12). Колоночным СУБД предоставлена сводка гранулярности гиперкуба. Результаты в табл. 21.</w:t>
      </w:r>
    </w:p>
    <w:p>
      <w:pPr>
        <w:spacing w:after="100" w:before="200" w:line="300"/>
      </w:pPr>
      <w:r>
        <w:rPr>
          <w:rFonts w:ascii="Times New Roman" w:cs="Times New Roman" w:eastAsia="Times New Roman" w:hAnsi="Times New Roman"/>
          <w:i/>
          <w:iCs/>
          <w:sz w:val="24"/>
          <w:szCs w:val="24"/>
        </w:rPr>
        <w:t xml:space="preserve">Таблица 21 — Рост мощности одного измерения при 5 млн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21"/>
        <w:gridCol w:w="821"/>
        <w:gridCol w:w="1067"/>
        <w:gridCol w:w="903"/>
        <w:gridCol w:w="903"/>
        <w:gridCol w:w="1641"/>
        <w:gridCol w:w="821"/>
        <w:gridCol w:w="1149"/>
        <w:gridCol w:w="1477"/>
      </w:tblGrid>
      <w:tr>
        <w:trPr>
          <w:tblHeader/>
        </w:trPr>
        <w:tc>
          <w:tcPr>
            <w:tcW w:type="dxa" w:w="82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Клиентов</w:t>
            </w:r>
          </w:p>
        </w:tc>
        <w:tc>
          <w:tcPr>
            <w:tcW w:type="dxa" w:w="82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Ячеек</w:t>
            </w:r>
          </w:p>
        </w:tc>
        <w:tc>
          <w:tcPr>
            <w:tcW w:type="dxa" w:w="106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Представление</w:t>
            </w:r>
          </w:p>
        </w:tc>
        <w:tc>
          <w:tcPr>
            <w:tcW w:type="dxa" w:w="90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Загрузка, с</w:t>
            </w:r>
          </w:p>
        </w:tc>
        <w:tc>
          <w:tcPr>
            <w:tcW w:type="dxa" w:w="90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МиБ</w:t>
            </w:r>
          </w:p>
        </w:tc>
        <w:tc>
          <w:tcPr>
            <w:tcW w:type="dxa" w:w="164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 мс</w:t>
            </w:r>
          </w:p>
        </w:tc>
        <w:tc>
          <w:tcPr>
            <w:tcW w:type="dxa" w:w="82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 мс</w:t>
            </w:r>
          </w:p>
        </w:tc>
        <w:tc>
          <w:tcPr>
            <w:tcW w:type="dxa" w:w="114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ClickHouse, мс</w:t>
            </w:r>
          </w:p>
        </w:tc>
        <w:tc>
          <w:tcPr>
            <w:tcW w:type="dxa" w:w="147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DuckDB</w:t>
            </w:r>
          </w:p>
        </w:tc>
      </w:tr>
      <w:tr>
        <w:trPr>
          <w:tblHeader w:val="false"/>
        </w:trPr>
        <w:tc>
          <w:tcPr>
            <w:tcW w:type="dxa" w:w="82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120 тыс.</w:t>
            </w:r>
          </w:p>
        </w:tc>
        <w:tc>
          <w:tcPr>
            <w:tcW w:type="dxa" w:w="106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0.97</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238</w:t>
            </w:r>
          </w:p>
        </w:tc>
        <w:tc>
          <w:tcPr>
            <w:tcW w:type="dxa" w:w="16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0.14</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1.47</w:t>
            </w:r>
          </w:p>
        </w:tc>
        <w:tc>
          <w:tcPr>
            <w:tcW w:type="dxa" w:w="114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1.61</w:t>
            </w:r>
          </w:p>
        </w:tc>
        <w:tc>
          <w:tcPr>
            <w:tcW w:type="dxa" w:w="147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10.9×</w:t>
            </w:r>
          </w:p>
        </w:tc>
      </w:tr>
      <w:tr>
        <w:trPr>
          <w:tblHeader w:val="false"/>
        </w:trPr>
        <w:tc>
          <w:tcPr>
            <w:tcW w:type="dxa" w:w="82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1 000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 млн</w:t>
            </w:r>
          </w:p>
        </w:tc>
        <w:tc>
          <w:tcPr>
            <w:tcW w:type="dxa" w:w="106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1.88</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239</w:t>
            </w:r>
          </w:p>
        </w:tc>
        <w:tc>
          <w:tcPr>
            <w:tcW w:type="dxa" w:w="16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1.05</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2.16</w:t>
            </w:r>
          </w:p>
        </w:tc>
        <w:tc>
          <w:tcPr>
            <w:tcW w:type="dxa" w:w="114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3.97</w:t>
            </w:r>
          </w:p>
        </w:tc>
        <w:tc>
          <w:tcPr>
            <w:tcW w:type="dxa" w:w="147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w:t>
            </w:r>
          </w:p>
        </w:tc>
      </w:tr>
      <w:tr>
        <w:trPr>
          <w:tblHeader w:val="false"/>
        </w:trPr>
        <w:tc>
          <w:tcPr>
            <w:tcW w:type="dxa" w:w="82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10 000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 млн</w:t>
            </w:r>
          </w:p>
        </w:tc>
        <w:tc>
          <w:tcPr>
            <w:tcW w:type="dxa" w:w="106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3.34</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529</w:t>
            </w:r>
          </w:p>
        </w:tc>
        <w:tc>
          <w:tcPr>
            <w:tcW w:type="dxa" w:w="16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9.10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14.77</w:t>
            </w:r>
          </w:p>
        </w:tc>
        <w:tc>
          <w:tcPr>
            <w:tcW w:type="dxa" w:w="114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7.23</w:t>
            </w:r>
          </w:p>
        </w:tc>
        <w:tc>
          <w:tcPr>
            <w:tcW w:type="dxa" w:w="147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w:t>
            </w:r>
          </w:p>
        </w:tc>
      </w:tr>
      <w:tr>
        <w:trPr>
          <w:tblHeader w:val="false"/>
        </w:trPr>
        <w:tc>
          <w:tcPr>
            <w:tcW w:type="dxa" w:w="82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100 000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120 млн</w:t>
            </w:r>
          </w:p>
        </w:tc>
        <w:tc>
          <w:tcPr>
            <w:tcW w:type="dxa" w:w="106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5.29</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3 837</w:t>
            </w:r>
          </w:p>
        </w:tc>
        <w:tc>
          <w:tcPr>
            <w:tcW w:type="dxa" w:w="16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91.88</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21.36</w:t>
            </w:r>
          </w:p>
        </w:tc>
        <w:tc>
          <w:tcPr>
            <w:tcW w:type="dxa" w:w="114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47.30</w:t>
            </w:r>
          </w:p>
        </w:tc>
        <w:tc>
          <w:tcPr>
            <w:tcW w:type="dxa" w:w="147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0.23×</w:t>
            </w:r>
          </w:p>
        </w:tc>
      </w:tr>
      <w:tr>
        <w:trPr>
          <w:tblHeader w:val="false"/>
        </w:trPr>
        <w:tc>
          <w:tcPr>
            <w:tcW w:type="dxa" w:w="82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1 000 000</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 млрд</w:t>
            </w:r>
          </w:p>
        </w:tc>
        <w:tc>
          <w:tcPr>
            <w:tcW w:type="dxa" w:w="106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разреженное</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8.42</w:t>
            </w:r>
          </w:p>
        </w:tc>
        <w:tc>
          <w:tcPr>
            <w:tcW w:type="dxa" w:w="90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896</w:t>
            </w:r>
          </w:p>
        </w:tc>
        <w:tc>
          <w:tcPr>
            <w:tcW w:type="dxa" w:w="164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279.96</w:t>
            </w:r>
          </w:p>
        </w:tc>
        <w:tc>
          <w:tcPr>
            <w:tcW w:type="dxa" w:w="82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91.96</w:t>
            </w:r>
          </w:p>
        </w:tc>
        <w:tc>
          <w:tcPr>
            <w:tcW w:type="dxa" w:w="114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77.16</w:t>
            </w:r>
          </w:p>
        </w:tc>
        <w:tc>
          <w:tcPr>
            <w:tcW w:type="dxa" w:w="147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0.33×</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Перелом приходится на переход от 10⁴ к 10⁵ значений: время матричного исполнения растёт вместе с числом ячеек — вдесятеро на каждый порядок мощности, — тогда как время колоночной СУБД определяется длиной сводки, которая при неизменном числе фактов почти не растёт. Преимущество меняется с 10.9 раза на 0.33. Это в точности механизм §4.10, наблюдаемый с третьей стороны.</w:t>
      </w:r>
    </w:p>
    <w:p>
      <w:pPr>
        <w:spacing w:after="120" w:before="0" w:line="300"/>
        <w:ind w:firstLine="567"/>
        <w:jc w:val="both"/>
      </w:pPr>
      <w:r>
        <w:rPr>
          <w:rFonts w:ascii="Times New Roman" w:cs="Times New Roman" w:eastAsia="Times New Roman" w:hAnsi="Times New Roman"/>
          <w:sz w:val="24"/>
          <w:szCs w:val="24"/>
        </w:rPr>
        <w:t xml:space="preserve">Ограничение по памяти наступает раньше ограничения по времени. Плотное представление требует 8 байт на ячейку, и вместе со спутниковым счётным гиперкубом — шестнадцати; при 120 млн ячеек пик составил 3.8 ГиБ, при следующем шаге плотный массив занял бы 19 ГиБ, и загрузчик переходит к разреженному представлению по правилу §4.5. Система при этом не отказывает в загрузке и отвечает верно, но выигрыша уже не даёт: разреженная свёртка работает с числом ненулевых элементов, а их столько же, сколько строк у колоночной СУБД, и преимущество предпосчёта исчезает.</w:t>
      </w:r>
    </w:p>
    <w:p>
      <w:pPr>
        <w:spacing w:after="120" w:before="0" w:line="300"/>
        <w:ind w:firstLine="567"/>
        <w:jc w:val="both"/>
      </w:pPr>
      <w:r>
        <w:rPr>
          <w:rFonts w:ascii="Times New Roman" w:cs="Times New Roman" w:eastAsia="Times New Roman" w:hAnsi="Times New Roman"/>
          <w:sz w:val="24"/>
          <w:szCs w:val="24"/>
        </w:rPr>
        <w:t xml:space="preserve">Предельный случай проверен отдельно. Схема из миллиона клиентов и ста тысяч товаров даёт 10¹¹ ячеек: плотно это 1.5 ТиБ вместе со счётным гиперкубом, то есть неосуществимо. Разреженное представление такую схему принимает — при 5 млн фактов гиперкуб строится за 7.2 с, скалярная сумма выполняется за 48 мс, группировка по клиенту с миллионом групп — за 411 мс, — но это уже времена колоночной СУБД, и смысла в матричном исполнении здесь нет.</w:t>
      </w:r>
    </w:p>
    <w:p>
      <w:pPr>
        <w:spacing w:after="120" w:before="0" w:line="300"/>
        <w:ind w:firstLine="567"/>
        <w:jc w:val="both"/>
      </w:pPr>
      <w:r>
        <w:rPr>
          <w:rFonts w:ascii="Times New Roman" w:cs="Times New Roman" w:eastAsia="Times New Roman" w:hAnsi="Times New Roman"/>
          <w:sz w:val="24"/>
          <w:szCs w:val="24"/>
        </w:rPr>
        <w:t xml:space="preserve">Отсюда практическое правило построения схемы, дополняющее критерий §4.10. Гиперкуб строится не по ключам отношения, а по тем осям, в разрезе которых задаются запросы: клиент → регион, товар → категория, дата → месяц. Иерархии (§1) для того и нужны — они позволяют держать гиперкуб на грубых осях, получая мелкую детализацию лишь там, где она действительно запрошена. Схема с ключевыми измерениями высокой мощности — это область колоночной СУБД, и подход к ней неприменим не по недоработке реализации, а по устройству модели: сводка постоянного размера выгодна ровно тогда, когда её размер меньше объёма данных, которые она сводит.</w:t>
      </w:r>
    </w:p>
    <w:p>
      <w:pPr>
        <w:pStyle w:val="Heading1"/>
        <w:spacing w:after="160" w:before="320"/>
      </w:pPr>
      <w:r>
        <w:rPr>
          <w:rFonts w:ascii="Times New Roman" w:cs="Times New Roman" w:eastAsia="Times New Roman" w:hAnsi="Times New Roman"/>
          <w:b/>
          <w:bCs/>
          <w:sz w:val="26"/>
          <w:szCs w:val="26"/>
        </w:rPr>
        <w:t xml:space="preserve">5. Обобщение на полукольца</w:t>
      </w:r>
    </w:p>
    <w:p>
      <w:pPr>
        <w:spacing w:after="120" w:before="0" w:line="300"/>
        <w:ind w:firstLine="567"/>
        <w:jc w:val="both"/>
      </w:pPr>
      <w:r>
        <w:rPr>
          <w:rFonts w:ascii="Times New Roman" w:cs="Times New Roman" w:eastAsia="Times New Roman" w:hAnsi="Times New Roman"/>
          <w:sz w:val="24"/>
          <w:szCs w:val="24"/>
        </w:rPr>
        <w:t xml:space="preserve">Все доказательства предыдущих разделов используют лишь аксиомы коммутативного полукольца: ассоциативность и коммутативность обеих операций, дистрибутивность умножения над сложением, свойства нейтральных элементов. Существование обратного по сложению не используется нигде.</w:t>
      </w:r>
    </w:p>
    <w:p>
      <w:pPr>
        <w:spacing w:after="120" w:before="0" w:line="300"/>
        <w:ind w:firstLine="567"/>
        <w:jc w:val="both"/>
      </w:pPr>
      <w:r>
        <w:rPr>
          <w:rFonts w:ascii="Times New Roman" w:cs="Times New Roman" w:eastAsia="Times New Roman" w:hAnsi="Times New Roman"/>
          <w:sz w:val="24"/>
          <w:szCs w:val="24"/>
        </w:rPr>
        <w:t xml:space="preserve">Предложение 2.</w:t>
      </w:r>
      <w:r>
        <w:rPr>
          <w:rFonts w:ascii="Times New Roman" w:cs="Times New Roman" w:eastAsia="Times New Roman" w:hAnsi="Times New Roman"/>
          <w:sz w:val="24"/>
          <w:szCs w:val="24"/>
        </w:rPr>
        <w:t xml:space="preserve"> Определение (λ, μ)-свёрнутого произведения корректно, а теоремы 1 и 2 со следствием справедливы над любым коммутативным полукольцом.</w:t>
      </w:r>
    </w:p>
    <w:p>
      <w:pPr>
        <w:spacing w:after="120" w:before="0" w:line="300"/>
        <w:ind w:firstLine="567"/>
        <w:jc w:val="both"/>
      </w:pPr>
      <w:r>
        <w:rPr>
          <w:rFonts w:ascii="Times New Roman" w:cs="Times New Roman" w:eastAsia="Times New Roman" w:hAnsi="Times New Roman"/>
          <w:sz w:val="24"/>
          <w:szCs w:val="24"/>
        </w:rPr>
        <w:t xml:space="preserve">Это даёт формально корректное место агрегатам, невыразимым над парой сложения и умножения (табл. 22).</w:t>
      </w:r>
    </w:p>
    <w:p>
      <w:pPr>
        <w:spacing w:after="100" w:before="200" w:line="300"/>
      </w:pPr>
      <w:r>
        <w:rPr>
          <w:rFonts w:ascii="Times New Roman" w:cs="Times New Roman" w:eastAsia="Times New Roman" w:hAnsi="Times New Roman"/>
          <w:i/>
          <w:iCs/>
          <w:sz w:val="24"/>
          <w:szCs w:val="24"/>
        </w:rPr>
        <w:t xml:space="preserve">Таблица 22 — Свёрнутое произведение над различными полукольцами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55"/>
        <w:gridCol w:w="4536"/>
        <w:gridCol w:w="4009"/>
      </w:tblGrid>
      <w:tr>
        <w:trPr>
          <w:tblHeader/>
        </w:trPr>
        <w:tc>
          <w:tcPr>
            <w:tcW w:type="dxa" w:w="105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Полукольцо</w:t>
            </w:r>
          </w:p>
        </w:tc>
        <w:tc>
          <w:tcPr>
            <w:tcW w:type="dxa" w:w="453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Носитель</w:t>
            </w:r>
          </w:p>
        </w:tc>
        <w:tc>
          <w:tcPr>
            <w:tcW w:type="dxa" w:w="400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Смысл операции</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действительные числа</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SUM; исходная алгебра Соколова</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 1}</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основа агрегата COUNT DISTINCT</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(max,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неотрицательные числа</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MAX</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неотрицательные числа с плюс бесконечностью</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MIN</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(max,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действительные числа с минус бесконечностью</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критический путь</w:t>
            </w:r>
          </w:p>
        </w:tc>
      </w:tr>
      <w:tr>
        <w:trPr>
          <w:tblHeader w:val="false"/>
        </w:trPr>
        <w:tc>
          <w:tcPr>
            <w:tcW w:type="dxa" w:w="10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w:t>
            </w:r>
          </w:p>
        </w:tc>
        <w:tc>
          <w:tcPr>
            <w:tcW w:type="dxa" w:w="453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действительные числа с плюс бесконечностью</w:t>
            </w:r>
          </w:p>
        </w:tc>
        <w:tc>
          <w:tcPr>
            <w:tcW w:type="dxa" w:w="400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кратчайшие пути</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Корректность обобщения подтверждается косвенно: повторное (min, +)-произведение матрицы смежности графа даёт матрицу кратчайших путей, то есть операция ведёт себя как полукольцевая, а не подогнана под нужный ответ.</w:t>
      </w:r>
    </w:p>
    <w:p>
      <w:pPr>
        <w:pStyle w:val="Heading2"/>
        <w:spacing w:after="160" w:before="240"/>
      </w:pPr>
      <w:r>
        <w:rPr>
          <w:rFonts w:ascii="Times New Roman" w:cs="Times New Roman" w:eastAsia="Times New Roman" w:hAnsi="Times New Roman"/>
          <w:b/>
          <w:bCs/>
          <w:sz w:val="24"/>
          <w:szCs w:val="24"/>
        </w:rPr>
        <w:t xml:space="preserve">5.1. Ограничение области определения</w:t>
      </w:r>
    </w:p>
    <w:p>
      <w:pPr>
        <w:spacing w:after="120" w:before="0" w:line="300"/>
        <w:ind w:firstLine="567"/>
        <w:jc w:val="both"/>
      </w:pPr>
      <w:r>
        <w:rPr>
          <w:rFonts w:ascii="Times New Roman" w:cs="Times New Roman" w:eastAsia="Times New Roman" w:hAnsi="Times New Roman"/>
          <w:sz w:val="24"/>
          <w:szCs w:val="24"/>
        </w:rPr>
        <w:t xml:space="preserve">Утверждение 3.</w:t>
      </w:r>
      <w:r>
        <w:rPr>
          <w:rFonts w:ascii="Times New Roman" w:cs="Times New Roman" w:eastAsia="Times New Roman" w:hAnsi="Times New Roman"/>
          <w:sz w:val="24"/>
          <w:szCs w:val="24"/>
        </w:rPr>
        <w:t xml:space="preserve"> Пара (max, ·) не образует полукольца на всей числовой оси: дистрибутивность нарушается на отрицательных множителях, поскольку max(2, 3)·(−1) = −3, тогда как max(2·(−1), 3·(−1)) = −2.</w:t>
      </w:r>
    </w:p>
    <w:p>
      <w:pPr>
        <w:spacing w:after="120" w:before="0" w:line="300"/>
        <w:ind w:firstLine="567"/>
        <w:jc w:val="both"/>
      </w:pPr>
      <w:r>
        <w:rPr>
          <w:rFonts w:ascii="Times New Roman" w:cs="Times New Roman" w:eastAsia="Times New Roman" w:hAnsi="Times New Roman"/>
          <w:sz w:val="24"/>
          <w:szCs w:val="24"/>
        </w:rPr>
        <w:t xml:space="preserve">Следствие 2.</w:t>
      </w:r>
      <w:r>
        <w:rPr>
          <w:rFonts w:ascii="Times New Roman" w:cs="Times New Roman" w:eastAsia="Times New Roman" w:hAnsi="Times New Roman"/>
          <w:sz w:val="24"/>
          <w:szCs w:val="24"/>
        </w:rPr>
        <w:t xml:space="preserve"> На знакопеременных данных теорема 2 для (max, ·) неверна: разные порядки свёрток дают разные ответы. Численный эксперимент на цепочке из трёх матриц с элементами из стандартного нормального распределения показал расхождение порядка 1.1 при данных единичного масштаба, тогда как на неотрицательных данных расхождение не превышало 4.4·10</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w:t>
      </w:r>
    </w:p>
    <w:p>
      <w:pPr>
        <w:spacing w:after="120" w:before="0" w:line="300"/>
        <w:ind w:firstLine="567"/>
        <w:jc w:val="both"/>
      </w:pPr>
      <w:r>
        <w:rPr>
          <w:rFonts w:ascii="Times New Roman" w:cs="Times New Roman" w:eastAsia="Times New Roman" w:hAnsi="Times New Roman"/>
          <w:sz w:val="24"/>
          <w:szCs w:val="24"/>
        </w:rPr>
        <w:t xml:space="preserve">На знакопеременных данных, следовательно, теряется корректность переписывания плана. Поэтому утверждение «MIN и MAX суть свёрнутое произведение над полукольцом» верно лишь с оговоркой о неотрицательности мер; в реализации соответствующая проверка выполняется перед вычислением. Тропические полукольца этого ограничения лишены, так как сдвиг сохраняет порядок.</w:t>
      </w:r>
    </w:p>
    <w:p>
      <w:pPr>
        <w:pStyle w:val="Heading2"/>
        <w:spacing w:after="160" w:before="240"/>
      </w:pPr>
      <w:r>
        <w:rPr>
          <w:rFonts w:ascii="Times New Roman" w:cs="Times New Roman" w:eastAsia="Times New Roman" w:hAnsi="Times New Roman"/>
          <w:b/>
          <w:bCs/>
          <w:sz w:val="24"/>
          <w:szCs w:val="24"/>
        </w:rPr>
        <w:t xml:space="preserve">5.2. Агрегат COUNT DISTINCT</w:t>
      </w:r>
    </w:p>
    <w:p>
      <w:pPr>
        <w:spacing w:after="120" w:before="0" w:line="300"/>
        <w:ind w:firstLine="567"/>
        <w:jc w:val="both"/>
      </w:pPr>
      <w:r>
        <w:rPr>
          <w:rFonts w:ascii="Times New Roman" w:cs="Times New Roman" w:eastAsia="Times New Roman" w:hAnsi="Times New Roman"/>
          <w:sz w:val="24"/>
          <w:szCs w:val="24"/>
        </w:rPr>
        <w:t xml:space="preserve">Распространено мнение, что COUNT DISTINCT принципиально не выражается в матричной модели, поскольку требует мощности множества, а не суммы. Это верно лишь для числовых полуколец.</w:t>
      </w:r>
    </w:p>
    <w:p>
      <w:pPr>
        <w:spacing w:after="120" w:before="0" w:line="300"/>
        <w:ind w:firstLine="567"/>
        <w:jc w:val="both"/>
      </w:pPr>
      <w:r>
        <w:rPr>
          <w:rFonts w:ascii="Times New Roman" w:cs="Times New Roman" w:eastAsia="Times New Roman" w:hAnsi="Times New Roman"/>
          <w:sz w:val="24"/>
          <w:szCs w:val="24"/>
        </w:rPr>
        <w:t xml:space="preserve">Предложение 3.</w:t>
      </w:r>
      <w:r>
        <w:rPr>
          <w:rFonts w:ascii="Times New Roman" w:cs="Times New Roman" w:eastAsia="Times New Roman" w:hAnsi="Times New Roman"/>
          <w:sz w:val="24"/>
          <w:szCs w:val="24"/>
        </w:rPr>
        <w:t xml:space="preserve"> Пусть A — гиперкуб факта, d — одна из его осей, G — набор осей группировки, не содержащий d. Тогда COUNT(DISTINCT d) с группировкой по G вычисляется композицией двух свёрнутых произведений: сначала (0, μ)-свёртка индикатора [A ≠ 0] над булевым полукольцом ({0,1}, ∨, ∧) по осям, не входящим ни в G, ни в {d}; затем (0,1)-свёртка результата с матрицей из единиц над (+, ·) по оси d.</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Первая свёртка даёт величину, равную единице тогда и только тогда, когда для данной комбинации значений G и d существует хотя бы одна непустая ячейка, то есть индикатор присутствия значения. Вторая свёртка суммирует эти индикаторы по оси d, что и есть число различных присутствующих значений. □</w:t>
      </w:r>
    </w:p>
    <w:p>
      <w:pPr>
        <w:spacing w:after="120" w:before="0" w:line="300"/>
        <w:ind w:firstLine="567"/>
        <w:jc w:val="both"/>
      </w:pPr>
      <w:r>
        <w:rPr>
          <w:rFonts w:ascii="Times New Roman" w:cs="Times New Roman" w:eastAsia="Times New Roman" w:hAnsi="Times New Roman"/>
          <w:sz w:val="24"/>
          <w:szCs w:val="24"/>
        </w:rPr>
        <w:t xml:space="preserve">Буквальное следование доказательству дорого по памяти. Свёртка над (∨, ∧) не сводится к BLAS и в общем пути вычисляется широковещательным произведением с последующей редукцией, что материализует промежуточный массив размером с сам гиперкуб; вместе с приведением индикатора к числовому типу это давало троекратный расход памяти сверх куба (замер: 5.0 МиБ дополнительно при кубе 1.65 МиБ против 0.07 МиБ у обычного SUM). Однако свёртка с матрицей единиц над (∨, ∧) поэлементно совпадает с прямой ∨-редукцией по тем же осям, а индикатор до самой редукции может оставаться булевым — по байту на ячейку вместо восьми. После обеих поправок дополнительный расход составил 1.87 МиБ, то есть порядка одного размера куба вместо трёх, при том же результате. Это частный случай общего замечания к §5, приведённого ниже: полукольцевая формулировка задаёт смысл операции, а исполняется она наиболее дешёвым эквивалентным способом.</w:t>
      </w:r>
    </w:p>
    <w:p>
      <w:pPr>
        <w:spacing w:after="120" w:before="0" w:line="300"/>
        <w:ind w:firstLine="567"/>
        <w:jc w:val="both"/>
      </w:pPr>
      <w:r>
        <w:rPr>
          <w:rFonts w:ascii="Times New Roman" w:cs="Times New Roman" w:eastAsia="Times New Roman" w:hAnsi="Times New Roman"/>
          <w:sz w:val="24"/>
          <w:szCs w:val="24"/>
        </w:rPr>
        <w:t xml:space="preserve">Существенное ограничение: различаются значения измерения, то есть координаты по оси. Для DISTINCT по произвольной мере потребовалось бы вынести область её значений в отдельную ось, чего модель данных не предусматривает. Реализация поддерживает первый случай и отклоняет второй с объяснением. Результаты сверены с построчным вычислением на нескольких наборах данных.</w:t>
      </w:r>
    </w:p>
    <w:p>
      <w:pPr>
        <w:spacing w:after="120" w:before="0" w:line="300"/>
        <w:ind w:firstLine="567"/>
        <w:jc w:val="both"/>
      </w:pPr>
      <w:r>
        <w:rPr>
          <w:rFonts w:ascii="Times New Roman" w:cs="Times New Roman" w:eastAsia="Times New Roman" w:hAnsi="Times New Roman"/>
          <w:sz w:val="24"/>
          <w:szCs w:val="24"/>
        </w:rPr>
        <w:t xml:space="preserve">Практическое замечание к §5 в целом: einsum и BLAS реализуют лишь пару сложения и умножения, поэтому прочие полукольца вычисляются широковещательным произведением с последующей редукцией, требующим материализации промежуточного массива. В исполнителе запросов агрегаты MIN и MAX по этой причине вычисляются прямой редукцией. Полукольцевая реализация служит обоснованием модели, а не рабочим путём.</w:t>
      </w:r>
    </w:p>
    <w:p>
      <w:pPr>
        <w:pStyle w:val="Heading1"/>
        <w:spacing w:after="160" w:before="320"/>
      </w:pPr>
      <w:r>
        <w:rPr>
          <w:rFonts w:ascii="Times New Roman" w:cs="Times New Roman" w:eastAsia="Times New Roman" w:hAnsi="Times New Roman"/>
          <w:b/>
          <w:bCs/>
          <w:sz w:val="26"/>
          <w:szCs w:val="26"/>
        </w:rPr>
        <w:t xml:space="preserve">6. Ограничения модели</w:t>
      </w:r>
    </w:p>
    <w:p>
      <w:pPr>
        <w:spacing w:after="120" w:before="0" w:line="300"/>
        <w:ind w:firstLine="567"/>
        <w:jc w:val="both"/>
      </w:pPr>
      <w:r>
        <w:rPr>
          <w:rFonts w:ascii="Times New Roman" w:cs="Times New Roman" w:eastAsia="Times New Roman" w:hAnsi="Times New Roman"/>
          <w:sz w:val="24"/>
          <w:szCs w:val="24"/>
        </w:rPr>
        <w:t xml:space="preserve">Границы модели удобно разделить на две: что не выражается в алгебре и что выражается, но остаётся вне реализации. Первое — свойство самой операции, второе — состояние работы. Сводка приведена в табл. 23; всё, что в неё не вошло, транслируется по табл. 3.</w:t>
      </w:r>
    </w:p>
    <w:p>
      <w:pPr>
        <w:spacing w:after="100" w:before="200" w:line="300"/>
      </w:pPr>
      <w:r>
        <w:rPr>
          <w:rFonts w:ascii="Times New Roman" w:cs="Times New Roman" w:eastAsia="Times New Roman" w:hAnsi="Times New Roman"/>
          <w:i/>
          <w:iCs/>
          <w:sz w:val="24"/>
          <w:szCs w:val="24"/>
        </w:rPr>
        <w:t xml:space="preserve">Таблица 23 — Границы модели и реализации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11"/>
        <w:gridCol w:w="5189"/>
      </w:tblGrid>
      <w:tr>
        <w:trPr>
          <w:tblHeader/>
        </w:trPr>
        <w:tc>
          <w:tcPr>
            <w:tcW w:type="dxa" w:w="44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Конструкция</w:t>
            </w:r>
          </w:p>
        </w:tc>
        <w:tc>
          <w:tcPr>
            <w:tcW w:type="dxa" w:w="51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Статус и причина</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MAX над (+, ·)</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выражается: доказано утверждением 2. Выражаются над (max, ·) и (min, ·) при неотрицательных мерах; в исполнителе вычисляются прямой редукцией</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мере</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выражается: требует вынесения области значений меры в отдельную ось, чего модель данных не предусматривает. По измерению выражается (предложение 3)</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Объединение и разность отношений</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выражается над числовыми полукольцами: требует полукольца множеств. Не реализовано</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ORDER BY, LIMIT, HAVING</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Вне алгебры по природе: действуют над развёрнутой таблицей результата, а не над гиперкубами. Поддержаны реализацией отдельным шагом после стягивания (§2)</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θ-соединение измерения с самим собой</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Требует переименованной копии измерения: одна ось не может выступать в свёртке двумя разными индексами. Соединение разных измерений по любому из отношений =, ≠, &lt;, ≤, &gt;, ≥ поддержано матрицей сравнения (§2) ценой матрицы из произведения мощностей соединяемых измерений</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MAX и COUNT DISTINCT по соединению двух фактов</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Отклоняются с объяснением: обе конструкции суть редукции над одним гиперкубом, а не свёртки, и на произведение гиперкубов не переносятся. SUM, COUNT и AVG по такому соединению поддержаны</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Группа, все меры которой отсутствуют</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выражается: мощность её слоя равна нулю, и от отсутствующей группы она неотличима. SQL вернул бы такую группу со значением NULL; прочие случаи отсутствующих значений совпадают с SQL (§1)</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Трёхзначная логика как самостоятельное значение</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выражается: полукольцо коэффициентов содержит два значения индикатора, а не три. Поведение WHERE, IS NULL, отрицания и группировки при этом воспроизводится представлением отсутствия отдельным ординалом измерения (§1)</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ROLLUP, GROUPING SETS</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Выражаются набором стягиваний с разными выходными наборами осей, дающим общий промежуточный результат; не реализованы</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Коррелированные подзапросы</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реализованы; поддержан простой подзапрос в условии принадлежности</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Изменение данных (UPDATE, DELETE)</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реализовано. Поддержана дозагрузка добавлением: словари измерений расширяются в конец, новые меры прибавляются к существующим ячейкам, версия куба увеличивается. Точечное изменение меры потребовало бы вычитания прежнего вклада из ячейки, что при ⊕-схлопывании слоя восстановимо лишь при выполнении условия предложения 1; удаление кортежа неразрешимо и в этом случае, если полукольцо не имеет обратного по сложению. Повторная загрузка того же факта перестраивает гиперкуб целиком</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Изоморфизм моделей в общем случае</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Имеет место лишь при условии предложения 1</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К этому добавляется ограничение, общее для всей многомерно-матричной модели и теперь измеренное количественно (§4.4, §4.13): время свёртки определяется числом ячеек гиперкуба, а не числом фактов. Управляемый опыт §4.10 уточняет, как из этого следует граница: при равном предпосчёте решает не плотность, а абсолютный размер куба, и до двух-трёх миллионов ячеек преимущество остаётся за матричным исполнением, выше — теряется. Поскольку число ячеек есть произведение мощностей измерений, требование к схеме получается жёстким: измерения должны быть достаточно грубыми. Переход к разреженному представлению снимает это ограничение лишь отчасти и лишь для простых свёрток (§4.5): на составных запросах разреженный путь уступает плотному при любой заполненности. Именно соотношение числа фактов и числа ячеек, а не разреженность сама по себе, и есть настоящая граница применимости подхода. Развёртка §4.13 переводит это в требование к схеме: измерение мощности 10⁵ и выше выводит гиперкуб за пределы выгодного размера, поэтому оси следует брать теми, в разрезе которых задаются запросы, а мелкую детализацию получать по иерархии.</w:t>
      </w:r>
    </w:p>
    <w:p>
      <w:pPr>
        <w:pStyle w:val="Heading1"/>
        <w:spacing w:after="160" w:before="320"/>
      </w:pPr>
      <w:r>
        <w:rPr>
          <w:rFonts w:ascii="Times New Roman" w:cs="Times New Roman" w:eastAsia="Times New Roman" w:hAnsi="Times New Roman"/>
          <w:b/>
          <w:bCs/>
          <w:sz w:val="26"/>
          <w:szCs w:val="26"/>
        </w:rPr>
        <w:t xml:space="preserve">Заключение</w:t>
      </w:r>
    </w:p>
    <w:p>
      <w:pPr>
        <w:spacing w:after="120" w:before="0" w:line="300"/>
        <w:ind w:firstLine="567"/>
        <w:jc w:val="both"/>
      </w:pPr>
      <w:r>
        <w:rPr>
          <w:rFonts w:ascii="Times New Roman" w:cs="Times New Roman" w:eastAsia="Times New Roman" w:hAnsi="Times New Roman"/>
          <w:sz w:val="24"/>
          <w:szCs w:val="24"/>
        </w:rPr>
        <w:t xml:space="preserve">Построена и измерена программная реализация алгебраической машины баз данных на (λ, μ)-свёрнутом произведении многомерных матриц.</w:t>
      </w:r>
    </w:p>
    <w:p>
      <w:pPr>
        <w:spacing w:after="80" w:line="280"/>
        <w:ind w:left="340" w:hanging="340"/>
        <w:jc w:val="both"/>
      </w:pPr>
      <w:r>
        <w:rPr>
          <w:rFonts w:ascii="Times New Roman" w:cs="Times New Roman" w:eastAsia="Times New Roman" w:hAnsi="Times New Roman"/>
          <w:sz w:val="22"/>
          <w:szCs w:val="22"/>
        </w:rPr>
        <w:t xml:space="preserve">1. Установлено соответствие ролей индексов свёрнутого произведения конструкциям языка запросов: λ-индексы отвечают соединению с сохранением ключа группировки, μ-индексы — соединению с последующей агрегацией. Правила трансляции выписаны для двадцати двух конструкций языка и сведены в табл. 3. Условие отбора, свёртка по иерархии, оконная функция, ограничение доступа, разбор случаев CASE WHEN и соединение по неравенству выражаются добавлением одного операнда в ту же свёртку, а не отдельными проходами по данным; для соединения по неравенству таким операндом служит матрица сравнения M[i, j] = [i θ j], той же природы, что матрица перехода иерархии и треугольная матрица окна. Границы модели разделены на два вида — непредставимое в алгебре и выразимое, но не реализованное (табл. 23).</w:t>
      </w:r>
    </w:p>
    <w:p>
      <w:pPr>
        <w:spacing w:after="120" w:before="0" w:line="300"/>
        <w:ind w:firstLine="567"/>
        <w:jc w:val="both"/>
      </w:pPr>
      <w:r>
        <w:rPr>
          <w:rFonts w:ascii="Times New Roman" w:cs="Times New Roman" w:eastAsia="Times New Roman" w:hAnsi="Times New Roman"/>
          <w:sz w:val="24"/>
          <w:szCs w:val="24"/>
        </w:rPr>
        <w:t xml:space="preserve">2. Доказана теорема о разложении многооперандного стягивания в композицию бинарных свёрнутых произведений; из неё следует независимость результата от порядка свёрток и корректность оптимизации плана. Выигрыш от выбора порядка достигает сорока раз на типовом запросе.</w:t>
      </w:r>
    </w:p>
    <w:p>
      <w:pPr>
        <w:spacing w:after="80" w:line="280"/>
        <w:ind w:left="340" w:hanging="340"/>
        <w:jc w:val="both"/>
      </w:pPr>
      <w:r>
        <w:rPr>
          <w:rFonts w:ascii="Times New Roman" w:cs="Times New Roman" w:eastAsia="Times New Roman" w:hAnsi="Times New Roman"/>
          <w:sz w:val="22"/>
          <w:szCs w:val="22"/>
        </w:rPr>
        <w:t xml:space="preserve">3. Найдено точное условие обратимости отображения отношения в гиперкуб — набор измерений должен быть ключом отношения фактов. Отсюда следует, что соответствие реляционной и многомерно-матричной моделей в общем случае является гомоморфизмом, но не изоморфизмом, и объясняется различие гранулярности агрегатов MIN и MAX.</w:t>
      </w:r>
    </w:p>
    <w:p>
      <w:pPr>
        <w:spacing w:after="80" w:line="280"/>
        <w:ind w:left="340" w:hanging="340"/>
        <w:jc w:val="both"/>
      </w:pPr>
      <w:r>
        <w:rPr>
          <w:rFonts w:ascii="Times New Roman" w:cs="Times New Roman" w:eastAsia="Times New Roman" w:hAnsi="Times New Roman"/>
          <w:sz w:val="22"/>
          <w:szCs w:val="22"/>
        </w:rPr>
        <w:t xml:space="preserve">4. Доказана непредставимость MIN и MAX над полем действительных чисел и показано, что они, а также COUNT DISTINCT по измерению, выражаются над другими полукольцами — соответственно (max, ·) и ({0,1}, ∨, ∧). Для (max, ·) установлено ограничение области определения, без соблюдения которого теряется корректность переписывания плана.</w:t>
      </w:r>
    </w:p>
    <w:p>
      <w:pPr>
        <w:spacing w:after="120" w:before="0" w:line="300"/>
        <w:ind w:firstLine="567"/>
        <w:jc w:val="both"/>
      </w:pPr>
      <w:r>
        <w:rPr>
          <w:rFonts w:ascii="Times New Roman" w:cs="Times New Roman" w:eastAsia="Times New Roman" w:hAnsi="Times New Roman"/>
          <w:sz w:val="24"/>
          <w:szCs w:val="24"/>
        </w:rPr>
        <w:t xml:space="preserve">5. Схема распараллеливания сопоставлена с алгоритмом [6]. Разбиение по скоттовым индексам, обоснованное там, не требует репликации сомножителей, тогда как разбиение по свободным осям реплицирует один из них; реализация следует этому правилу. Оно подтверждено измерением: при четырёх узлах разбиение по свободной оси увеличивает объём пересылок в 2.5 раза при неизменном результате.</w:t>
      </w:r>
    </w:p>
    <w:p>
      <w:pPr>
        <w:spacing w:after="80" w:line="280"/>
        <w:ind w:left="340" w:hanging="340"/>
        <w:jc w:val="both"/>
      </w:pPr>
      <w:r>
        <w:rPr>
          <w:rFonts w:ascii="Times New Roman" w:cs="Times New Roman" w:eastAsia="Times New Roman" w:hAnsi="Times New Roman"/>
          <w:sz w:val="22"/>
          <w:szCs w:val="22"/>
        </w:rPr>
        <w:t xml:space="preserve">6. Показано, что при λ ≥ 1 свёрнутое произведение сводится к пакетному матричному умножению разложением на сечения, обоснованным в [6]. Относительно прямого стягивания по определению разложение даёт около десятикратного ускорения, устойчивого по мощности свободной оси, поскольку выигрыш создаётся переходом к операциям BLAS третьего уровня. Отсюда правило выбора маршрута исполнения по числу скоттовых индексов: при λ = 0 предпочтителен единый вызов einsum, при λ ≥ 1 — разложение на сечения. Граница проходит там, где свёрнутое произведение отличается от обычной тензорной свёртки.</w:t>
      </w:r>
    </w:p>
    <w:p>
      <w:pPr>
        <w:spacing w:after="80" w:line="280"/>
        <w:ind w:left="340" w:hanging="340"/>
        <w:jc w:val="both"/>
      </w:pPr>
      <w:r>
        <w:rPr>
          <w:rFonts w:ascii="Times New Roman" w:cs="Times New Roman" w:eastAsia="Times New Roman" w:hAnsi="Times New Roman"/>
          <w:sz w:val="22"/>
          <w:szCs w:val="22"/>
        </w:rPr>
        <w:t xml:space="preserve">7. Проведено сравнение с колоночной СУБД DuckDB и с ClickHouse на одиннадцати запросах с построчной сверкой результатов во всех трёх системах. Против DuckDB преимущество составляет от 1.3 до 4.5 раза, против ClickHouse — от 3.6 до 66; наименьшее оно там, где запрос сводится к одной агрегации, наибольшее — где несколько операций сливаются в одно стягивание. Симметричное сравнение, где все системы стартуют из предпосчитанной сводки одинаковой гранулярности, отделяет вклад алгебры от вклада предварительной агрегации. Развёртки по трём параметрам дали правило: время свёртки определяется числом ячеек гиперкуба, время колоночной СУБД — числом строк, поэтому отношение времён есть функция числа фактов на ячейку. Преимущество растёт с объёмом фактов — до 7.8 раза при 5 млн строк — и теряется при менее чем одном факте на ячейку. Однократное построение гиперкуба окупается начиная с 10–29 запросов на составных и с 458 на одиночной группировке.</w:t>
      </w:r>
    </w:p>
    <w:p>
      <w:pPr>
        <w:spacing w:after="80" w:line="280"/>
        <w:ind w:left="340" w:hanging="340"/>
        <w:jc w:val="both"/>
      </w:pPr>
      <w:r>
        <w:rPr>
          <w:rFonts w:ascii="Times New Roman" w:cs="Times New Roman" w:eastAsia="Times New Roman" w:hAnsi="Times New Roman"/>
          <w:sz w:val="22"/>
          <w:szCs w:val="22"/>
        </w:rPr>
        <w:t xml:space="preserve">8. Двумя управляемыми опытами уточнено правило, связывающее время исполнения с устройством данных. Согласия трёх развёрток недостаточно: в них обе величины менялись одновременно. Разделение показывает, что отношение времён определяется не одной величиной, а двумя — числом ячеек гиперкуба и длиной сводки, ограниченной сверху тем же числом ячеек. При равном предпосчёте плотность выше двух фактов на ячейку не влияет ни на что, и граница проходит по абсолютному размеру: два-три миллиона ячеек.</w:t>
      </w:r>
    </w:p>
    <w:p>
      <w:pPr>
        <w:spacing w:after="80" w:line="280"/>
        <w:ind w:left="340" w:hanging="340"/>
        <w:jc w:val="both"/>
      </w:pPr>
      <w:r>
        <w:rPr>
          <w:rFonts w:ascii="Times New Roman" w:cs="Times New Roman" w:eastAsia="Times New Roman" w:hAnsi="Times New Roman"/>
          <w:sz w:val="22"/>
          <w:szCs w:val="22"/>
        </w:rPr>
        <w:t xml:space="preserve">9. Измерено произведение гиперкуба на гиперкуб — случай, в котором появляются скоттовы индексы и который в предыдущих разделах не рассматривался. Здесь преимущество наибольшее из всех измеренных: 7.8 раза против DuckDB и 38 против ClickHouse. Соединение двух гиперкубов не стоит матричному исполнению ничего сверх самой свёртки, тогда как колоночной СУБД приходится строить хеш-таблицу по составному ключу. Тем самым практический результат и теоретическая особенность модели указывают на одно и то же место: выигрыш даёт именно та конструкция, которая отличает свёрнутое произведение от тензорной свёртки.</w:t>
      </w:r>
    </w:p>
    <w:p>
      <w:pPr>
        <w:spacing w:after="80" w:line="280"/>
        <w:ind w:left="340" w:hanging="340"/>
        <w:jc w:val="both"/>
      </w:pPr>
      <w:r>
        <w:rPr>
          <w:rFonts w:ascii="Times New Roman" w:cs="Times New Roman" w:eastAsia="Times New Roman" w:hAnsi="Times New Roman"/>
          <w:sz w:val="22"/>
          <w:szCs w:val="22"/>
        </w:rPr>
        <w:t xml:space="preserve">10. Показано, что отсутствующие значения укладываются в модель без введения третьего логического значения. Отсутствующая мера отображается в нейтральный по ⊕ элемент, а спутниковый счётный гиперкуб строится по кортежам с известной мерой, отчего SUM, COUNT и AVG совпадают с SQL. Отсутствующее значение измерения получает отдельный ординал словаря: группировка собирает такие кортежи в одну группу, индикатор всякого сравнения равен на этом ординале нулю, а дополнение индикатора берётся с его обнулением — двузначная арифметика воспроизводит трёхзначную логику условия отбора. Совпадение с SQL проверено построчно на одиннадцати конструкциях; единственное расхождение — группа, все меры которой отсутствуют.</w:t>
      </w:r>
    </w:p>
    <w:p>
      <w:pPr>
        <w:spacing w:after="80" w:line="280"/>
        <w:ind w:left="340" w:hanging="340"/>
        <w:jc w:val="both"/>
      </w:pPr>
      <w:r>
        <w:rPr>
          <w:rFonts w:ascii="Times New Roman" w:cs="Times New Roman" w:eastAsia="Times New Roman" w:hAnsi="Times New Roman"/>
          <w:sz w:val="22"/>
          <w:szCs w:val="22"/>
        </w:rPr>
        <w:t xml:space="preserve">11. Измерена зависимость от мощности измерений (§4.13) — величины, через которую критерий §4.10 переводится в требование к схеме. При росте мощности одного измерения от 10² до 10⁶ при неизменных 5 млн фактов преимущество меняется с 10.9 раза на 0.33, причём перелом приходится на 10⁵ значений, а ограничение по памяти наступает раньше ограничения по времени: при 1.2 млрд ячеек плотное представление потребовало бы 19 ГиБ, и загрузчик автоматически переходит к разреженному. Отсюда правило построения схемы: оси гиперкуба следует брать теми, в разрезе которых задаются запросы, а не ключами отношения.</w:t>
      </w:r>
    </w:p>
    <w:p>
      <w:pPr>
        <w:spacing w:after="120" w:before="0" w:line="300"/>
        <w:ind w:firstLine="567"/>
        <w:jc w:val="both"/>
      </w:pPr>
      <w:r>
        <w:rPr>
          <w:rFonts w:ascii="Times New Roman" w:cs="Times New Roman" w:eastAsia="Times New Roman" w:hAnsi="Times New Roman"/>
          <w:sz w:val="24"/>
          <w:szCs w:val="24"/>
        </w:rPr>
        <w:t xml:space="preserve">12. Установлено, что выбор физического представления не сводится к заполненности: ниже 4 % заполнения разреженный путь выгоднее плотного на простой свёртке, но проигрывает ему на всех уровнях заполнения, когда операндов в плане четыре. Отсюда следует, что выбор представления должен приниматься оптимизатором по форме плана, а не загрузчиком по одной лишь заполненности.</w:t>
      </w:r>
    </w:p>
    <w:p>
      <w:pPr>
        <w:spacing w:after="120" w:before="0" w:line="300"/>
        <w:ind w:firstLine="567"/>
        <w:jc w:val="both"/>
      </w:pPr>
      <w:r>
        <w:rPr>
          <w:rFonts w:ascii="Times New Roman" w:cs="Times New Roman" w:eastAsia="Times New Roman" w:hAnsi="Times New Roman"/>
          <w:sz w:val="24"/>
          <w:szCs w:val="24"/>
        </w:rPr>
        <w:t xml:space="preserve">Направления дальнейшей работы. Распределённое умножение на внутреннем уровне — обобщение алгоритма Кэннона по схеме [6] — в настоящей работе не реализовано, и замеры §4.9 показывают, что от ускорения счёта его вводить незачем: разложение на сечения уже внесено в ядро, а внутриузловое разбиение по сечениям многопоточный BLAS не обгоняет (0.74–1.04 от его времени), лишь заменяя собой его многопоточность. Основанием для распределённого уровня служит поэтому не пропускная способность, а объём памяти: по §4.13 ограничение по ней наступает раньше ограничения по времени, и гиперкуб, не помещающийся в память одного узла, иначе непредставим вовсе. Требование [6] о равенстве мощностей всех измерений при этом пришлось бы либо принять, либо обойти. Прочие направления: расширение класса представимых запросов за счёт полукольца множеств, дающего объединение и разность отношений; выбор физического представления как решение оптимизатора по форме плана, а не загрузчика по одной заполненности (§4.5); наборы группировок ROLLUP и GROUPING SETS как семейство стягиваний с общим промежуточным результатом. Отдельное направление — исполнение на графическом ускорителе: свёрнутое произведение сводится к пакетному матричному умножению (§4.6), то есть к операции, для которой ускоритель и предназначен, а порог выгодности такого переноса определяется отношением числа операций к объёму пересылаемых данных; в реализации выбор устройства по этому отношению предусмотрен, но замеров на ускорителе настоящая работа не содержит.</w:t>
      </w:r>
    </w:p>
    <w:p>
      <w:pPr>
        <w:pStyle w:val="Heading1"/>
        <w:spacing w:after="160" w:before="320"/>
      </w:pPr>
      <w:r>
        <w:rPr>
          <w:rFonts w:ascii="Times New Roman" w:cs="Times New Roman" w:eastAsia="Times New Roman" w:hAnsi="Times New Roman"/>
          <w:b/>
          <w:bCs/>
          <w:sz w:val="26"/>
          <w:szCs w:val="26"/>
        </w:rPr>
        <w:t xml:space="preserve">Приложение. Минимальный пример трансляции</w:t>
      </w:r>
    </w:p>
    <w:p>
      <w:pPr>
        <w:pStyle w:val="Heading2"/>
        <w:spacing w:after="160" w:before="240"/>
      </w:pPr>
      <w:r>
        <w:rPr>
          <w:rFonts w:ascii="Times New Roman" w:cs="Times New Roman" w:eastAsia="Times New Roman" w:hAnsi="Times New Roman"/>
          <w:b/>
          <w:bCs/>
          <w:sz w:val="24"/>
          <w:szCs w:val="24"/>
        </w:rPr>
        <w:t xml:space="preserve">П.1. Составной запрос</w:t>
      </w:r>
    </w:p>
    <w:p>
      <w:pPr>
        <w:spacing w:after="120" w:before="0" w:line="300"/>
        <w:ind w:firstLine="567"/>
        <w:jc w:val="both"/>
      </w:pPr>
      <w:r>
        <w:rPr>
          <w:rFonts w:ascii="Times New Roman" w:cs="Times New Roman" w:eastAsia="Times New Roman" w:hAnsi="Times New Roman"/>
          <w:sz w:val="24"/>
          <w:szCs w:val="24"/>
        </w:rPr>
        <w:t xml:space="preserve">Пример показывает весь путь от запроса до элементарной операции ядра. Схема: гиперкуб продаж по измерениям (клиент, товар, дата) мощностей 100 × 100 × 120, справочник товаров с атрибутом «категория» и мерой «цена», иерархия дата → месяц.</w:t>
      </w:r>
    </w:p>
    <w:p>
      <w:pPr>
        <w:spacing w:after="0" w:line="260"/>
        <w:ind w:left="567"/>
      </w:pPr>
      <w:r>
        <w:rPr>
          <w:rFonts w:ascii="Courier New" w:cs="Courier New" w:eastAsia="Courier New" w:hAnsi="Courier New"/>
          <w:sz w:val="20"/>
          <w:szCs w:val="20"/>
        </w:rPr>
        <w:t xml:space="preserve">from amdb import Database</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db = Database()</w:t>
      </w:r>
    </w:p>
    <w:p>
      <w:pPr>
        <w:spacing w:after="0" w:line="260"/>
        <w:ind w:left="567"/>
      </w:pPr>
      <w:r>
        <w:rPr>
          <w:rFonts w:ascii="Courier New" w:cs="Courier New" w:eastAsia="Courier New" w:hAnsi="Courier New"/>
          <w:sz w:val="20"/>
          <w:szCs w:val="20"/>
        </w:rPr>
        <w:t xml:space="preserve">db.load_frame(sales, ["customer", "product", "date"], "quantity", "sales")</w:t>
      </w:r>
    </w:p>
    <w:p>
      <w:pPr>
        <w:spacing w:after="0" w:line="260"/>
        <w:ind w:left="567"/>
      </w:pPr>
      <w:r>
        <w:rPr>
          <w:rFonts w:ascii="Courier New" w:cs="Courier New" w:eastAsia="Courier New" w:hAnsi="Courier New"/>
          <w:sz w:val="20"/>
          <w:szCs w:val="20"/>
        </w:rPr>
        <w:t xml:space="preserve">db.load_dimension(products, "product",</w:t>
      </w:r>
    </w:p>
    <w:p>
      <w:pPr>
        <w:spacing w:after="0" w:line="260"/>
        <w:ind w:left="567"/>
      </w:pPr>
      <w:r>
        <w:rPr>
          <w:rFonts w:ascii="Courier New" w:cs="Courier New" w:eastAsia="Courier New" w:hAnsi="Courier New"/>
          <w:sz w:val="20"/>
          <w:szCs w:val="20"/>
        </w:rPr>
        <w:t xml:space="preserve">                  attributes=["category"], measures=["price"])</w:t>
      </w:r>
    </w:p>
    <w:p>
      <w:pPr>
        <w:spacing w:after="0" w:line="260"/>
        <w:ind w:left="567"/>
      </w:pPr>
      <w:r>
        <w:rPr>
          <w:rFonts w:ascii="Courier New" w:cs="Courier New" w:eastAsia="Courier New" w:hAnsi="Courier New"/>
          <w:sz w:val="20"/>
          <w:szCs w:val="20"/>
        </w:rPr>
        <w:t xml:space="preserve">db.add_hierarchy("date", "month", {i: f"M{i // 10}" for i in range(120)})</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print(db.explain(</w:t>
      </w:r>
    </w:p>
    <w:p>
      <w:pPr>
        <w:spacing w:after="0" w:line="260"/>
        <w:ind w:left="567"/>
      </w:pPr>
      <w:r>
        <w:rPr>
          <w:rFonts w:ascii="Courier New" w:cs="Courier New" w:eastAsia="Courier New" w:hAnsi="Courier New"/>
          <w:sz w:val="20"/>
          <w:szCs w:val="20"/>
        </w:rPr>
        <w:t xml:space="preserve">    "SELECT customer, month, SUM(sales.quantity * product.price) AS revenue "</w:t>
      </w:r>
    </w:p>
    <w:p>
      <w:pPr>
        <w:spacing w:after="0" w:line="260"/>
        <w:ind w:left="567"/>
      </w:pPr>
      <w:r>
        <w:rPr>
          <w:rFonts w:ascii="Courier New" w:cs="Courier New" w:eastAsia="Courier New" w:hAnsi="Courier New"/>
          <w:sz w:val="20"/>
          <w:szCs w:val="20"/>
        </w:rPr>
        <w:t xml:space="preserve">    "FROM sales JOIN product "</w:t>
      </w:r>
    </w:p>
    <w:p>
      <w:pPr>
        <w:spacing w:after="0" w:line="260"/>
        <w:ind w:left="567"/>
      </w:pPr>
      <w:r>
        <w:rPr>
          <w:rFonts w:ascii="Courier New" w:cs="Courier New" w:eastAsia="Courier New" w:hAnsi="Courier New"/>
          <w:sz w:val="20"/>
          <w:szCs w:val="20"/>
        </w:rPr>
        <w:t xml:space="preserve">    "WHERE product.category = 'A' "</w:t>
      </w:r>
    </w:p>
    <w:p>
      <w:pPr>
        <w:spacing w:after="0" w:line="260"/>
        <w:ind w:left="567"/>
      </w:pPr>
      <w:r>
        <w:rPr>
          <w:rFonts w:ascii="Courier New" w:cs="Courier New" w:eastAsia="Courier New" w:hAnsi="Courier New"/>
          <w:sz w:val="20"/>
          <w:szCs w:val="20"/>
        </w:rPr>
        <w:t xml:space="preserve">    "GROUP BY customer, month"))</w:t>
      </w:r>
    </w:p>
    <w:p>
      <w:pPr>
        <w:spacing w:after="120" w:before="0" w:line="300"/>
        <w:ind w:firstLine="567"/>
        <w:jc w:val="both"/>
      </w:pPr>
      <w:r>
        <w:rPr>
          <w:rFonts w:ascii="Times New Roman" w:cs="Times New Roman" w:eastAsia="Times New Roman" w:hAnsi="Times New Roman"/>
          <w:sz w:val="24"/>
          <w:szCs w:val="24"/>
        </w:rPr>
        <w:t xml:space="preserve">Вывод плана:</w:t>
      </w:r>
    </w:p>
    <w:p>
      <w:pPr>
        <w:spacing w:after="0" w:line="260"/>
        <w:ind w:left="567"/>
      </w:pPr>
      <w:r>
        <w:rPr>
          <w:rFonts w:ascii="Courier New" w:cs="Courier New" w:eastAsia="Courier New" w:hAnsi="Courier New"/>
          <w:sz w:val="20"/>
          <w:szCs w:val="20"/>
        </w:rPr>
        <w:t xml:space="preserve">источники: sales, product</w:t>
      </w:r>
    </w:p>
    <w:p>
      <w:pPr>
        <w:spacing w:after="0" w:line="260"/>
        <w:ind w:left="567"/>
      </w:pPr>
      <w:r>
        <w:rPr>
          <w:rFonts w:ascii="Courier New" w:cs="Courier New" w:eastAsia="Courier New" w:hAnsi="Courier New"/>
          <w:sz w:val="20"/>
          <w:szCs w:val="20"/>
        </w:rPr>
        <w:t xml:space="preserve">GROUP BY: customer, month</w:t>
      </w:r>
    </w:p>
    <w:p>
      <w:pPr>
        <w:spacing w:after="0" w:line="260"/>
        <w:ind w:left="567"/>
      </w:pPr>
      <w:r>
        <w:rPr>
          <w:rFonts w:ascii="Courier New" w:cs="Courier New" w:eastAsia="Courier New" w:hAnsi="Courier New"/>
          <w:sz w:val="20"/>
          <w:szCs w:val="20"/>
        </w:rPr>
        <w:t xml:space="preserve">фильтр: Mask('product',) selected=50/100</w:t>
      </w:r>
    </w:p>
    <w:p>
      <w:pPr>
        <w:spacing w:after="0" w:line="260"/>
        <w:ind w:left="567"/>
      </w:pPr>
      <w:r>
        <w:rPr>
          <w:rFonts w:ascii="Courier New" w:cs="Courier New" w:eastAsia="Courier New" w:hAnsi="Courier New"/>
          <w:sz w:val="20"/>
          <w:szCs w:val="20"/>
        </w:rPr>
        <w:t xml:space="preserve">агрегат: SUM(quantity * price) AS revenue</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План выполнения:</w:t>
      </w:r>
    </w:p>
    <w:p>
      <w:pPr>
        <w:spacing w:after="0" w:line="260"/>
        <w:ind w:left="567"/>
      </w:pPr>
      <w:r>
        <w:rPr>
          <w:rFonts w:ascii="Courier New" w:cs="Courier New" w:eastAsia="Courier New" w:hAnsi="Courier New"/>
          <w:sz w:val="20"/>
          <w:szCs w:val="20"/>
        </w:rPr>
        <w:t xml:space="preserve">  GROUP BY: ['customer', 'month']</w:t>
      </w:r>
    </w:p>
    <w:p>
      <w:pPr>
        <w:spacing w:after="0" w:line="260"/>
        <w:ind w:left="567"/>
      </w:pPr>
      <w:r>
        <w:rPr>
          <w:rFonts w:ascii="Courier New" w:cs="Courier New" w:eastAsia="Courier New" w:hAnsi="Courier New"/>
          <w:sz w:val="20"/>
          <w:szCs w:val="20"/>
        </w:rPr>
        <w:t xml:space="preserve">  revenue: SUM</w:t>
      </w:r>
    </w:p>
    <w:p>
      <w:pPr>
        <w:spacing w:after="0" w:line="260"/>
        <w:ind w:left="567"/>
      </w:pPr>
      <w:r>
        <w:rPr>
          <w:rFonts w:ascii="Courier New" w:cs="Courier New" w:eastAsia="Courier New" w:hAnsi="Courier New"/>
          <w:sz w:val="20"/>
          <w:szCs w:val="20"/>
        </w:rPr>
        <w:t xml:space="preserve">      +1 x einsum('abc,b,cd,b-&gt;ad')  (0,2)-свёртка</w:t>
      </w:r>
    </w:p>
    <w:p>
      <w:pPr>
        <w:spacing w:after="0" w:line="260"/>
        <w:ind w:left="567"/>
      </w:pPr>
      <w:r>
        <w:rPr>
          <w:rFonts w:ascii="Courier New" w:cs="Courier New" w:eastAsia="Courier New" w:hAnsi="Courier New"/>
          <w:sz w:val="20"/>
          <w:szCs w:val="20"/>
        </w:rPr>
        <w:t xml:space="preserve">          [ sales['customer', 'product', 'date'],</w:t>
      </w:r>
    </w:p>
    <w:p>
      <w:pPr>
        <w:spacing w:after="0" w:line="260"/>
        <w:ind w:left="567"/>
      </w:pPr>
      <w:r>
        <w:rPr>
          <w:rFonts w:ascii="Courier New" w:cs="Courier New" w:eastAsia="Courier New" w:hAnsi="Courier New"/>
          <w:sz w:val="20"/>
          <w:szCs w:val="20"/>
        </w:rPr>
        <w:t xml:space="preserve">            price['product'],</w:t>
      </w:r>
    </w:p>
    <w:p>
      <w:pPr>
        <w:spacing w:after="0" w:line="260"/>
        <w:ind w:left="567"/>
      </w:pPr>
      <w:r>
        <w:rPr>
          <w:rFonts w:ascii="Courier New" w:cs="Courier New" w:eastAsia="Courier New" w:hAnsi="Courier New"/>
          <w:sz w:val="20"/>
          <w:szCs w:val="20"/>
        </w:rPr>
        <w:t xml:space="preserve">            rollup:date-&gt;month['date', 'month'],</w:t>
      </w:r>
    </w:p>
    <w:p>
      <w:pPr>
        <w:spacing w:after="0" w:line="260"/>
        <w:ind w:left="567"/>
      </w:pPr>
      <w:r>
        <w:rPr>
          <w:rFonts w:ascii="Courier New" w:cs="Courier New" w:eastAsia="Courier New" w:hAnsi="Courier New"/>
          <w:sz w:val="20"/>
          <w:szCs w:val="20"/>
        </w:rPr>
        <w:t xml:space="preserve">            mask:product['product'] ]</w:t>
      </w:r>
    </w:p>
    <w:p>
      <w:pPr>
        <w:spacing w:after="0" w:line="260"/>
        <w:ind w:left="567"/>
      </w:pPr>
      <w:r>
        <w:rPr>
          <w:rFonts w:ascii="Courier New" w:cs="Courier New" w:eastAsia="Courier New" w:hAnsi="Courier New"/>
          <w:sz w:val="20"/>
          <w:szCs w:val="20"/>
        </w:rPr>
        <w:t xml:space="preserve">  наличие групп: einsum('abc,cd,b-&gt;ad')  (0,2)-свёртка</w:t>
      </w:r>
    </w:p>
    <w:p>
      <w:pPr>
        <w:spacing w:after="0" w:line="260"/>
        <w:ind w:left="567"/>
      </w:pPr>
      <w:r>
        <w:rPr>
          <w:rFonts w:ascii="Courier New" w:cs="Courier New" w:eastAsia="Courier New" w:hAnsi="Courier New"/>
          <w:sz w:val="20"/>
          <w:szCs w:val="20"/>
        </w:rPr>
        <w:t xml:space="preserve">          [ sales__count['customer', 'product', 'date'],</w:t>
      </w:r>
    </w:p>
    <w:p>
      <w:pPr>
        <w:spacing w:after="0" w:line="260"/>
        <w:ind w:left="567"/>
      </w:pPr>
      <w:r>
        <w:rPr>
          <w:rFonts w:ascii="Courier New" w:cs="Courier New" w:eastAsia="Courier New" w:hAnsi="Courier New"/>
          <w:sz w:val="20"/>
          <w:szCs w:val="20"/>
        </w:rPr>
        <w:t xml:space="preserve">            rollup:date-&gt;month['date', 'month'],</w:t>
      </w:r>
    </w:p>
    <w:p>
      <w:pPr>
        <w:spacing w:after="0" w:line="260"/>
        <w:ind w:left="567"/>
      </w:pPr>
      <w:r>
        <w:rPr>
          <w:rFonts w:ascii="Courier New" w:cs="Courier New" w:eastAsia="Courier New" w:hAnsi="Courier New"/>
          <w:sz w:val="20"/>
          <w:szCs w:val="20"/>
        </w:rPr>
        <w:t xml:space="preserve">            mask:product['product'] ]</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Оценки:</w:t>
      </w:r>
    </w:p>
    <w:p>
      <w:pPr>
        <w:spacing w:after="0" w:line="260"/>
        <w:ind w:left="567"/>
      </w:pPr>
      <w:r>
        <w:rPr>
          <w:rFonts w:ascii="Courier New" w:cs="Courier New" w:eastAsia="Courier New" w:hAnsi="Courier New"/>
          <w:sz w:val="20"/>
          <w:szCs w:val="20"/>
        </w:rPr>
        <w:t xml:space="preserve">  revenue#0: ~1.34e+06 операций, макс. промежуточный 12 000 ячеек</w:t>
      </w:r>
    </w:p>
    <w:p>
      <w:pPr>
        <w:spacing w:after="120" w:before="0" w:line="300"/>
        <w:ind w:firstLine="567"/>
        <w:jc w:val="both"/>
      </w:pPr>
      <w:r>
        <w:rPr>
          <w:rFonts w:ascii="Times New Roman" w:cs="Times New Roman" w:eastAsia="Times New Roman" w:hAnsi="Times New Roman"/>
          <w:sz w:val="24"/>
          <w:szCs w:val="24"/>
        </w:rPr>
        <w:t xml:space="preserve">В спецификации `abc,b,cd,b-&gt;ad` буквы отвечают измерениям: a — клиент, b — товар, c — дата, d — месяц. Она читается по правилам §2 и табл. 3. Индексы b и c общие и в результате отсутствуют — это кэлиевы индексы, μ = 2: по товару свёртка выполняет соединение со справочником цен и последующую агрегацию, по дате — свёртку в месяцы. Индекс a свободен и сохраняется, индекс d вносится матрицей перехода иерархии. Четыре операнда — гиперкуб факта, вектор цен, матрица перехода дата → месяц и индикатор условия отбора по категории — стягиваются одной операцией: соединение, фильтр, свёртка по иерархии и агрегация не образуют последовательности проходов по данным, а являются сомножителями одного (0, 2)-свёрнутого произведения. Второй строкой плана идёт та же свёртка над спутниковым счётным гиперкубом: она отличает группу с нулевой суммой от отсутствующей группы (см. оговорку к предложению 1).</w:t>
      </w:r>
    </w:p>
    <w:p>
      <w:pPr>
        <w:spacing w:after="120" w:before="0" w:line="300"/>
        <w:ind w:firstLine="567"/>
        <w:jc w:val="both"/>
      </w:pPr>
      <w:r>
        <w:rPr>
          <w:rFonts w:ascii="Times New Roman" w:cs="Times New Roman" w:eastAsia="Times New Roman" w:hAnsi="Times New Roman"/>
          <w:sz w:val="24"/>
          <w:szCs w:val="24"/>
        </w:rPr>
        <w:t xml:space="preserve">Запрос возвращает 1200 строк. Пример воспроизводится командой `python examples/appendix.py`; приведённый выше вывод плана получен этой командой.</w:t>
      </w:r>
    </w:p>
    <w:p>
      <w:pPr>
        <w:pStyle w:val="Heading2"/>
        <w:spacing w:after="160" w:before="240"/>
      </w:pPr>
      <w:r>
        <w:rPr>
          <w:rFonts w:ascii="Times New Roman" w:cs="Times New Roman" w:eastAsia="Times New Roman" w:hAnsi="Times New Roman"/>
          <w:b/>
          <w:bCs/>
          <w:sz w:val="24"/>
          <w:szCs w:val="24"/>
        </w:rPr>
        <w:t xml:space="preserve">П.2. Разбор случаев и соединение по неравенству</w:t>
      </w:r>
    </w:p>
    <w:p>
      <w:pPr>
        <w:spacing w:after="120" w:before="0" w:line="300"/>
        <w:ind w:firstLine="567"/>
        <w:jc w:val="both"/>
      </w:pPr>
      <w:r>
        <w:rPr>
          <w:rFonts w:ascii="Times New Roman" w:cs="Times New Roman" w:eastAsia="Times New Roman" w:hAnsi="Times New Roman"/>
          <w:sz w:val="24"/>
          <w:szCs w:val="24"/>
        </w:rPr>
        <w:t xml:space="preserve">Две конструкции из табл. 3, вносящие в свёртку по одному операнду, показаны на той же схеме, дополненной гиперкубом планов по измерениям (подразделение, период) мощностей 20 × 12.</w:t>
      </w:r>
    </w:p>
    <w:p>
      <w:pPr>
        <w:spacing w:after="120" w:before="0" w:line="300"/>
        <w:ind w:firstLine="567"/>
        <w:jc w:val="both"/>
      </w:pPr>
      <w:r>
        <w:rPr>
          <w:rFonts w:ascii="Times New Roman" w:cs="Times New Roman" w:eastAsia="Times New Roman" w:hAnsi="Times New Roman"/>
          <w:sz w:val="24"/>
          <w:szCs w:val="24"/>
        </w:rPr>
        <w:t xml:space="preserve">Разбор случаев. Запрос</w:t>
      </w:r>
    </w:p>
    <w:p>
      <w:pPr>
        <w:spacing w:after="0" w:line="260"/>
        <w:ind w:left="567"/>
      </w:pPr>
      <w:r>
        <w:rPr>
          <w:rFonts w:ascii="Courier New" w:cs="Courier New" w:eastAsia="Courier New" w:hAnsi="Courier New"/>
          <w:sz w:val="20"/>
          <w:szCs w:val="20"/>
        </w:rPr>
        <w:t xml:space="preserve">SELECT customer,</w:t>
      </w:r>
    </w:p>
    <w:p>
      <w:pPr>
        <w:spacing w:after="0" w:line="260"/>
        <w:ind w:left="567"/>
      </w:pPr>
      <w:r>
        <w:rPr>
          <w:rFonts w:ascii="Courier New" w:cs="Courier New" w:eastAsia="Courier New" w:hAnsi="Courier New"/>
          <w:sz w:val="20"/>
          <w:szCs w:val="20"/>
        </w:rPr>
        <w:t xml:space="preserve">       SUM(CASE WHEN product.category = 'A'</w:t>
      </w:r>
    </w:p>
    <w:p>
      <w:pPr>
        <w:spacing w:after="0" w:line="260"/>
        <w:ind w:left="567"/>
      </w:pPr>
      <w:r>
        <w:rPr>
          <w:rFonts w:ascii="Courier New" w:cs="Courier New" w:eastAsia="Courier New" w:hAnsi="Courier New"/>
          <w:sz w:val="20"/>
          <w:szCs w:val="20"/>
        </w:rPr>
        <w:t xml:space="preserve">                THEN sales.quantity * product.price ELSE 0 END) AS revenue_a</w:t>
      </w:r>
    </w:p>
    <w:p>
      <w:pPr>
        <w:spacing w:after="0" w:line="260"/>
        <w:ind w:left="567"/>
      </w:pPr>
      <w:r>
        <w:rPr>
          <w:rFonts w:ascii="Courier New" w:cs="Courier New" w:eastAsia="Courier New" w:hAnsi="Courier New"/>
          <w:sz w:val="20"/>
          <w:szCs w:val="20"/>
        </w:rPr>
        <w:t xml:space="preserve">FROM sales JOIN product</w:t>
      </w:r>
    </w:p>
    <w:p>
      <w:pPr>
        <w:spacing w:after="0" w:line="260"/>
        <w:ind w:left="567"/>
      </w:pPr>
      <w:r>
        <w:rPr>
          <w:rFonts w:ascii="Courier New" w:cs="Courier New" w:eastAsia="Courier New" w:hAnsi="Courier New"/>
          <w:sz w:val="20"/>
          <w:szCs w:val="20"/>
        </w:rPr>
        <w:t xml:space="preserve">GROUP BY customer</w:t>
      </w:r>
    </w:p>
    <w:p>
      <w:pPr>
        <w:spacing w:after="120" w:before="0" w:line="300"/>
        <w:ind w:firstLine="567"/>
        <w:jc w:val="both"/>
      </w:pPr>
      <w:r>
        <w:rPr>
          <w:rFonts w:ascii="Times New Roman" w:cs="Times New Roman" w:eastAsia="Times New Roman" w:hAnsi="Times New Roman"/>
          <w:sz w:val="24"/>
          <w:szCs w:val="24"/>
        </w:rPr>
        <w:t xml:space="preserve">даёт план</w:t>
      </w:r>
    </w:p>
    <w:p>
      <w:pPr>
        <w:spacing w:after="0" w:line="260"/>
        <w:ind w:left="567"/>
      </w:pPr>
      <w:r>
        <w:rPr>
          <w:rFonts w:ascii="Courier New" w:cs="Courier New" w:eastAsia="Courier New" w:hAnsi="Courier New"/>
          <w:sz w:val="20"/>
          <w:szCs w:val="20"/>
        </w:rPr>
        <w:t xml:space="preserve">агрегат: SUM(quantity * price * [Mask('product',) selected=50/100]) AS revenue_a</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  revenue_a: SUM</w:t>
      </w:r>
    </w:p>
    <w:p>
      <w:pPr>
        <w:spacing w:after="0" w:line="260"/>
        <w:ind w:left="567"/>
      </w:pPr>
      <w:r>
        <w:rPr>
          <w:rFonts w:ascii="Courier New" w:cs="Courier New" w:eastAsia="Courier New" w:hAnsi="Courier New"/>
          <w:sz w:val="20"/>
          <w:szCs w:val="20"/>
        </w:rPr>
        <w:t xml:space="preserve">      +1 × einsum('ab,b,b-&gt;a')  (0,1)-свёртка</w:t>
      </w:r>
    </w:p>
    <w:p>
      <w:pPr>
        <w:spacing w:after="0" w:line="260"/>
        <w:ind w:left="567"/>
      </w:pPr>
      <w:r>
        <w:rPr>
          <w:rFonts w:ascii="Courier New" w:cs="Courier New" w:eastAsia="Courier New" w:hAnsi="Courier New"/>
          <w:sz w:val="20"/>
          <w:szCs w:val="20"/>
        </w:rPr>
        <w:t xml:space="preserve">          [ sales['customer', 'product'] − ['date'],</w:t>
      </w:r>
    </w:p>
    <w:p>
      <w:pPr>
        <w:spacing w:after="0" w:line="260"/>
        <w:ind w:left="567"/>
      </w:pPr>
      <w:r>
        <w:rPr>
          <w:rFonts w:ascii="Courier New" w:cs="Courier New" w:eastAsia="Courier New" w:hAnsi="Courier New"/>
          <w:sz w:val="20"/>
          <w:szCs w:val="20"/>
        </w:rPr>
        <w:t xml:space="preserve">            price['product'],</w:t>
      </w:r>
    </w:p>
    <w:p>
      <w:pPr>
        <w:spacing w:after="0" w:line="260"/>
        <w:ind w:left="567"/>
      </w:pPr>
      <w:r>
        <w:rPr>
          <w:rFonts w:ascii="Courier New" w:cs="Courier New" w:eastAsia="Courier New" w:hAnsi="Courier New"/>
          <w:sz w:val="20"/>
          <w:szCs w:val="20"/>
        </w:rPr>
        <w:t xml:space="preserve">            case0:product['product'] ]</w:t>
      </w:r>
    </w:p>
    <w:p>
      <w:pPr>
        <w:spacing w:after="120" w:before="0" w:line="300"/>
        <w:ind w:firstLine="567"/>
        <w:jc w:val="both"/>
      </w:pPr>
      <w:r>
        <w:rPr>
          <w:rFonts w:ascii="Times New Roman" w:cs="Times New Roman" w:eastAsia="Times New Roman" w:hAnsi="Times New Roman"/>
          <w:sz w:val="24"/>
          <w:szCs w:val="24"/>
        </w:rPr>
        <w:t xml:space="preserve">Ветвь THEN превратилась в операнд case0 — индикатор своего условия; ветвь ELSE обратилась в нуль и терма не породила. Ось date, не встречающаяся ни в одном операнде, ни в результате, свёрнута заранее проталкиванием проекций (§3.2), что записано в плане знаком «−». Разбор случаев, таким образом, не добавляет к запросу ни прохода по данным, ни ветвления: он добавляет сомножитель.</w:t>
      </w:r>
    </w:p>
    <w:p>
      <w:pPr>
        <w:spacing w:after="120" w:before="0" w:line="300"/>
        <w:ind w:firstLine="567"/>
        <w:jc w:val="both"/>
      </w:pPr>
      <w:r>
        <w:rPr>
          <w:rFonts w:ascii="Times New Roman" w:cs="Times New Roman" w:eastAsia="Times New Roman" w:hAnsi="Times New Roman"/>
          <w:sz w:val="24"/>
          <w:szCs w:val="24"/>
        </w:rPr>
        <w:t xml:space="preserve">Соединение по неравенству. Запрос</w:t>
      </w:r>
    </w:p>
    <w:p>
      <w:pPr>
        <w:spacing w:after="0" w:line="260"/>
        <w:ind w:left="567"/>
      </w:pPr>
      <w:r>
        <w:rPr>
          <w:rFonts w:ascii="Courier New" w:cs="Courier New" w:eastAsia="Courier New" w:hAnsi="Courier New"/>
          <w:sz w:val="20"/>
          <w:szCs w:val="20"/>
        </w:rPr>
        <w:t xml:space="preserve">SELECT customer, branch, SUM(sales.quantity * budget.plan) AS v</w:t>
      </w:r>
    </w:p>
    <w:p>
      <w:pPr>
        <w:spacing w:after="0" w:line="260"/>
        <w:ind w:left="567"/>
      </w:pPr>
      <w:r>
        <w:rPr>
          <w:rFonts w:ascii="Courier New" w:cs="Courier New" w:eastAsia="Courier New" w:hAnsi="Courier New"/>
          <w:sz w:val="20"/>
          <w:szCs w:val="20"/>
        </w:rPr>
        <w:t xml:space="preserve">FROM sales JOIN budget ON sales.date &lt;= budget.period</w:t>
      </w:r>
    </w:p>
    <w:p>
      <w:pPr>
        <w:spacing w:after="0" w:line="260"/>
        <w:ind w:left="567"/>
      </w:pPr>
      <w:r>
        <w:rPr>
          <w:rFonts w:ascii="Courier New" w:cs="Courier New" w:eastAsia="Courier New" w:hAnsi="Courier New"/>
          <w:sz w:val="20"/>
          <w:szCs w:val="20"/>
        </w:rPr>
        <w:t xml:space="preserve">GROUP BY customer, branch</w:t>
      </w:r>
    </w:p>
    <w:p>
      <w:pPr>
        <w:spacing w:after="120" w:before="0" w:line="300"/>
        <w:ind w:firstLine="567"/>
        <w:jc w:val="both"/>
      </w:pPr>
      <w:r>
        <w:rPr>
          <w:rFonts w:ascii="Times New Roman" w:cs="Times New Roman" w:eastAsia="Times New Roman" w:hAnsi="Times New Roman"/>
          <w:sz w:val="24"/>
          <w:szCs w:val="24"/>
        </w:rPr>
        <w:t xml:space="preserve">даёт план</w:t>
      </w:r>
    </w:p>
    <w:p>
      <w:pPr>
        <w:spacing w:after="0" w:line="260"/>
        <w:ind w:left="567"/>
      </w:pPr>
      <w:r>
        <w:rPr>
          <w:rFonts w:ascii="Courier New" w:cs="Courier New" w:eastAsia="Courier New" w:hAnsi="Courier New"/>
          <w:sz w:val="20"/>
          <w:szCs w:val="20"/>
        </w:rPr>
        <w:t xml:space="preserve">фильтр: Mask('date', 'period') selected=78/1440</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  v: SUM</w:t>
      </w:r>
    </w:p>
    <w:p>
      <w:pPr>
        <w:spacing w:after="0" w:line="260"/>
        <w:ind w:left="567"/>
      </w:pPr>
      <w:r>
        <w:rPr>
          <w:rFonts w:ascii="Courier New" w:cs="Courier New" w:eastAsia="Courier New" w:hAnsi="Courier New"/>
          <w:sz w:val="20"/>
          <w:szCs w:val="20"/>
        </w:rPr>
        <w:t xml:space="preserve">      +1 × einsum('ab,cd,bd-&gt;ac')  (0,2)-свёртка</w:t>
      </w:r>
    </w:p>
    <w:p>
      <w:pPr>
        <w:spacing w:after="0" w:line="260"/>
        <w:ind w:left="567"/>
      </w:pPr>
      <w:r>
        <w:rPr>
          <w:rFonts w:ascii="Courier New" w:cs="Courier New" w:eastAsia="Courier New" w:hAnsi="Courier New"/>
          <w:sz w:val="20"/>
          <w:szCs w:val="20"/>
        </w:rPr>
        <w:t xml:space="preserve">          [ sales['customer', 'date'] − ['product'],</w:t>
      </w:r>
    </w:p>
    <w:p>
      <w:pPr>
        <w:spacing w:after="0" w:line="260"/>
        <w:ind w:left="567"/>
      </w:pPr>
      <w:r>
        <w:rPr>
          <w:rFonts w:ascii="Courier New" w:cs="Courier New" w:eastAsia="Courier New" w:hAnsi="Courier New"/>
          <w:sz w:val="20"/>
          <w:szCs w:val="20"/>
        </w:rPr>
        <w:t xml:space="preserve">            budget['branch', 'period'],</w:t>
      </w:r>
    </w:p>
    <w:p>
      <w:pPr>
        <w:spacing w:after="0" w:line="260"/>
        <w:ind w:left="567"/>
      </w:pPr>
      <w:r>
        <w:rPr>
          <w:rFonts w:ascii="Courier New" w:cs="Courier New" w:eastAsia="Courier New" w:hAnsi="Courier New"/>
          <w:sz w:val="20"/>
          <w:szCs w:val="20"/>
        </w:rPr>
        <w:t xml:space="preserve">            mask:date/period['date', 'period'] ]</w:t>
      </w:r>
    </w:p>
    <w:p>
      <w:pPr>
        <w:spacing w:after="120" w:before="0" w:line="300"/>
        <w:ind w:firstLine="567"/>
        <w:jc w:val="both"/>
      </w:pPr>
      <w:r>
        <w:rPr>
          <w:rFonts w:ascii="Times New Roman" w:cs="Times New Roman" w:eastAsia="Times New Roman" w:hAnsi="Times New Roman"/>
          <w:sz w:val="24"/>
          <w:szCs w:val="24"/>
        </w:rPr>
        <w:t xml:space="preserve">Здесь соединяются два гиперкуба фактов по разным измерениям, связанным условием date ≤ period. Операнд mask:date/period — матрица сравнения размера 120 × 12, у которой заполнены 78 из 1440 позиций; она входит в стягивание наравне с обоими гиперкубами. Индексы b (дата) и d (период) общие и в результате отсутствуют — кэлиевы, μ = 2; индексы a (клиент) и c (подразделение) свободны и образуют результат из 2000 строк. Соединение по неравенству, которое реляционному исполнителю обходится вложенным циклом или соединением по диапазону, записано здесь одним дополнительным сомножителем той же свёртки.</w:t>
      </w:r>
    </w:p>
    <w:p>
      <w:pPr>
        <w:pStyle w:val="Heading1"/>
        <w:spacing w:after="160" w:before="320"/>
      </w:pPr>
      <w:r>
        <w:rPr>
          <w:rFonts w:ascii="Times New Roman" w:cs="Times New Roman" w:eastAsia="Times New Roman" w:hAnsi="Times New Roman"/>
          <w:b/>
          <w:bCs/>
          <w:sz w:val="26"/>
          <w:szCs w:val="26"/>
        </w:rPr>
        <w:t xml:space="preserve">Литература</w:t>
      </w:r>
    </w:p>
    <w:p>
      <w:pPr>
        <w:spacing w:after="80" w:line="280"/>
        <w:ind w:left="340" w:hanging="340"/>
        <w:jc w:val="both"/>
      </w:pPr>
      <w:r>
        <w:rPr>
          <w:rFonts w:ascii="Times New Roman" w:cs="Times New Roman" w:eastAsia="Times New Roman" w:hAnsi="Times New Roman"/>
          <w:sz w:val="22"/>
          <w:szCs w:val="22"/>
        </w:rPr>
        <w:t xml:space="preserve">1. Соколов Н.П. Введение в теорию многомерных матриц. — Киев: Наукова думка, 1972. — 176 с. (определение (λ, μ)-свёрнутого произведения и наименование индексов — с. 55; условие ассоциативности — с. 56; закон транспонирования — с. 58).</w:t>
      </w:r>
    </w:p>
    <w:p>
      <w:pPr>
        <w:spacing w:after="80" w:line="280"/>
        <w:ind w:left="340" w:hanging="340"/>
        <w:jc w:val="both"/>
      </w:pPr>
      <w:r>
        <w:rPr>
          <w:rFonts w:ascii="Times New Roman" w:cs="Times New Roman" w:eastAsia="Times New Roman" w:hAnsi="Times New Roman"/>
          <w:sz w:val="22"/>
          <w:szCs w:val="22"/>
        </w:rPr>
        <w:t xml:space="preserve">2. Симаков В.А. Применение соглашения Эйнштейна для эффективной реализации (λ, μ)-свёрнутого произведения многомерных матриц. — 2026.</w:t>
      </w:r>
    </w:p>
    <w:p>
      <w:pPr>
        <w:spacing w:after="80" w:line="280"/>
        <w:ind w:left="340" w:hanging="340"/>
        <w:jc w:val="both"/>
      </w:pPr>
      <w:r>
        <w:rPr>
          <w:rFonts w:ascii="Times New Roman" w:cs="Times New Roman" w:eastAsia="Times New Roman" w:hAnsi="Times New Roman"/>
          <w:sz w:val="22"/>
          <w:szCs w:val="22"/>
        </w:rPr>
        <w:t xml:space="preserve">3. Емельченков Е.П., Левин Н.А., Мунерман В.И. Алгебраический подход к оптимизации разработки и эксплуатации систем управления базами данных // Системы и средства информатики. — 2009. — С. 114–137.</w:t>
      </w:r>
    </w:p>
    <w:p>
      <w:pPr>
        <w:spacing w:after="80" w:line="280"/>
        <w:ind w:left="340" w:hanging="340"/>
        <w:jc w:val="both"/>
      </w:pPr>
      <w:r>
        <w:rPr>
          <w:rFonts w:ascii="Times New Roman" w:cs="Times New Roman" w:eastAsia="Times New Roman" w:hAnsi="Times New Roman"/>
          <w:sz w:val="22"/>
          <w:szCs w:val="22"/>
        </w:rPr>
        <w:t xml:space="preserve">4. Мунерман В.И., Мунерман Д.В. Алгебраический подход к построению программно-аппаратных комплексов для повышения эффективности массовой обработки данных. — 2015.</w:t>
      </w:r>
    </w:p>
    <w:p>
      <w:pPr>
        <w:spacing w:after="80" w:line="280"/>
        <w:ind w:left="340" w:hanging="340"/>
        <w:jc w:val="both"/>
      </w:pPr>
      <w:r>
        <w:rPr>
          <w:rFonts w:ascii="Times New Roman" w:cs="Times New Roman" w:eastAsia="Times New Roman" w:hAnsi="Times New Roman"/>
          <w:sz w:val="22"/>
          <w:szCs w:val="22"/>
        </w:rPr>
        <w:t xml:space="preserve">5. Гончаров Е.И., Мунерман В.И., Синицын И.Н. Современные технологические средства создания многомерно-матричных машин баз данных // Системы высокой доступности. — 2024. — Т. 20, № 1. — С. 5–15.</w:t>
      </w:r>
    </w:p>
    <w:p>
      <w:pPr>
        <w:spacing w:after="80" w:line="280"/>
        <w:ind w:left="340" w:hanging="340"/>
        <w:jc w:val="both"/>
      </w:pPr>
      <w:r>
        <w:rPr>
          <w:rFonts w:ascii="Times New Roman" w:cs="Times New Roman" w:eastAsia="Times New Roman" w:hAnsi="Times New Roman"/>
          <w:sz w:val="22"/>
          <w:szCs w:val="22"/>
        </w:rPr>
        <w:t xml:space="preserve">6. Мунерман В.И., Мунерман Д.В. Обобщение одного алгоритма параллельного умножения матриц в алгебре многомерных матриц // Современные информационные технологии и ИТ-образование. — 2022. — Т. 18, № 3. — С. 566–577. DOI: 10.25559/SITITO.18.202203.566-577.</w:t>
      </w:r>
    </w:p>
    <w:p>
      <w:pPr>
        <w:spacing w:after="80" w:line="280"/>
        <w:ind w:left="340" w:hanging="340"/>
        <w:jc w:val="both"/>
      </w:pPr>
      <w:r>
        <w:rPr>
          <w:rFonts w:ascii="Times New Roman" w:cs="Times New Roman" w:eastAsia="Times New Roman" w:hAnsi="Times New Roman"/>
          <w:sz w:val="22"/>
          <w:szCs w:val="22"/>
        </w:rPr>
        <w:t xml:space="preserve">7. Морозов С.А., Мунерман В.И., Симаков В.А. Экспериментальный анализ многомерно-матричного подхода к построению маршрутов в графе // Известия вузов. Электроника. — 2022. — Т. 27, № 5. — С. 676–686. DOI: 10.24151/1561-5405-2022-27-5-676-686.</w:t>
      </w:r>
    </w:p>
    <w:p>
      <w:pPr>
        <w:spacing w:after="80" w:line="280"/>
        <w:ind w:left="340" w:hanging="340"/>
        <w:jc w:val="both"/>
      </w:pPr>
      <w:r>
        <w:rPr>
          <w:rFonts w:ascii="Times New Roman" w:cs="Times New Roman" w:eastAsia="Times New Roman" w:hAnsi="Times New Roman"/>
          <w:sz w:val="22"/>
          <w:szCs w:val="22"/>
        </w:rPr>
        <w:t xml:space="preserve">8. Муха В.С. Анализ многомерных данных. — Минск: Технопринт, 2004.</w:t>
      </w:r>
    </w:p>
    <w:p>
      <w:pPr>
        <w:spacing w:after="80" w:line="280"/>
        <w:ind w:left="340" w:hanging="340"/>
        <w:jc w:val="both"/>
      </w:pPr>
      <w:r>
        <w:rPr>
          <w:rFonts w:ascii="Times New Roman" w:cs="Times New Roman" w:eastAsia="Times New Roman" w:hAnsi="Times New Roman"/>
          <w:sz w:val="22"/>
          <w:szCs w:val="22"/>
        </w:rPr>
        <w:t xml:space="preserve">9. NumPy Developers. NumPy Documentation: numpy.einsum. URL: https://numpy.org/doc/stable/reference/generated/numpy.einsum.html (дата обращения: 27.08.2026).</w:t>
      </w:r>
    </w:p>
    <w:p>
      <w:pPr>
        <w:spacing w:after="80" w:line="280"/>
        <w:ind w:left="340" w:hanging="340"/>
        <w:jc w:val="both"/>
      </w:pPr>
      <w:r>
        <w:rPr>
          <w:rFonts w:ascii="Times New Roman" w:cs="Times New Roman" w:eastAsia="Times New Roman" w:hAnsi="Times New Roman"/>
          <w:sz w:val="22"/>
          <w:szCs w:val="22"/>
        </w:rPr>
        <w:t xml:space="preserve">10. Smith D.G.A., Gray J. opt_einsum — A Python package for optimizing contraction order for einsum-like expressions // Journal of Open Source Software. — 2018. — Vol. 3, № 26. — P. 753.</w:t>
      </w:r>
    </w:p>
    <w:p>
      <w:pPr>
        <w:spacing w:after="80" w:line="280"/>
        <w:ind w:left="340" w:hanging="340"/>
        <w:jc w:val="both"/>
      </w:pPr>
      <w:r>
        <w:rPr>
          <w:rFonts w:ascii="Times New Roman" w:cs="Times New Roman" w:eastAsia="Times New Roman" w:hAnsi="Times New Roman"/>
          <w:sz w:val="22"/>
          <w:szCs w:val="22"/>
        </w:rPr>
        <w:t xml:space="preserve">11. Raasveldt M., Mühleisen H. DuckDB: an Embeddable Analytical Database // Proceedings of the 2019 International Conference on Management of Data (SIGMOD). — 2019. — P. 1981–1984.</w:t>
      </w:r>
    </w:p>
    <w:p>
      <w:pPr>
        <w:spacing w:after="80" w:line="280"/>
        <w:ind w:left="340" w:hanging="340"/>
        <w:jc w:val="both"/>
      </w:pPr>
      <w:r>
        <w:rPr>
          <w:rFonts w:ascii="Times New Roman" w:cs="Times New Roman" w:eastAsia="Times New Roman" w:hAnsi="Times New Roman"/>
          <w:sz w:val="22"/>
          <w:szCs w:val="22"/>
        </w:rPr>
        <w:t xml:space="preserve">12. ClickHouse Documentation. URL: https://clickhouse.com/docs (дата обращения: 29.08.2026).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Статья Симаков — алгебраическая машина БД</dc:title>
  <dc:creator>Симаков В.А.</dc:creator>
  <cp:lastModifiedBy>Un-named</cp:lastModifiedBy>
  <cp:revision>1</cp:revision>
  <dcterms:created xsi:type="dcterms:W3CDTF">2026-08-30T07:15:12.044Z</dcterms:created>
  <dcterms:modified xsi:type="dcterms:W3CDTF">2026-08-30T07:15:12.044Z</dcterms:modified>
</cp:coreProperties>
</file>

<file path=docProps/custom.xml><?xml version="1.0" encoding="utf-8"?>
<Properties xmlns="http://schemas.openxmlformats.org/officeDocument/2006/custom-properties" xmlns:vt="http://schemas.openxmlformats.org/officeDocument/2006/docPropsVTypes"/>
</file>