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40" w:line="300"/>
        <w:jc w:val="center"/>
      </w:pPr>
      <w:r>
        <w:rPr>
          <w:rFonts w:ascii="Times New Roman" w:cs="Times New Roman" w:eastAsia="Times New Roman" w:hAnsi="Times New Roman"/>
          <w:sz w:val="24"/>
          <w:szCs w:val="24"/>
        </w:rPr>
        <w:t xml:space="preserve">Симаков В.А., аспирант</w:t>
      </w:r>
    </w:p>
    <w:p>
      <w:pPr>
        <w:spacing w:after="100" w:before="0" w:line="300"/>
        <w:jc w:val="center"/>
      </w:pPr>
      <w:r>
        <w:rPr>
          <w:rFonts w:ascii="Times New Roman" w:cs="Times New Roman" w:eastAsia="Times New Roman" w:hAnsi="Times New Roman"/>
          <w:sz w:val="24"/>
          <w:szCs w:val="24"/>
        </w:rPr>
        <w:t xml:space="preserve">ФГБОУ ВО «Смоленский государственный университет»</w:t>
      </w:r>
    </w:p>
    <w:p>
      <w:pPr>
        <w:spacing w:after="200" w:before="240" w:line="300"/>
        <w:jc w:val="center"/>
      </w:pPr>
      <w:r>
        <w:rPr>
          <w:rFonts w:ascii="Times New Roman" w:cs="Times New Roman" w:eastAsia="Times New Roman" w:hAnsi="Times New Roman"/>
          <w:b/>
          <w:bCs/>
          <w:sz w:val="24"/>
          <w:szCs w:val="24"/>
        </w:rPr>
        <w:t xml:space="preserve">АЛГЕБРАИЧЕСКАЯ МАШИНА БАЗ ДАННЫХ НА ОСНОВЕ (λ, μ)-СВЁРНУТОГО ПРОИЗВЕДЕНИЯ: ТРАНСЛЯЦИЯ SQL-ЗАПРОСОВ В ЦЕПОЧКИ МНОГОМЕРНО-МАТРИЧНЫХ ОПЕРАЦИЙ</w:t>
      </w:r>
    </w:p>
    <w:p>
      <w:pPr>
        <w:spacing w:after="120" w:before="0" w:line="300"/>
        <w:ind w:firstLine="567"/>
        <w:jc w:val="both"/>
      </w:pPr>
      <w:r>
        <w:rPr>
          <w:rFonts w:ascii="Times New Roman" w:cs="Times New Roman" w:eastAsia="Times New Roman" w:hAnsi="Times New Roman"/>
          <w:sz w:val="24"/>
          <w:szCs w:val="24"/>
        </w:rPr>
        <w:t xml:space="preserve">Аннотация.</w:t>
      </w:r>
      <w:r>
        <w:rPr>
          <w:rFonts w:ascii="Times New Roman" w:cs="Times New Roman" w:eastAsia="Times New Roman" w:hAnsi="Times New Roman"/>
          <w:sz w:val="24"/>
          <w:szCs w:val="24"/>
        </w:rPr>
        <w:t xml:space="preserve"> Описана программная реализация алгебраической машины баз данных, транслирующей SQL-подобный запрос в цепочку (λ, μ)-свёрнутых произведений многомерных матриц Н.П. Соколова. Реализуемая операция сверена с опубликованной задачей о построении маршрутов в графе, где ответ известен независимо. Установлено взаимно однозначное соответствие ролей индексов свёрнутого произведения конструкциям языка запросов. Доказана теорема о разложении многооперандного стягивания в композицию бинарных свёрнутых произведений, из которой следует независимость результата от порядка свёрток и корректность оптимизации плана. Найдено точное условие обратимости отображения отношения в гиперкуб. Показано, что агрегаты MIN, MAX и COUNT DISTINCT, невыразимые над полем действительных чисел, выражаются над другими полукольцами. Обнаружено, что стандартная реализация соглашения Эйнштейна теряет обращение к оптимизированному матричному умножению именно при ненулевом числе скоттовых индексов; разложение свёртки на сечения устраняет потерю и ускоряет операцию в 8–27 раз. На процессоре AMD Ryzen 7 PRO 3700 проведено сравнение с колоночной СУБД DuckDB на одиннадцати запросах с построчной сверкой результатов: преимущество составляет от 1.4 до 9.0 раза и, что существеннее, </w:t>
      </w:r>
      <w:r>
        <w:rPr>
          <w:rFonts w:ascii="Times New Roman" w:cs="Times New Roman" w:eastAsia="Times New Roman" w:hAnsi="Times New Roman"/>
          <w:sz w:val="24"/>
          <w:szCs w:val="24"/>
        </w:rPr>
        <w:t xml:space="preserve">растёт с объёмом фактов</w:t>
      </w:r>
      <w:r>
        <w:rPr>
          <w:rFonts w:ascii="Times New Roman" w:cs="Times New Roman" w:eastAsia="Times New Roman" w:hAnsi="Times New Roman"/>
          <w:sz w:val="24"/>
          <w:szCs w:val="24"/>
        </w:rPr>
        <w:t xml:space="preserve"> — от 7.6 раза при 100 тыс. строк до 33 раз при 5 млн, поскольку размер гиперкуба от числа фактов не зависит. В симметричном сравнении, где обеим системам предоставлена предпосчитанная сводка одинаковой гранулярности, преимущество на простых агрегациях исчезает, но на запросах с соединением и свёрткой по иерархии сохраняется до 10.2 раза.</w:t>
      </w:r>
    </w:p>
    <w:p>
      <w:pPr>
        <w:spacing w:after="120" w:before="0" w:line="300"/>
        <w:ind w:firstLine="567"/>
        <w:jc w:val="both"/>
      </w:pPr>
      <w:r>
        <w:rPr>
          <w:rFonts w:ascii="Times New Roman" w:cs="Times New Roman" w:eastAsia="Times New Roman" w:hAnsi="Times New Roman"/>
          <w:sz w:val="24"/>
          <w:szCs w:val="24"/>
        </w:rPr>
        <w:t xml:space="preserve">Ключевые слова:</w:t>
      </w:r>
      <w:r>
        <w:rPr>
          <w:rFonts w:ascii="Times New Roman" w:cs="Times New Roman" w:eastAsia="Times New Roman" w:hAnsi="Times New Roman"/>
          <w:sz w:val="24"/>
          <w:szCs w:val="24"/>
        </w:rPr>
        <w:t xml:space="preserve"> многомерные матрицы, (λ, μ)-свёрнутое произведение, алгебраическая машина баз данных, OLAP, гиперкуб, einsum, трансляция запросов, полукольца.</w:t>
      </w:r>
    </w:p>
    <w:p>
      <w:pPr>
        <w:spacing w:after="100" w:before="240" w:line="300"/>
        <w:jc w:val="center"/>
      </w:pPr>
      <w:r>
        <w:rPr>
          <w:rFonts w:ascii="Times New Roman" w:cs="Times New Roman" w:eastAsia="Times New Roman" w:hAnsi="Times New Roman"/>
          <w:sz w:val="24"/>
          <w:szCs w:val="24"/>
        </w:rPr>
        <w:t xml:space="preserve">Simakov V.A.</w:t>
      </w:r>
    </w:p>
    <w:p>
      <w:pPr>
        <w:spacing w:after="100" w:before="0" w:line="300"/>
        <w:jc w:val="center"/>
      </w:pPr>
      <w:r>
        <w:rPr>
          <w:rFonts w:ascii="Times New Roman" w:cs="Times New Roman" w:eastAsia="Times New Roman" w:hAnsi="Times New Roman"/>
          <w:sz w:val="24"/>
          <w:szCs w:val="24"/>
        </w:rPr>
        <w:t xml:space="preserve">Smolensk State University</w:t>
      </w:r>
    </w:p>
    <w:p>
      <w:pPr>
        <w:spacing w:after="200" w:before="240" w:line="300"/>
        <w:jc w:val="center"/>
      </w:pPr>
      <w:r>
        <w:rPr>
          <w:rFonts w:ascii="Times New Roman" w:cs="Times New Roman" w:eastAsia="Times New Roman" w:hAnsi="Times New Roman"/>
          <w:b/>
          <w:bCs/>
          <w:sz w:val="24"/>
          <w:szCs w:val="24"/>
        </w:rPr>
        <w:t xml:space="preserve">AN ALGEBRAIC DATABASE MACHINE BASED ON THE (λ, μ)-CONVOLVED PRODUCT: TRANSLATION OF SQL QUERIES INTO CHAINS OF MULTIDIMENSIONAL MATRIX OPERATIONS</w:t>
      </w:r>
    </w:p>
    <w:p>
      <w:pPr>
        <w:spacing w:after="120" w:before="0" w:line="300"/>
        <w:ind w:firstLine="567"/>
        <w:jc w:val="both"/>
      </w:pPr>
      <w:r>
        <w:rPr>
          <w:rFonts w:ascii="Times New Roman" w:cs="Times New Roman" w:eastAsia="Times New Roman" w:hAnsi="Times New Roman"/>
          <w:sz w:val="24"/>
          <w:szCs w:val="24"/>
        </w:rPr>
        <w:t xml:space="preserve">Abstract.</w:t>
      </w:r>
      <w:r>
        <w:rPr>
          <w:rFonts w:ascii="Times New Roman" w:cs="Times New Roman" w:eastAsia="Times New Roman" w:hAnsi="Times New Roman"/>
          <w:sz w:val="24"/>
          <w:szCs w:val="24"/>
        </w:rPr>
        <w:t xml:space="preserve"> We present a software implementation of an algebraic database machine that translates an SQL-like query into a chain of (λ, μ)-convolved products of N.P. Sokolov's multidimensional matrices. The implemented operation is checked against a published graph-routing problem whose answer is known independently. A one-to-one correspondence is established between the index roles of the convolved product and the constructs of the query language. A theorem is proved on the decomposition of a multi-operand contraction into a composition of binary convolved products, implying that the result is independent of the contraction order and hence that plan optimization is sound. An exact condition for the invertibility of the mapping from a relation to a hypercube is found. The aggregates MIN, MAX and COUNT DISTINCT, which are not expressible over the field of real numbers, are shown to be expressible over other semirings. We further show that the standard implementation of the Einstein summation convention loses its dispatch to optimized matrix multiplication precisely when the number of Scott indices is non-zero; decomposing the product into sections removes this loss and speeds the operation up by a factor of 8 to 27. On an AMD Ryzen 7 PRO 3700, a comparison against the columnar DBMS DuckDB was carried out on eleven queries with row-by-row verification of results: the speedup ranges from 1.4 to 9.0 and, more importantly, </w:t>
      </w:r>
      <w:r>
        <w:rPr>
          <w:rFonts w:ascii="Times New Roman" w:cs="Times New Roman" w:eastAsia="Times New Roman" w:hAnsi="Times New Roman"/>
          <w:sz w:val="24"/>
          <w:szCs w:val="24"/>
        </w:rPr>
        <w:t xml:space="preserve">grows with the number of facts</w:t>
      </w:r>
      <w:r>
        <w:rPr>
          <w:rFonts w:ascii="Times New Roman" w:cs="Times New Roman" w:eastAsia="Times New Roman" w:hAnsi="Times New Roman"/>
          <w:sz w:val="24"/>
          <w:szCs w:val="24"/>
        </w:rPr>
        <w:t xml:space="preserve"> — from 7.6 at 100 thousand rows to 33 at 5 million — because the size of the hypercube does not depend on the number of facts. In a symmetric comparison, where both systems are given a pre-aggregated summary of the same granularity, the advantage vanishes on simple aggregations but is retained, up to a factor of 10.2, on queries involving a join and a rollup along a hierarchy.</w:t>
      </w:r>
    </w:p>
    <w:p>
      <w:pPr>
        <w:spacing w:after="120" w:before="0" w:line="300"/>
        <w:ind w:firstLine="567"/>
        <w:jc w:val="both"/>
      </w:pPr>
      <w:r>
        <w:rPr>
          <w:rFonts w:ascii="Times New Roman" w:cs="Times New Roman" w:eastAsia="Times New Roman" w:hAnsi="Times New Roman"/>
          <w:sz w:val="24"/>
          <w:szCs w:val="24"/>
        </w:rPr>
        <w:t xml:space="preserve">Keywords:</w:t>
      </w:r>
      <w:r>
        <w:rPr>
          <w:rFonts w:ascii="Times New Roman" w:cs="Times New Roman" w:eastAsia="Times New Roman" w:hAnsi="Times New Roman"/>
          <w:sz w:val="24"/>
          <w:szCs w:val="24"/>
        </w:rPr>
        <w:t xml:space="preserve"> multidimensional matrices, (λ, μ)-convolved product, algebraic database machine, OLAP, hypercube, einsum, query translation, semirings.</w:t>
      </w:r>
    </w:p>
    <w:p>
      <w:pPr>
        <w:pStyle w:val="Heading1"/>
        <w:spacing w:after="160" w:before="320"/>
      </w:pPr>
      <w:r>
        <w:rPr>
          <w:rFonts w:ascii="Times New Roman" w:cs="Times New Roman" w:eastAsia="Times New Roman" w:hAnsi="Times New Roman"/>
          <w:b/>
          <w:bCs/>
          <w:sz w:val="26"/>
          <w:szCs w:val="26"/>
        </w:rPr>
        <w:t xml:space="preserve">Введение</w:t>
      </w:r>
    </w:p>
    <w:p>
      <w:pPr>
        <w:spacing w:after="120" w:before="0" w:line="300"/>
        <w:ind w:firstLine="567"/>
        <w:jc w:val="both"/>
      </w:pPr>
      <w:r>
        <w:rPr>
          <w:rFonts w:ascii="Times New Roman" w:cs="Times New Roman" w:eastAsia="Times New Roman" w:hAnsi="Times New Roman"/>
          <w:sz w:val="24"/>
          <w:szCs w:val="24"/>
        </w:rPr>
        <w:t xml:space="preserve">В работе [2] показано, что (λ, μ)-свёрнутое произведение многомерных матриц, введённое Н.П. Соколовым [1], естественно выражается через соглашение о суммировании Эйнштейна и его программную реализацию — функцию einsum, а на больших тензорах такая реализация опережает наивную индексно-ориентированную на два порядка. Это результат об операции. Оставался открытым вопрос об инструменте: можно ли на этой операции построить работающую машину баз данных.</w:t>
      </w:r>
    </w:p>
    <w:p>
      <w:pPr>
        <w:spacing w:after="120" w:before="0" w:line="300"/>
        <w:ind w:firstLine="567"/>
        <w:jc w:val="both"/>
      </w:pPr>
      <w:r>
        <w:rPr>
          <w:rFonts w:ascii="Times New Roman" w:cs="Times New Roman" w:eastAsia="Times New Roman" w:hAnsi="Times New Roman"/>
          <w:sz w:val="24"/>
          <w:szCs w:val="24"/>
        </w:rPr>
        <w:t xml:space="preserve">Идея строить системы управления базами данных на алгебре многомерных матриц восходит к работам В.И. Мунермана и соавторов [3–7]. Настоящая работа отличается от них по трём пунктам. Во-первых, в [3–5] многомерно-матричная модель обосновывается как альтернатива теоретико-множественной, а соответствие между моделями описывается как то, которое может быть установлено — гомоморфное либо изоморфное [4], — без указания условий; здесь это условие найдено и доказано (предложение 1). Во-вторых, в цитированных работах не выписаны правила перевода конкретных конструкций языка запросов в операции алгебры; здесь такие правила даны для полного подмножества языка и очерчен класс представимых запросов (теорема 1). В-третьих, вопрос о корректности перестановки операций при оптимизации в известной автору литературе не ставился; здесь он решён (теорема 2). Схема распараллеливания сопоставлена с алгоритмом работы [6] в §3.4.</w:t>
      </w:r>
    </w:p>
    <w:p>
      <w:pPr>
        <w:spacing w:after="120" w:before="0" w:line="300"/>
        <w:ind w:firstLine="567"/>
        <w:jc w:val="both"/>
      </w:pPr>
      <w:r>
        <w:rPr>
          <w:rFonts w:ascii="Times New Roman" w:cs="Times New Roman" w:eastAsia="Times New Roman" w:hAnsi="Times New Roman"/>
          <w:sz w:val="24"/>
          <w:szCs w:val="24"/>
        </w:rPr>
        <w:t xml:space="preserve">Построена программная реализация объёмом около пяти тысяч строк, в которой реляционные таблицы фактов отображаются в гиперкубы, а справочники — в измерения с атрибутами и мерами; SQL-подобный запрос разбирается, связывается с каталогом метаданных и транслируется в план — цепочку (λ, μ)-свёрнутых произведений; план оптимизируется выбором порядка свёрток и исполняется через einsum поверх BLAS либо, при высокой разреженности, собственным разреженным ядром. Корректность проверяется 233 автоматическими тестами, из которых 74 сверяют реализацию с алгебраическими законами.</w:t>
      </w:r>
    </w:p>
    <w:p>
      <w:pPr>
        <w:spacing w:after="120" w:before="0" w:line="300"/>
        <w:ind w:firstLine="567"/>
        <w:jc w:val="both"/>
      </w:pPr>
      <w:r>
        <w:rPr>
          <w:rFonts w:ascii="Times New Roman" w:cs="Times New Roman" w:eastAsia="Times New Roman" w:hAnsi="Times New Roman"/>
          <w:sz w:val="24"/>
          <w:szCs w:val="24"/>
        </w:rPr>
        <w:t xml:space="preserve">Используемые обозначения сведены в табл. 1.</w:t>
      </w:r>
    </w:p>
    <w:p>
      <w:pPr>
        <w:spacing w:after="100" w:before="200" w:line="300"/>
      </w:pPr>
      <w:r>
        <w:rPr>
          <w:rFonts w:ascii="Times New Roman" w:cs="Times New Roman" w:eastAsia="Times New Roman" w:hAnsi="Times New Roman"/>
          <w:i/>
          <w:iCs/>
          <w:sz w:val="24"/>
          <w:szCs w:val="24"/>
        </w:rPr>
        <w:t xml:space="preserve">Таблица 1 — Обозначения</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89"/>
        <w:gridCol w:w="7111"/>
      </w:tblGrid>
      <w:tr>
        <w:trPr>
          <w:tblHeader/>
        </w:trPr>
        <w:tc>
          <w:tcPr>
            <w:tcW w:type="dxa" w:w="24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Обозначение</w:t>
            </w:r>
          </w:p>
        </w:tc>
        <w:tc>
          <w:tcPr>
            <w:tcW w:type="dxa" w:w="711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Значение</w:t>
            </w:r>
          </w:p>
        </w:tc>
      </w:tr>
      <w:tr>
        <w:trPr>
          <w:tblHeader w:val="false"/>
        </w:trPr>
        <w:tc>
          <w:tcPr>
            <w:tcW w:type="dxa" w:w="24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K = (K, ⊕, ⊗, 0̄, 1̄)</w:t>
            </w:r>
          </w:p>
        </w:tc>
        <w:tc>
          <w:tcPr>
            <w:tcW w:type="dxa" w:w="71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коммутативное полукольцо коэффициентов</w:t>
            </w:r>
          </w:p>
        </w:tc>
      </w:tr>
      <w:tr>
        <w:trPr>
          <w:tblHeader w:val="false"/>
        </w:trPr>
        <w:tc>
          <w:tcPr>
            <w:tcW w:type="dxa" w:w="24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A: I₁ × … × I_p → K</w:t>
            </w:r>
          </w:p>
        </w:tc>
        <w:tc>
          <w:tcPr>
            <w:tcW w:type="dxa" w:w="71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многомерная матрица (гиперкуб) ранга p</w:t>
            </w:r>
          </w:p>
        </w:tc>
      </w:tr>
      <w:tr>
        <w:trPr>
          <w:tblHeader w:val="false"/>
        </w:trPr>
        <w:tc>
          <w:tcPr>
            <w:tcW w:type="dxa" w:w="24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L, S, C, M</w:t>
            </w:r>
          </w:p>
        </w:tc>
        <w:tc>
          <w:tcPr>
            <w:tcW w:type="dxa" w:w="71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группы индексов: свободные A, скоттовы (λ), кэлиевы (μ), свободные B</w:t>
            </w:r>
          </w:p>
        </w:tc>
      </w:tr>
      <w:tr>
        <w:trPr>
          <w:tblHeader w:val="false"/>
        </w:trPr>
        <w:tc>
          <w:tcPr>
            <w:tcW w:type="dxa" w:w="24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A ∗(λ,μ) B</w:t>
            </w:r>
          </w:p>
        </w:tc>
        <w:tc>
          <w:tcPr>
            <w:tcW w:type="dxa" w:w="71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μ)-свёрнутое произведение</w:t>
            </w:r>
          </w:p>
        </w:tc>
      </w:tr>
      <w:tr>
        <w:trPr>
          <w:tblHeader w:val="false"/>
        </w:trPr>
        <w:tc>
          <w:tcPr>
            <w:tcW w:type="dxa" w:w="24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φ(R)</w:t>
            </w:r>
          </w:p>
        </w:tc>
        <w:tc>
          <w:tcPr>
            <w:tcW w:type="dxa" w:w="71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гиперкуб, построенный по отношению R</w:t>
            </w:r>
          </w:p>
        </w:tc>
      </w:tr>
      <w:tr>
        <w:trPr>
          <w:tblHeader w:val="false"/>
        </w:trPr>
        <w:tc>
          <w:tcPr>
            <w:tcW w:type="dxa" w:w="24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π, m</w:t>
            </w:r>
          </w:p>
        </w:tc>
        <w:tc>
          <w:tcPr>
            <w:tcW w:type="dxa" w:w="71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проекция кортежа на измерения и его мера</w:t>
            </w:r>
          </w:p>
        </w:tc>
      </w:tr>
      <w:tr>
        <w:trPr>
          <w:tblHeader w:val="false"/>
        </w:trPr>
        <w:tc>
          <w:tcPr>
            <w:tcW w:type="dxa" w:w="24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H</w:t>
            </w:r>
          </w:p>
        </w:tc>
        <w:tc>
          <w:tcPr>
            <w:tcW w:type="dxa" w:w="71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матрица перехода иерархии измерений</w:t>
            </w:r>
          </w:p>
        </w:tc>
      </w:tr>
      <w:tr>
        <w:trPr>
          <w:tblHeader w:val="false"/>
        </w:trPr>
        <w:tc>
          <w:tcPr>
            <w:tcW w:type="dxa" w:w="24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χ</w:t>
            </w:r>
          </w:p>
        </w:tc>
        <w:tc>
          <w:tcPr>
            <w:tcW w:type="dxa" w:w="71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индикатор условия отбора</w:t>
            </w:r>
          </w:p>
        </w:tc>
      </w:tr>
      <w:tr>
        <w:trPr>
          <w:tblHeader w:val="false"/>
        </w:trPr>
        <w:tc>
          <w:tcPr>
            <w:tcW w:type="dxa" w:w="24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θ</w:t>
            </w:r>
          </w:p>
        </w:tc>
        <w:tc>
          <w:tcPr>
            <w:tcW w:type="dxa" w:w="71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фактор заполнения гиперкуба</w:t>
            </w:r>
          </w:p>
        </w:tc>
      </w:tr>
    </w:tbl>
    <w:p>
      <w:pPr>
        <w:spacing w:after="120"/>
      </w:pPr>
    </w:p>
    <w:p>
      <w:pPr>
        <w:pStyle w:val="Heading1"/>
        <w:spacing w:after="160" w:before="320"/>
      </w:pPr>
      <w:r>
        <w:rPr>
          <w:rFonts w:ascii="Times New Roman" w:cs="Times New Roman" w:eastAsia="Times New Roman" w:hAnsi="Times New Roman"/>
          <w:b/>
          <w:bCs/>
          <w:sz w:val="26"/>
          <w:szCs w:val="26"/>
        </w:rPr>
        <w:t xml:space="preserve">1. Модель данных и отображение отношения в гиперкуб</w:t>
      </w:r>
    </w:p>
    <w:p>
      <w:pPr>
        <w:spacing w:after="120" w:before="0" w:line="300"/>
        <w:ind w:firstLine="567"/>
        <w:jc w:val="both"/>
      </w:pPr>
      <w:r>
        <w:rPr>
          <w:rFonts w:ascii="Times New Roman" w:cs="Times New Roman" w:eastAsia="Times New Roman" w:hAnsi="Times New Roman"/>
          <w:sz w:val="24"/>
          <w:szCs w:val="24"/>
        </w:rPr>
        <w:t xml:space="preserve">Измерением называем конечное упорядоченное множество значений вместе с биекцией, сопоставляющей значению его порядковый номер. Эта биекция превращает произвольные значения (идентификаторы, строки, даты) в индексы матрицы. Словарь измерения расширяется только добавлением в конец: при дозагрузке новые значения получают следующие ординалы, а существующие сохраняют свои, иначе ранее построенные матрицы перестали бы соответствовать индексации.</w:t>
      </w:r>
    </w:p>
    <w:p>
      <w:pPr>
        <w:spacing w:after="120" w:before="0" w:line="300"/>
        <w:ind w:firstLine="567"/>
        <w:jc w:val="both"/>
      </w:pPr>
      <w:r>
        <w:rPr>
          <w:rFonts w:ascii="Times New Roman" w:cs="Times New Roman" w:eastAsia="Times New Roman" w:hAnsi="Times New Roman"/>
          <w:sz w:val="24"/>
          <w:szCs w:val="24"/>
        </w:rPr>
        <w:t xml:space="preserve">Гиперкубом ранга p называем многомерную матрицу A: I₁ × … × I_p → K, где I_j — множество ординалов j-го измерения, а K — коммутативное полукольцо коэффициентов (в базовом случае — поле действительных чисел).</w:t>
      </w:r>
    </w:p>
    <w:p>
      <w:pPr>
        <w:spacing w:after="120" w:before="0" w:line="300"/>
        <w:ind w:firstLine="567"/>
        <w:jc w:val="both"/>
      </w:pPr>
      <w:r>
        <w:rPr>
          <w:rFonts w:ascii="Times New Roman" w:cs="Times New Roman" w:eastAsia="Times New Roman" w:hAnsi="Times New Roman"/>
          <w:sz w:val="24"/>
          <w:szCs w:val="24"/>
        </w:rPr>
        <w:t xml:space="preserve">Пусть R — мультимножество кортежей таблицы фактов, π — проекция кортежа на набор измерений, m — мера. Отображение отношения в гиперкуб определим как</w:t>
      </w:r>
    </w:p>
    <w:p>
      <w:pPr>
        <w:spacing w:after="120" w:before="120" w:line="300"/>
        <w:jc w:val="center"/>
      </w:pPr>
      <w:r>
        <w:rPr>
          <w:rFonts w:ascii="Times New Roman" w:cs="Times New Roman" w:eastAsia="Times New Roman" w:hAnsi="Times New Roman"/>
          <w:i/>
          <w:iCs/>
          <w:sz w:val="24"/>
          <w:szCs w:val="24"/>
        </w:rPr>
        <w:t xml:space="preserve">φ(R)[x] = ⊕ по r из π⁻¹(x) от m(r),</w:t>
      </w:r>
    </w:p>
    <w:p>
      <w:pPr>
        <w:spacing w:after="120" w:before="0" w:line="300"/>
        <w:ind w:firstLine="567"/>
        <w:jc w:val="both"/>
      </w:pPr>
      <w:r>
        <w:rPr>
          <w:rFonts w:ascii="Times New Roman" w:cs="Times New Roman" w:eastAsia="Times New Roman" w:hAnsi="Times New Roman"/>
          <w:sz w:val="24"/>
          <w:szCs w:val="24"/>
        </w:rPr>
        <w:t xml:space="preserve">то есть ячейка есть ⊕-сумма меры по слою — прообразу точки; в терминах теории меры это прямой образ меры m вдоль проекции π. Вычисление векторизуется: координаты кортежей сворачиваются в линейный индекс, после чего суммирование по слоям выполняется одной операцией подсчёта со взвешиванием, со сложностью O(|R|·p) без явного построения слоёв.</w:t>
      </w:r>
    </w:p>
    <w:p>
      <w:pPr>
        <w:spacing w:after="120" w:before="0" w:line="300"/>
        <w:ind w:firstLine="567"/>
        <w:jc w:val="both"/>
      </w:pPr>
      <w:r>
        <w:rPr>
          <w:rFonts w:ascii="Times New Roman" w:cs="Times New Roman" w:eastAsia="Times New Roman" w:hAnsi="Times New Roman"/>
          <w:sz w:val="24"/>
          <w:szCs w:val="24"/>
        </w:rPr>
        <w:t xml:space="preserve">Утверждение 1 (гомоморфность).</w:t>
      </w:r>
      <w:r>
        <w:rPr>
          <w:rFonts w:ascii="Times New Roman" w:cs="Times New Roman" w:eastAsia="Times New Roman" w:hAnsi="Times New Roman"/>
          <w:sz w:val="24"/>
          <w:szCs w:val="24"/>
        </w:rPr>
        <w:t xml:space="preserve"> φ(R ⊎ R′) = φ(R) ⊕ φ(R′), где ⊎ — мультимножественное объединение. Действительно, слой объединения есть дизъюнктное объединение слоёв, а ⊕-сумма по дизъюнктному объединению равна сумме частичных сумм.</w:t>
      </w:r>
    </w:p>
    <w:p>
      <w:pPr>
        <w:spacing w:after="120" w:before="0" w:line="300"/>
        <w:ind w:firstLine="567"/>
        <w:jc w:val="both"/>
      </w:pPr>
      <w:r>
        <w:rPr>
          <w:rFonts w:ascii="Times New Roman" w:cs="Times New Roman" w:eastAsia="Times New Roman" w:hAnsi="Times New Roman"/>
          <w:sz w:val="24"/>
          <w:szCs w:val="24"/>
        </w:rPr>
        <w:t xml:space="preserve">Предложение 1 (условие обратимости).</w:t>
      </w:r>
      <w:r>
        <w:rPr>
          <w:rFonts w:ascii="Times New Roman" w:cs="Times New Roman" w:eastAsia="Times New Roman" w:hAnsi="Times New Roman"/>
          <w:sz w:val="24"/>
          <w:szCs w:val="24"/>
        </w:rPr>
        <w:t xml:space="preserve"> Ограничение φ на отношения с ненулевыми мерами инъективно тогда и только тогда, когда π инъективно на R, то есть набор измерений является ключом отношения фактов.</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Если π инъективно, каждый слой содержит не более одного кортежа, значит φ(R)[x] = m(r) для единственного r с π(r) = x, и отношение восстанавливается по гиперкубу: ненулевые ячейки взаимно однозначно соответствуют кортежам. Обратно, пусть π(r₁) = π(r₂) для различных r₁ ≠ r₂. Возьмём два отношения, различающиеся лишь распределением меры между этими кортежами при одинаковой сумме: они различны, но их образы совпадают. ∎</w:t>
      </w:r>
    </w:p>
    <w:p>
      <w:pPr>
        <w:spacing w:after="120" w:before="0" w:line="300"/>
        <w:ind w:firstLine="567"/>
        <w:jc w:val="both"/>
      </w:pPr>
      <w:r>
        <w:rPr>
          <w:rFonts w:ascii="Times New Roman" w:cs="Times New Roman" w:eastAsia="Times New Roman" w:hAnsi="Times New Roman"/>
          <w:sz w:val="24"/>
          <w:szCs w:val="24"/>
        </w:rPr>
        <w:t xml:space="preserve">Оговорка о ненулевых мерах в формулировке существенна и не является техническим удобством. Ячейка со значением 0̄ неотличима от ячейки, которой не соответствует ни одного кортежа, поэтому кортеж с нулевой мерой отображением теряется; на знакопеременных мерах теряется больше — два кортежа одного слоя с мерами +a и −a дают ту же ячейку, что и пустой слой, так что инъективность рушится даже при инъективном π. Практически это устраняется тем же спутниковым счётным гиперкубом (см. ниже): пара (сумма, мощность слоя) отличает пустой слой от слоя с нулевой суммой. Без него условие предложения 1 следует читать как требование строгой положительности меры.</w:t>
      </w:r>
    </w:p>
    <w:p>
      <w:pPr>
        <w:spacing w:after="120" w:before="0" w:line="300"/>
        <w:ind w:firstLine="567"/>
        <w:jc w:val="both"/>
      </w:pPr>
      <w:r>
        <w:rPr>
          <w:rFonts w:ascii="Times New Roman" w:cs="Times New Roman" w:eastAsia="Times New Roman" w:hAnsi="Times New Roman"/>
          <w:sz w:val="24"/>
          <w:szCs w:val="24"/>
        </w:rPr>
        <w:t xml:space="preserve">Из предложения 1 следуют три обстоятельства.</w:t>
      </w:r>
    </w:p>
    <w:p>
      <w:pPr>
        <w:spacing w:after="120" w:before="0" w:line="300"/>
        <w:ind w:firstLine="567"/>
        <w:jc w:val="both"/>
      </w:pPr>
      <w:r>
        <w:rPr>
          <w:rFonts w:ascii="Times New Roman" w:cs="Times New Roman" w:eastAsia="Times New Roman" w:hAnsi="Times New Roman"/>
          <w:sz w:val="24"/>
          <w:szCs w:val="24"/>
        </w:rPr>
        <w:t xml:space="preserve">Во-первых, соответствие реляционной и многомерно-матричной моделей на уровне экземпляров в общем случае является гомоморфизмом, но не изоморфизмом: изоморфизм имеет место в точности тогда, когда гранулярность гиперкуба совпадает с гранулярностью отношения. Это уточняет формулировку из [4] и объясняет оговорку «в конкретных случаях изоморфна», сделанную в [7]: там гиперкубом служит матрица смежности графа, отношению G(i, j, w) пара (i, j) служит ключом, условие предложения 1 выполнено — и потому изоморфизм в той задаче действительно имеет место. Предложение 1 указывает, чем именно эти конкретные случаи выделены.</w:t>
      </w:r>
    </w:p>
    <w:p>
      <w:pPr>
        <w:spacing w:after="120" w:before="0" w:line="300"/>
        <w:ind w:firstLine="567"/>
        <w:jc w:val="both"/>
      </w:pPr>
      <w:r>
        <w:rPr>
          <w:rFonts w:ascii="Times New Roman" w:cs="Times New Roman" w:eastAsia="Times New Roman" w:hAnsi="Times New Roman"/>
          <w:sz w:val="24"/>
          <w:szCs w:val="24"/>
        </w:rPr>
        <w:t xml:space="preserve">Во-вторых, поскольку слой схлопывается ⊕-суммой, максимум по ячейкам гиперкуба не равен максимуму по кортежам, когда слой содержит более одного кортежа. Меры 3 и 5, попавшие в одну ячейку, и мера 4 в другой дают куб {8, 4}: максимум по кубу равен 8, по кортежам — 5. Это свойство отображения, а не дефект реализации, и оно должно быть зафиксировано в документации системы.</w:t>
      </w:r>
    </w:p>
    <w:p>
      <w:pPr>
        <w:spacing w:after="120" w:before="0" w:line="300"/>
        <w:ind w:firstLine="567"/>
        <w:jc w:val="both"/>
      </w:pPr>
      <w:r>
        <w:rPr>
          <w:rFonts w:ascii="Times New Roman" w:cs="Times New Roman" w:eastAsia="Times New Roman" w:hAnsi="Times New Roman"/>
          <w:sz w:val="24"/>
          <w:szCs w:val="24"/>
        </w:rPr>
        <w:t xml:space="preserve">В-третьих, пара из гиперкуба сумм и гиперкуба, построенного по мере, тождественно равной единице, различает больше, чем один лишь гиперкуб сумм: она сохраняет мощность каждого слоя. Поэтому при загрузке факта создаётся спутниковый счётный гиперкуб, благодаря которому агрегаты COUNT и AVG вычисляются точно, а не по непустым ячейкам.</w:t>
      </w:r>
    </w:p>
    <w:p>
      <w:pPr>
        <w:spacing w:after="120" w:before="0" w:line="300"/>
        <w:ind w:firstLine="567"/>
        <w:jc w:val="both"/>
      </w:pPr>
      <w:r>
        <w:rPr>
          <w:rFonts w:ascii="Times New Roman" w:cs="Times New Roman" w:eastAsia="Times New Roman" w:hAnsi="Times New Roman"/>
          <w:sz w:val="24"/>
          <w:szCs w:val="24"/>
        </w:rPr>
        <w:t xml:space="preserve">Иерархии измерений (дата → месяц → квартал, товар → категория) задаются отображением h из значений дочернего измерения в значения родительского и представляются матрицей перехода H, у которой H[i, j] = 1, если h(vᵢ) = vⱼ, и 0 иначе. Для цепочки иерархий матрица перехода есть матричное произведение соответствующих матриц, поскольку в сумме по промежуточному индексу ровно одно слагаемое отлично от нуля.</w:t>
      </w:r>
    </w:p>
    <w:p>
      <w:pPr>
        <w:pStyle w:val="Heading1"/>
        <w:spacing w:after="160" w:before="320"/>
      </w:pPr>
      <w:r>
        <w:rPr>
          <w:rFonts w:ascii="Times New Roman" w:cs="Times New Roman" w:eastAsia="Times New Roman" w:hAnsi="Times New Roman"/>
          <w:b/>
          <w:bCs/>
          <w:sz w:val="26"/>
          <w:szCs w:val="26"/>
        </w:rPr>
        <w:t xml:space="preserve">2. Трансляция запроса в цепочку свёрнутых произведений</w:t>
      </w:r>
    </w:p>
    <w:p>
      <w:pPr>
        <w:spacing w:after="120" w:before="0" w:line="300"/>
        <w:ind w:firstLine="567"/>
        <w:jc w:val="both"/>
      </w:pPr>
      <w:r>
        <w:rPr>
          <w:rFonts w:ascii="Times New Roman" w:cs="Times New Roman" w:eastAsia="Times New Roman" w:hAnsi="Times New Roman"/>
          <w:sz w:val="24"/>
          <w:szCs w:val="24"/>
        </w:rPr>
        <w:t xml:space="preserve">Напомним определение [1, 2]. Для матриц A: I_L × I_S × I_C и B: I_S × I_C × I_M</w:t>
      </w:r>
    </w:p>
    <w:p>
      <w:pPr>
        <w:spacing w:after="120" w:before="120" w:line="300"/>
        <w:jc w:val="center"/>
      </w:pPr>
      <w:r>
        <w:rPr>
          <w:rFonts w:ascii="Times New Roman" w:cs="Times New Roman" w:eastAsia="Times New Roman" w:hAnsi="Times New Roman"/>
          <w:i/>
          <w:iCs/>
          <w:sz w:val="24"/>
          <w:szCs w:val="24"/>
        </w:rPr>
        <w:t xml:space="preserve">(A ∗(λ,μ) B)[L,S,M] = ⊕ по C из I_C от A[L,S,C] ⊗ B[S,C,M],</w:t>
      </w:r>
    </w:p>
    <w:p>
      <w:pPr>
        <w:spacing w:after="120" w:before="0" w:line="300"/>
        <w:ind w:firstLine="567"/>
        <w:jc w:val="both"/>
      </w:pPr>
      <w:r>
        <w:rPr>
          <w:rFonts w:ascii="Times New Roman" w:cs="Times New Roman" w:eastAsia="Times New Roman" w:hAnsi="Times New Roman"/>
          <w:sz w:val="24"/>
          <w:szCs w:val="24"/>
        </w:rPr>
        <w:t xml:space="preserve">где группа S мощности λ — общие индексы, сохраняемые в результате, группа C мощности μ — общие индексы, по которым идёт суммирование, а группы L и M — свободные индексы сомножителей. Следуя [6, 7], общие индексы будем называть </w:t>
      </w:r>
      <w:r>
        <w:rPr>
          <w:rFonts w:ascii="Times New Roman" w:cs="Times New Roman" w:eastAsia="Times New Roman" w:hAnsi="Times New Roman"/>
          <w:sz w:val="24"/>
          <w:szCs w:val="24"/>
        </w:rPr>
        <w:t xml:space="preserve">скоттовыми</w:t>
      </w:r>
      <w:r>
        <w:rPr>
          <w:rFonts w:ascii="Times New Roman" w:cs="Times New Roman" w:eastAsia="Times New Roman" w:hAnsi="Times New Roman"/>
          <w:sz w:val="24"/>
          <w:szCs w:val="24"/>
        </w:rPr>
        <w:t xml:space="preserve"> (группа S) и </w:t>
      </w:r>
      <w:r>
        <w:rPr>
          <w:rFonts w:ascii="Times New Roman" w:cs="Times New Roman" w:eastAsia="Times New Roman" w:hAnsi="Times New Roman"/>
          <w:sz w:val="24"/>
          <w:szCs w:val="24"/>
        </w:rPr>
        <w:t xml:space="preserve">кэлиевыми</w:t>
      </w:r>
      <w:r>
        <w:rPr>
          <w:rFonts w:ascii="Times New Roman" w:cs="Times New Roman" w:eastAsia="Times New Roman" w:hAnsi="Times New Roman"/>
          <w:sz w:val="24"/>
          <w:szCs w:val="24"/>
        </w:rPr>
        <w:t xml:space="preserve"> (группа C). Именно наличие скоттовых индексов отличает эту операцию от умножения обычных матриц и от тензорной свёртки: при λ = 0 она в них вырождается.</w:t>
      </w:r>
    </w:p>
    <w:p>
      <w:pPr>
        <w:spacing w:after="120" w:before="0" w:line="300"/>
        <w:ind w:firstLine="567"/>
        <w:jc w:val="both"/>
      </w:pPr>
      <w:r>
        <w:rPr>
          <w:rFonts w:ascii="Times New Roman" w:cs="Times New Roman" w:eastAsia="Times New Roman" w:hAnsi="Times New Roman"/>
          <w:sz w:val="24"/>
          <w:szCs w:val="24"/>
        </w:rPr>
        <w:t xml:space="preserve">Ранг результата равен</w:t>
      </w:r>
    </w:p>
    <w:p>
      <w:pPr>
        <w:spacing w:after="120" w:before="120" w:line="300"/>
        <w:jc w:val="center"/>
      </w:pPr>
      <w:r>
        <w:rPr>
          <w:rFonts w:ascii="Times New Roman" w:cs="Times New Roman" w:eastAsia="Times New Roman" w:hAnsi="Times New Roman"/>
          <w:i/>
          <w:iCs/>
          <w:sz w:val="24"/>
          <w:szCs w:val="24"/>
        </w:rPr>
        <w:t xml:space="preserve">r = p + q − λ − 2μ,</w:t>
      </w:r>
    </w:p>
    <w:p>
      <w:pPr>
        <w:spacing w:after="120" w:before="0" w:line="300"/>
        <w:ind w:firstLine="567"/>
        <w:jc w:val="both"/>
      </w:pPr>
      <w:r>
        <w:rPr>
          <w:rFonts w:ascii="Times New Roman" w:cs="Times New Roman" w:eastAsia="Times New Roman" w:hAnsi="Times New Roman"/>
          <w:sz w:val="24"/>
          <w:szCs w:val="24"/>
        </w:rPr>
        <w:t xml:space="preserve">то есть при различных сочетаниях λ и μ пробегает все значения от 0 (скаляр) до p + q (по существу декартово произведение). Порядок параметров в обозначении существен и здесь принят тот же, что в [7]: </w:t>
      </w:r>
      <w:r>
        <w:rPr>
          <w:rFonts w:ascii="Times New Roman" w:cs="Times New Roman" w:eastAsia="Times New Roman" w:hAnsi="Times New Roman"/>
          <w:sz w:val="24"/>
          <w:szCs w:val="24"/>
        </w:rPr>
        <w:t xml:space="preserve">первый — число скоттовых индексов, второй — число кэлиевых</w:t>
      </w:r>
      <w:r>
        <w:rPr>
          <w:rFonts w:ascii="Times New Roman" w:cs="Times New Roman" w:eastAsia="Times New Roman" w:hAnsi="Times New Roman"/>
          <w:sz w:val="24"/>
          <w:szCs w:val="24"/>
        </w:rPr>
        <w:t xml:space="preserve">.</w:t>
      </w:r>
    </w:p>
    <w:p>
      <w:pPr>
        <w:spacing w:after="120" w:before="0" w:line="300"/>
        <w:ind w:firstLine="567"/>
        <w:jc w:val="both"/>
      </w:pPr>
      <w:r>
        <w:rPr>
          <w:rFonts w:ascii="Times New Roman" w:cs="Times New Roman" w:eastAsia="Times New Roman" w:hAnsi="Times New Roman"/>
          <w:sz w:val="24"/>
          <w:szCs w:val="24"/>
        </w:rPr>
        <w:t xml:space="preserve">Отсюда важное для дальнейшего обстоятельство: при μ = 0 суммирования нет вовсе, операция чисто мультипликативна, и ранг результата </w:t>
      </w:r>
      <w:r>
        <w:rPr>
          <w:rFonts w:ascii="Times New Roman" w:cs="Times New Roman" w:eastAsia="Times New Roman" w:hAnsi="Times New Roman"/>
          <w:sz w:val="24"/>
          <w:szCs w:val="24"/>
        </w:rPr>
        <w:t xml:space="preserve">растёт</w:t>
      </w:r>
      <w:r>
        <w:rPr>
          <w:rFonts w:ascii="Times New Roman" w:cs="Times New Roman" w:eastAsia="Times New Roman" w:hAnsi="Times New Roman"/>
          <w:sz w:val="24"/>
          <w:szCs w:val="24"/>
        </w:rPr>
        <w:t xml:space="preserve">. Этот вырожденный случай не искусственный — на нём построено решение задачи о маршрутах в графе [7]: (1, 0)-степень матрицы смежности имеет ранг k + 1, и набор значений индексов её ненейтрального элемента есть последовательность вершин маршрута из k рёбер. Суммирование по промежуточной вершине (то есть μ = 1) дало бы вместо самих маршрутов их веса. В настоящей работе (1, 0)-произведения возникают в двух местах: условие отбора есть умножение на индикатор без свёртки, а соединение двух таблиц фактов по общему измерению, остающемуся в группировке, повышает ранг результата над рангом каждого из сомножителей.</w:t>
      </w:r>
    </w:p>
    <w:p>
      <w:pPr>
        <w:spacing w:after="120" w:before="0" w:line="300"/>
        <w:ind w:firstLine="567"/>
        <w:jc w:val="both"/>
      </w:pPr>
      <w:r>
        <w:rPr>
          <w:rFonts w:ascii="Times New Roman" w:cs="Times New Roman" w:eastAsia="Times New Roman" w:hAnsi="Times New Roman"/>
          <w:sz w:val="24"/>
          <w:szCs w:val="24"/>
        </w:rPr>
        <w:t xml:space="preserve">Транслятор построен на том, что эти роли находятся во взаимно однозначном соответствии с конструкциями языка запросов (табл. 2).</w:t>
      </w:r>
    </w:p>
    <w:p>
      <w:pPr>
        <w:spacing w:after="100" w:before="200" w:line="300"/>
      </w:pPr>
      <w:r>
        <w:rPr>
          <w:rFonts w:ascii="Times New Roman" w:cs="Times New Roman" w:eastAsia="Times New Roman" w:hAnsi="Times New Roman"/>
          <w:i/>
          <w:iCs/>
          <w:sz w:val="24"/>
          <w:szCs w:val="24"/>
        </w:rPr>
        <w:t xml:space="preserve">Таблица 2 — Соответствие ролей индексов конструкциям SQL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62"/>
        <w:gridCol w:w="3733"/>
        <w:gridCol w:w="3505"/>
      </w:tblGrid>
      <w:tr>
        <w:trPr>
          <w:tblHeader/>
        </w:trPr>
        <w:tc>
          <w:tcPr>
            <w:tcW w:type="dxa" w:w="236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Роль индекса</w:t>
            </w:r>
          </w:p>
        </w:tc>
        <w:tc>
          <w:tcPr>
            <w:tcW w:type="dxa" w:w="373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Условие</w:t>
            </w:r>
          </w:p>
        </w:tc>
        <w:tc>
          <w:tcPr>
            <w:tcW w:type="dxa" w:w="350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Конструкция запроса</w:t>
            </w:r>
          </w:p>
        </w:tc>
      </w:tr>
      <w:tr>
        <w:trPr>
          <w:tblHeader w:val="false"/>
        </w:trPr>
        <w:tc>
          <w:tcPr>
            <w:tcW w:type="dxa" w:w="236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λ, скоттов (общий, сохраняется)</w:t>
            </w:r>
          </w:p>
        </w:tc>
        <w:tc>
          <w:tcPr>
            <w:tcW w:type="dxa" w:w="37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ось общая для операндов и присутствует в GROUP BY</w:t>
            </w:r>
          </w:p>
        </w:tc>
        <w:tc>
          <w:tcPr>
            <w:tcW w:type="dxa" w:w="350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по ключу, остающемуся в группировке</w:t>
            </w:r>
          </w:p>
        </w:tc>
      </w:tr>
      <w:tr>
        <w:trPr>
          <w:tblHeader w:val="false"/>
        </w:trPr>
        <w:tc>
          <w:tcPr>
            <w:tcW w:type="dxa" w:w="236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μ, кэлиев (общий, свёртывается)</w:t>
            </w:r>
          </w:p>
        </w:tc>
        <w:tc>
          <w:tcPr>
            <w:tcW w:type="dxa" w:w="37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ось общая, в GROUP BY отсутствует</w:t>
            </w:r>
          </w:p>
        </w:tc>
        <w:tc>
          <w:tcPr>
            <w:tcW w:type="dxa" w:w="350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по ключу с последующей агрегацией</w:t>
            </w:r>
          </w:p>
        </w:tc>
      </w:tr>
      <w:tr>
        <w:trPr>
          <w:tblHeader w:val="false"/>
        </w:trPr>
        <w:tc>
          <w:tcPr>
            <w:tcW w:type="dxa" w:w="236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свободный</w:t>
            </w:r>
          </w:p>
        </w:tc>
        <w:tc>
          <w:tcPr>
            <w:tcW w:type="dxa" w:w="37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ось принадлежит одному операнду</w:t>
            </w:r>
          </w:p>
        </w:tc>
        <w:tc>
          <w:tcPr>
            <w:tcW w:type="dxa" w:w="350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измерение, уникальное для данного факта</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Соединение и агрегация суть одна операция, различающаяся лишь тем, попал общий индекс в результат или нет. Остальные конструкции языка получаются как следствия.</w:t>
      </w:r>
    </w:p>
    <w:p>
      <w:pPr>
        <w:spacing w:after="120" w:before="0" w:line="300"/>
        <w:ind w:firstLine="567"/>
        <w:jc w:val="both"/>
      </w:pPr>
      <w:r>
        <w:rPr>
          <w:rFonts w:ascii="Times New Roman" w:cs="Times New Roman" w:eastAsia="Times New Roman" w:hAnsi="Times New Roman"/>
          <w:sz w:val="24"/>
          <w:szCs w:val="24"/>
        </w:rPr>
        <w:t xml:space="preserve">Отбор.</w:t>
      </w:r>
      <w:r>
        <w:rPr>
          <w:rFonts w:ascii="Times New Roman" w:cs="Times New Roman" w:eastAsia="Times New Roman" w:hAnsi="Times New Roman"/>
          <w:sz w:val="24"/>
          <w:szCs w:val="24"/>
        </w:rPr>
        <w:t xml:space="preserve"> Пусть условие φ зависит от нескольких измерений и χ — его индикатор, то есть матрица со значениями 0 и 1 на соответствующих осях. Сумма по ячейкам, удовлетворяющим φ, равна сумме по всем ячейкам произведения A ⊗ χ, поскольку не удовлетворяющие ячейки умножаются на нуль. Следовательно условие отбора — не проход по данным, а дополнительный операнд той же свёртки. Конъюнкция условий по разным измерениям остаётся факторизованной, тогда как дизъюнкция требует материализации совместного индикатора по формуле χ = 1 − (1 − χ₁)(1 − χ₂); это причина, по которой OR между разными измерениями дороже, чем AND. Приведённая формула записана для булевых индикаторов над (+, ·) и опирается на равенство χ² = χ; над произвольным полукольцом дизъюнкция выражается через ⊕ булева полукольца (∨, ∧), а не через вычитание, которого в полукольце может не быть.</w:t>
      </w:r>
    </w:p>
    <w:p>
      <w:pPr>
        <w:spacing w:after="120" w:before="0" w:line="300"/>
        <w:ind w:firstLine="567"/>
        <w:jc w:val="both"/>
      </w:pPr>
      <w:r>
        <w:rPr>
          <w:rFonts w:ascii="Times New Roman" w:cs="Times New Roman" w:eastAsia="Times New Roman" w:hAnsi="Times New Roman"/>
          <w:sz w:val="24"/>
          <w:szCs w:val="24"/>
        </w:rPr>
        <w:t xml:space="preserve">Свёртка по иерархии.</w:t>
      </w:r>
      <w:r>
        <w:rPr>
          <w:rFonts w:ascii="Times New Roman" w:cs="Times New Roman" w:eastAsia="Times New Roman" w:hAnsi="Times New Roman"/>
          <w:sz w:val="24"/>
          <w:szCs w:val="24"/>
        </w:rPr>
        <w:t xml:space="preserve"> Группировка по родительскому измерению есть (0,1)-свёртка с матрицей перехода: сумма произведений A[…,c]·H[c,p] по c равна сумме A[…,c] по прообразу p. Отдельного кода агрегации по иерархии не требуется.</w:t>
      </w:r>
    </w:p>
    <w:p>
      <w:pPr>
        <w:spacing w:after="120" w:before="0" w:line="300"/>
        <w:ind w:firstLine="567"/>
        <w:jc w:val="both"/>
      </w:pPr>
      <w:r>
        <w:rPr>
          <w:rFonts w:ascii="Times New Roman" w:cs="Times New Roman" w:eastAsia="Times New Roman" w:hAnsi="Times New Roman"/>
          <w:sz w:val="24"/>
          <w:szCs w:val="24"/>
        </w:rPr>
        <w:t xml:space="preserve">Оконные функции.</w:t>
      </w:r>
      <w:r>
        <w:rPr>
          <w:rFonts w:ascii="Times New Roman" w:cs="Times New Roman" w:eastAsia="Times New Roman" w:hAnsi="Times New Roman"/>
          <w:sz w:val="24"/>
          <w:szCs w:val="24"/>
        </w:rPr>
        <w:t xml:space="preserve"> Накопительная сумма вдоль оси есть умножение на верхнетреугольную матрицу; скользящее окно ширины w — на ленточную; взвешенное окно — на произвольную матрицу весов.</w:t>
      </w:r>
    </w:p>
    <w:p>
      <w:pPr>
        <w:spacing w:after="120" w:before="0" w:line="300"/>
        <w:ind w:firstLine="567"/>
        <w:jc w:val="both"/>
      </w:pPr>
      <w:r>
        <w:rPr>
          <w:rFonts w:ascii="Times New Roman" w:cs="Times New Roman" w:eastAsia="Times New Roman" w:hAnsi="Times New Roman"/>
          <w:sz w:val="24"/>
          <w:szCs w:val="24"/>
        </w:rPr>
        <w:t xml:space="preserve">Разграничение доступа.</w:t>
      </w:r>
      <w:r>
        <w:rPr>
          <w:rFonts w:ascii="Times New Roman" w:cs="Times New Roman" w:eastAsia="Times New Roman" w:hAnsi="Times New Roman"/>
          <w:sz w:val="24"/>
          <w:szCs w:val="24"/>
        </w:rPr>
        <w:t xml:space="preserve"> Право роли на измерение задаётся вектором из нулей и единиц и добавляется в тот же терм ещё одним операндом; запрещённые данные не участвуют в арифметике ни на одном промежуточном шаге.</w:t>
      </w:r>
    </w:p>
    <w:p>
      <w:pPr>
        <w:spacing w:after="120" w:before="0" w:line="300"/>
        <w:ind w:firstLine="567"/>
        <w:jc w:val="both"/>
      </w:pPr>
      <w:r>
        <w:rPr>
          <w:rFonts w:ascii="Times New Roman" w:cs="Times New Roman" w:eastAsia="Times New Roman" w:hAnsi="Times New Roman"/>
          <w:sz w:val="24"/>
          <w:szCs w:val="24"/>
        </w:rPr>
        <w:t xml:space="preserve">Пример. Запрос</w:t>
      </w:r>
    </w:p>
    <w:p>
      <w:pPr>
        <w:spacing w:after="0" w:line="260"/>
        <w:ind w:left="567"/>
      </w:pPr>
      <w:r>
        <w:rPr>
          <w:rFonts w:ascii="Courier New" w:cs="Courier New" w:eastAsia="Courier New" w:hAnsi="Courier New"/>
          <w:sz w:val="20"/>
          <w:szCs w:val="20"/>
        </w:rPr>
        <w:t xml:space="preserve">SELECT customer, month, SUM(quantity * price)</w:t>
      </w:r>
    </w:p>
    <w:p>
      <w:pPr>
        <w:spacing w:after="0" w:line="260"/>
        <w:ind w:left="567"/>
      </w:pPr>
      <w:r>
        <w:rPr>
          <w:rFonts w:ascii="Courier New" w:cs="Courier New" w:eastAsia="Courier New" w:hAnsi="Courier New"/>
          <w:sz w:val="20"/>
          <w:szCs w:val="20"/>
        </w:rPr>
        <w:t xml:space="preserve">FROM sales JOIN product ON sales.product = product.product</w:t>
      </w:r>
    </w:p>
    <w:p>
      <w:pPr>
        <w:spacing w:after="0" w:line="260"/>
        <w:ind w:left="567"/>
      </w:pPr>
      <w:r>
        <w:rPr>
          <w:rFonts w:ascii="Courier New" w:cs="Courier New" w:eastAsia="Courier New" w:hAnsi="Courier New"/>
          <w:sz w:val="20"/>
          <w:szCs w:val="20"/>
        </w:rPr>
        <w:t xml:space="preserve">WHERE region = 'Смоленск'</w:t>
      </w:r>
    </w:p>
    <w:p>
      <w:pPr>
        <w:spacing w:after="0" w:line="260"/>
        <w:ind w:left="567"/>
      </w:pPr>
      <w:r>
        <w:rPr>
          <w:rFonts w:ascii="Courier New" w:cs="Courier New" w:eastAsia="Courier New" w:hAnsi="Courier New"/>
          <w:sz w:val="20"/>
          <w:szCs w:val="20"/>
        </w:rPr>
        <w:t xml:space="preserve">GROUP BY customer, month</w:t>
      </w:r>
    </w:p>
    <w:p>
      <w:pPr>
        <w:spacing w:after="120" w:before="0" w:line="300"/>
        <w:ind w:firstLine="567"/>
        <w:jc w:val="both"/>
      </w:pPr>
      <w:r>
        <w:rPr>
          <w:rFonts w:ascii="Times New Roman" w:cs="Times New Roman" w:eastAsia="Times New Roman" w:hAnsi="Times New Roman"/>
          <w:sz w:val="24"/>
          <w:szCs w:val="24"/>
        </w:rPr>
        <w:t xml:space="preserve">транслируется в единственное выражение</w:t>
      </w:r>
    </w:p>
    <w:p>
      <w:pPr>
        <w:spacing w:after="0" w:line="260"/>
        <w:ind w:left="567"/>
      </w:pPr>
      <w:r>
        <w:rPr>
          <w:rFonts w:ascii="Courier New" w:cs="Courier New" w:eastAsia="Courier New" w:hAnsi="Courier New"/>
          <w:sz w:val="20"/>
          <w:szCs w:val="20"/>
        </w:rPr>
        <w:t xml:space="preserve">np.einsum('abc,b,cd,a-&gt;ad', sales, price, date_to_month, region_mask),</w:t>
      </w:r>
    </w:p>
    <w:p>
      <w:pPr>
        <w:spacing w:after="120" w:before="0" w:line="300"/>
        <w:ind w:firstLine="567"/>
        <w:jc w:val="both"/>
      </w:pPr>
      <w:r>
        <w:rPr>
          <w:rFonts w:ascii="Times New Roman" w:cs="Times New Roman" w:eastAsia="Times New Roman" w:hAnsi="Times New Roman"/>
          <w:sz w:val="24"/>
          <w:szCs w:val="24"/>
        </w:rPr>
        <w:t xml:space="preserve">где sales — гиперкуб продаж с осями (клиент, товар, дата), price — куб ранга 1 с ценами, date_to_month — матрица перехода иерархии, region_mask — индикатор условия отбора. Индексы b (товар) и c (дата) общие и отсутствуют в результате — это μ-индексы; индекс a (клиент) общий с маской и присутствует в результате — λ-индекс.</w:t>
      </w:r>
    </w:p>
    <w:p>
      <w:pPr>
        <w:spacing w:after="120" w:before="0" w:line="300"/>
        <w:ind w:firstLine="567"/>
        <w:jc w:val="both"/>
      </w:pPr>
      <w:r>
        <w:rPr>
          <w:rFonts w:ascii="Times New Roman" w:cs="Times New Roman" w:eastAsia="Times New Roman" w:hAnsi="Times New Roman"/>
          <w:sz w:val="24"/>
          <w:szCs w:val="24"/>
        </w:rPr>
        <w:t xml:space="preserve">Теорема 1 (о представимости).</w:t>
      </w:r>
      <w:r>
        <w:rPr>
          <w:rFonts w:ascii="Times New Roman" w:cs="Times New Roman" w:eastAsia="Times New Roman" w:hAnsi="Times New Roman"/>
          <w:sz w:val="24"/>
          <w:szCs w:val="24"/>
        </w:rPr>
        <w:t xml:space="preserve"> Всякий запрос, в котором агрегатами служат SUM, COUNT и AVG, выражения под агрегатами построены из мер, констант, операций сложения, вычитания, умножения и деления на ненулевую константу, условие отбора есть произвольная булева комбинация предикатов над измерениями и их атрибутами, а каждое измерение группировки является осью куба либо достижимо по цепочке иерархий, представим как линейная комбинация (λ, μ)-свёрнутых произведений.</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конструктивно и повторяет работу транслятора: выражение под агрегатом приводится к сумме произведений мер с коэффициентами индукцией по структуре с использованием дистрибутивности умножения над сложением; каждое слагаемое даёт отдельное стягивание, к операндам которого добавляются индикатор условия и матрицы перехода иерархий. ∎</w:t>
      </w:r>
    </w:p>
    <w:p>
      <w:pPr>
        <w:spacing w:after="120" w:before="0" w:line="300"/>
        <w:ind w:firstLine="567"/>
        <w:jc w:val="both"/>
      </w:pPr>
      <w:r>
        <w:rPr>
          <w:rFonts w:ascii="Times New Roman" w:cs="Times New Roman" w:eastAsia="Times New Roman" w:hAnsi="Times New Roman"/>
          <w:sz w:val="24"/>
          <w:szCs w:val="24"/>
        </w:rPr>
        <w:t xml:space="preserve">Утверждение 2 (о непредставимости MIN и MAX).</w:t>
      </w:r>
      <w:r>
        <w:rPr>
          <w:rFonts w:ascii="Times New Roman" w:cs="Times New Roman" w:eastAsia="Times New Roman" w:hAnsi="Times New Roman"/>
          <w:sz w:val="24"/>
          <w:szCs w:val="24"/>
        </w:rPr>
        <w:t xml:space="preserve"> Агрегаты MIN и MAX не выражаются никакой линейной комбинацией (λ, μ)-свёрнутых произведений над полем действительных чисел с фиксированными вспомогательными матрицами.</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Свёрнутое произведение билинейно, поэтому любая такая комбинация есть линейная, а значит аддитивная функция гиперкуба-меры. Но max((1,0)) + max((0,1)) = 2, тогда как max((1,0) + (0,1)) = max((1,1)) = 1. ∎</w:t>
      </w:r>
    </w:p>
    <w:p>
      <w:pPr>
        <w:spacing w:after="120" w:before="0" w:line="300"/>
        <w:ind w:firstLine="567"/>
        <w:jc w:val="both"/>
      </w:pPr>
      <w:r>
        <w:rPr>
          <w:rFonts w:ascii="Times New Roman" w:cs="Times New Roman" w:eastAsia="Times New Roman" w:hAnsi="Times New Roman"/>
          <w:sz w:val="24"/>
          <w:szCs w:val="24"/>
        </w:rPr>
        <w:t xml:space="preserve">Исключение MIN и MAX из модели есть свойство алгебры, а не недоработка реализации; в §5 показано, что они возвращаются в модель при замене полукольца коэффициентов.</w:t>
      </w:r>
    </w:p>
    <w:p>
      <w:pPr>
        <w:pStyle w:val="Heading1"/>
        <w:spacing w:after="160" w:before="320"/>
      </w:pPr>
      <w:r>
        <w:rPr>
          <w:rFonts w:ascii="Times New Roman" w:cs="Times New Roman" w:eastAsia="Times New Roman" w:hAnsi="Times New Roman"/>
          <w:b/>
          <w:bCs/>
          <w:sz w:val="26"/>
          <w:szCs w:val="26"/>
        </w:rPr>
        <w:t xml:space="preserve">3. План запроса как терм алгебры и модель стоимости</w:t>
      </w:r>
    </w:p>
    <w:p>
      <w:pPr>
        <w:pStyle w:val="Heading2"/>
        <w:spacing w:after="160" w:before="240"/>
      </w:pPr>
      <w:r>
        <w:rPr>
          <w:rFonts w:ascii="Times New Roman" w:cs="Times New Roman" w:eastAsia="Times New Roman" w:hAnsi="Times New Roman"/>
          <w:b/>
          <w:bCs/>
          <w:sz w:val="24"/>
          <w:szCs w:val="24"/>
        </w:rPr>
        <w:t xml:space="preserve">3.1. Разложение плана</w:t>
      </w:r>
    </w:p>
    <w:p>
      <w:pPr>
        <w:spacing w:after="120" w:before="0" w:line="300"/>
        <w:ind w:firstLine="567"/>
        <w:jc w:val="both"/>
      </w:pPr>
      <w:r>
        <w:rPr>
          <w:rFonts w:ascii="Times New Roman" w:cs="Times New Roman" w:eastAsia="Times New Roman" w:hAnsi="Times New Roman"/>
          <w:sz w:val="24"/>
          <w:szCs w:val="24"/>
        </w:rPr>
        <w:t xml:space="preserve">Выражение с четырьмя операндами не является операцией алгебры Соколова: последняя бинарна. Пусть матрицы A₁, …, A_n индексированы наборами имён X₁, …, X_n, а O — набор выходных индексов. Многооперандным стягиванием назовём сумму произведений всех операндов по всем значениям невыходных индексов. Планом назовём двоичное дерево с листьями A₁, …, A_n; вычисление идёт снизу вверх бинарными (λ, μ)-произведениями, где μ-группу образуют общие индексы, не нужные ни далее, ни в выходе, а λ-группу — прочие общие индексы.</w:t>
      </w:r>
    </w:p>
    <w:p>
      <w:pPr>
        <w:spacing w:after="120" w:before="0" w:line="300"/>
        <w:ind w:firstLine="567"/>
        <w:jc w:val="both"/>
      </w:pPr>
      <w:r>
        <w:rPr>
          <w:rFonts w:ascii="Times New Roman" w:cs="Times New Roman" w:eastAsia="Times New Roman" w:hAnsi="Times New Roman"/>
          <w:sz w:val="24"/>
          <w:szCs w:val="24"/>
        </w:rPr>
        <w:t xml:space="preserve">Теорема 2 (о разложении).</w:t>
      </w:r>
      <w:r>
        <w:rPr>
          <w:rFonts w:ascii="Times New Roman" w:cs="Times New Roman" w:eastAsia="Times New Roman" w:hAnsi="Times New Roman"/>
          <w:sz w:val="24"/>
          <w:szCs w:val="24"/>
        </w:rPr>
        <w:t xml:space="preserve"> Для любого плана результат его вычисления равен многооперандному стягиванию.</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Индукция по числу операндов. База очевидна. Пусть корень объединяет поддеревья с наборами операндов P и Q. Разобьём невыходные индексы на встречающиеся только в P, только в Q и общие. Так как индексы первого класса не входят в множители из Q и наоборот, соответствующие суммы выносятся за скобку по правой дистрибутивности умножения над конечной суммой, и стягивание распадается на внешнюю сумму по общим невыходным индексам от произведения двух внутренних выражений. Внутренние выражения по предположению индукции равны результатам поддеревьев, а внешняя сумма есть в точности (λ, μ)-произведение. ∎</w:t>
      </w:r>
    </w:p>
    <w:p>
      <w:pPr>
        <w:spacing w:after="120" w:before="0" w:line="300"/>
        <w:ind w:firstLine="567"/>
        <w:jc w:val="both"/>
      </w:pPr>
      <w:r>
        <w:rPr>
          <w:rFonts w:ascii="Times New Roman" w:cs="Times New Roman" w:eastAsia="Times New Roman" w:hAnsi="Times New Roman"/>
          <w:sz w:val="24"/>
          <w:szCs w:val="24"/>
        </w:rPr>
        <w:t xml:space="preserve">Следствие 1.</w:t>
      </w:r>
      <w:r>
        <w:rPr>
          <w:rFonts w:ascii="Times New Roman" w:cs="Times New Roman" w:eastAsia="Times New Roman" w:hAnsi="Times New Roman"/>
          <w:sz w:val="24"/>
          <w:szCs w:val="24"/>
        </w:rPr>
        <w:t xml:space="preserve"> Результат не зависит от порядка свёрток: любые два плана дают одно и то же.</w:t>
      </w:r>
    </w:p>
    <w:p>
      <w:pPr>
        <w:spacing w:after="120" w:before="0" w:line="300"/>
        <w:ind w:firstLine="567"/>
        <w:jc w:val="both"/>
      </w:pPr>
      <w:r>
        <w:rPr>
          <w:rFonts w:ascii="Times New Roman" w:cs="Times New Roman" w:eastAsia="Times New Roman" w:hAnsi="Times New Roman"/>
          <w:sz w:val="24"/>
          <w:szCs w:val="24"/>
        </w:rPr>
        <w:t xml:space="preserve">Следствие 1 делает оптимизацию корректной — выбирая порядок по стоимости, оптимизатор не меняет ответ. Оно же обосновывает приём, применяемый при превышении технического ограничения einsum на число различных индексов (52 буквы латинского алфавита в обоих регистрах): план разбивается на цепочку парных произведений с промежуточной материализацией.</w:t>
      </w:r>
    </w:p>
    <w:p>
      <w:pPr>
        <w:spacing w:after="120" w:before="0" w:line="300"/>
        <w:ind w:firstLine="567"/>
        <w:jc w:val="both"/>
      </w:pPr>
      <w:r>
        <w:rPr>
          <w:rFonts w:ascii="Times New Roman" w:cs="Times New Roman" w:eastAsia="Times New Roman" w:hAnsi="Times New Roman"/>
          <w:sz w:val="24"/>
          <w:szCs w:val="24"/>
        </w:rPr>
        <w:t xml:space="preserve">Для приведённого выше запроса разложение имеет вид, показанный в табл. 3; численная проверка показывает, что последовательное применение операций ядра даёт тот же результат, что и единый вызов einsum, с относительным расхождением менее 10⁻¹².</w:t>
      </w:r>
    </w:p>
    <w:p>
      <w:pPr>
        <w:spacing w:after="100" w:before="200" w:line="300"/>
      </w:pPr>
      <w:r>
        <w:rPr>
          <w:rFonts w:ascii="Times New Roman" w:cs="Times New Roman" w:eastAsia="Times New Roman" w:hAnsi="Times New Roman"/>
          <w:i/>
          <w:iCs/>
          <w:sz w:val="24"/>
          <w:szCs w:val="24"/>
        </w:rPr>
        <w:t xml:space="preserve">Таблица 3 — Разложение плана запроса в композицию бинарных произведений</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33"/>
        <w:gridCol w:w="4133"/>
        <w:gridCol w:w="2000"/>
        <w:gridCol w:w="2133"/>
      </w:tblGrid>
      <w:tr>
        <w:trPr>
          <w:tblHeader/>
        </w:trPr>
        <w:tc>
          <w:tcPr>
            <w:tcW w:type="dxa" w:w="133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Шаг</w:t>
            </w:r>
          </w:p>
        </w:tc>
        <w:tc>
          <w:tcPr>
            <w:tcW w:type="dxa" w:w="413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Операнды</w:t>
            </w:r>
          </w:p>
        </w:tc>
        <w:tc>
          <w:tcPr>
            <w:tcW w:type="dxa" w:w="200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Результат</w:t>
            </w:r>
          </w:p>
        </w:tc>
        <w:tc>
          <w:tcPr>
            <w:tcW w:type="dxa" w:w="2133"/>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Тип свёртки</w:t>
            </w:r>
          </w:p>
        </w:tc>
      </w:tr>
      <w:tr>
        <w:trPr>
          <w:tblHeader w:val="false"/>
        </w:trPr>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w:t>
            </w:r>
          </w:p>
        </w:tc>
        <w:tc>
          <w:tcPr>
            <w:tcW w:type="dxa" w:w="4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[клиент, товар, дата] ∗ [товар]</w:t>
            </w:r>
          </w:p>
        </w:tc>
        <w:tc>
          <w:tcPr>
            <w:tcW w:type="dxa" w:w="200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[клиент, дата]</w:t>
            </w:r>
          </w:p>
        </w:tc>
        <w:tc>
          <w:tcPr>
            <w:tcW w:type="dxa" w:w="2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(0,1), μ: товар</w:t>
            </w:r>
          </w:p>
        </w:tc>
      </w:tr>
      <w:tr>
        <w:trPr>
          <w:tblHeader w:val="false"/>
        </w:trPr>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w:t>
            </w:r>
          </w:p>
        </w:tc>
        <w:tc>
          <w:tcPr>
            <w:tcW w:type="dxa" w:w="4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[дата, месяц] ∗ [клиент, дата]</w:t>
            </w:r>
          </w:p>
        </w:tc>
        <w:tc>
          <w:tcPr>
            <w:tcW w:type="dxa" w:w="200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[месяц, клиент]</w:t>
            </w:r>
          </w:p>
        </w:tc>
        <w:tc>
          <w:tcPr>
            <w:tcW w:type="dxa" w:w="2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(0,1), μ: дата</w:t>
            </w:r>
          </w:p>
        </w:tc>
      </w:tr>
      <w:tr>
        <w:trPr>
          <w:tblHeader w:val="false"/>
        </w:trPr>
        <w:tc>
          <w:tcPr>
            <w:tcW w:type="dxa" w:w="1333"/>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w:t>
            </w:r>
          </w:p>
        </w:tc>
        <w:tc>
          <w:tcPr>
            <w:tcW w:type="dxa" w:w="4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[клиент] ∗ [месяц, клиент]</w:t>
            </w:r>
          </w:p>
        </w:tc>
        <w:tc>
          <w:tcPr>
            <w:tcW w:type="dxa" w:w="200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[клиент, месяц]</w:t>
            </w:r>
          </w:p>
        </w:tc>
        <w:tc>
          <w:tcPr>
            <w:tcW w:type="dxa" w:w="2133"/>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 λ: клиент</w:t>
            </w:r>
          </w:p>
        </w:tc>
      </w:tr>
    </w:tbl>
    <w:p>
      <w:pPr>
        <w:spacing w:after="120"/>
      </w:pPr>
    </w:p>
    <w:p>
      <w:pPr>
        <w:pStyle w:val="Heading2"/>
        <w:spacing w:after="160" w:before="240"/>
      </w:pPr>
      <w:r>
        <w:rPr>
          <w:rFonts w:ascii="Times New Roman" w:cs="Times New Roman" w:eastAsia="Times New Roman" w:hAnsi="Times New Roman"/>
          <w:b/>
          <w:bCs/>
          <w:sz w:val="24"/>
          <w:szCs w:val="24"/>
        </w:rPr>
        <w:t xml:space="preserve">3.2. Функция стоимости</w:t>
      </w:r>
    </w:p>
    <w:p>
      <w:pPr>
        <w:spacing w:after="120" w:before="0" w:line="300"/>
        <w:ind w:firstLine="567"/>
        <w:jc w:val="both"/>
      </w:pPr>
      <w:r>
        <w:rPr>
          <w:rFonts w:ascii="Times New Roman" w:cs="Times New Roman" w:eastAsia="Times New Roman" w:hAnsi="Times New Roman"/>
          <w:sz w:val="24"/>
          <w:szCs w:val="24"/>
        </w:rPr>
        <w:t xml:space="preserve">Пусть |I_X| обозначает произведение мощностей осей группы X. Для одного бинарного произведения A: I_L × I_S × I_C и B: I_S × I_C × I_M</w:t>
      </w:r>
    </w:p>
    <w:p>
      <w:pPr>
        <w:spacing w:after="120" w:before="120" w:line="300"/>
        <w:jc w:val="center"/>
      </w:pPr>
      <w:r>
        <w:rPr>
          <w:rFonts w:ascii="Times New Roman" w:cs="Times New Roman" w:eastAsia="Times New Roman" w:hAnsi="Times New Roman"/>
          <w:i/>
          <w:iCs/>
          <w:sz w:val="24"/>
          <w:szCs w:val="24"/>
        </w:rPr>
        <w:t xml:space="preserve">число ⊗-операций = |I_L| · |I_S| · |I_C| · |I_M|,</w:t>
      </w:r>
    </w:p>
    <w:p>
      <w:pPr>
        <w:spacing w:after="120" w:before="120" w:line="300"/>
        <w:jc w:val="center"/>
      </w:pPr>
      <w:r>
        <w:rPr>
          <w:rFonts w:ascii="Times New Roman" w:cs="Times New Roman" w:eastAsia="Times New Roman" w:hAnsi="Times New Roman"/>
          <w:i/>
          <w:iCs/>
          <w:sz w:val="24"/>
          <w:szCs w:val="24"/>
        </w:rPr>
        <w:t xml:space="preserve">число ⊕-операций = (|I_C| − 1) · |I_L| · |I_S| · |I_M|,</w:t>
      </w:r>
    </w:p>
    <w:p>
      <w:pPr>
        <w:spacing w:after="120" w:before="120" w:line="300"/>
        <w:jc w:val="center"/>
      </w:pPr>
      <w:r>
        <w:rPr>
          <w:rFonts w:ascii="Times New Roman" w:cs="Times New Roman" w:eastAsia="Times New Roman" w:hAnsi="Times New Roman"/>
          <w:i/>
          <w:iCs/>
          <w:sz w:val="24"/>
          <w:szCs w:val="24"/>
        </w:rPr>
        <w:t xml:space="preserve">размер результата = |I_L| · |I_S| · |I_M| ячеек.</w:t>
      </w:r>
    </w:p>
    <w:p>
      <w:pPr>
        <w:spacing w:after="120" w:before="0" w:line="300"/>
        <w:ind w:firstLine="567"/>
        <w:jc w:val="both"/>
      </w:pPr>
      <w:r>
        <w:rPr>
          <w:rFonts w:ascii="Times New Roman" w:cs="Times New Roman" w:eastAsia="Times New Roman" w:hAnsi="Times New Roman"/>
          <w:sz w:val="24"/>
          <w:szCs w:val="24"/>
        </w:rPr>
        <w:t xml:space="preserve">Стоимость плана есть сумма стоимостей его узлов, а требование к памяти — максимум размеров промежуточных результатов. Оптимизатор вычисляет обе величины до аллокации и отклоняет план, чей наибольший промежуточный результат превышает заданный бюджет, с объяснением причины, вместо того чтобы аварийно завершиться во время счёта.</w:t>
      </w:r>
    </w:p>
    <w:p>
      <w:pPr>
        <w:spacing w:after="120" w:before="0" w:line="300"/>
        <w:ind w:firstLine="567"/>
        <w:jc w:val="both"/>
      </w:pPr>
      <w:r>
        <w:rPr>
          <w:rFonts w:ascii="Times New Roman" w:cs="Times New Roman" w:eastAsia="Times New Roman" w:hAnsi="Times New Roman"/>
          <w:sz w:val="24"/>
          <w:szCs w:val="24"/>
        </w:rPr>
        <w:t xml:space="preserve">Для разреженных операндов формула заменяется на оценку, учитывающую фактор заполнения θ: для случая «разреженная × плотная» число ⊗-операций равно nnz·|I_M|, для случая «разреженная × разреженная» — сумме по общим ключам произведений мощностей соответствующих подсписков, что в худшем случае даёт произведение чисел ненулевых элементов.</w:t>
      </w:r>
    </w:p>
    <w:p>
      <w:pPr>
        <w:pStyle w:val="Heading2"/>
        <w:spacing w:after="160" w:before="240"/>
      </w:pPr>
      <w:r>
        <w:rPr>
          <w:rFonts w:ascii="Times New Roman" w:cs="Times New Roman" w:eastAsia="Times New Roman" w:hAnsi="Times New Roman"/>
          <w:b/>
          <w:bCs/>
          <w:sz w:val="24"/>
          <w:szCs w:val="24"/>
        </w:rPr>
        <w:t xml:space="preserve">3.3. Выбор порядка свёрток</w:t>
      </w:r>
    </w:p>
    <w:p>
      <w:pPr>
        <w:spacing w:after="120" w:before="0" w:line="300"/>
        <w:ind w:firstLine="567"/>
        <w:jc w:val="both"/>
      </w:pPr>
      <w:r>
        <w:rPr>
          <w:rFonts w:ascii="Times New Roman" w:cs="Times New Roman" w:eastAsia="Times New Roman" w:hAnsi="Times New Roman"/>
          <w:sz w:val="24"/>
          <w:szCs w:val="24"/>
        </w:rPr>
        <w:t xml:space="preserve">Задача поиска плана минимальной стоимости эквивалентна задаче оптимального стягивания тензорной сети и в общем случае NP-трудна: число различных деревьев растёт как двойной факториал (2n−3)!! — пятнадцать при n = 4 и свыше 3.4·10⁷ при n = 10.</w:t>
      </w:r>
    </w:p>
    <w:p>
      <w:pPr>
        <w:spacing w:after="120" w:before="0" w:line="300"/>
        <w:ind w:firstLine="567"/>
        <w:jc w:val="both"/>
      </w:pPr>
      <w:r>
        <w:rPr>
          <w:rFonts w:ascii="Times New Roman" w:cs="Times New Roman" w:eastAsia="Times New Roman" w:hAnsi="Times New Roman"/>
          <w:sz w:val="24"/>
          <w:szCs w:val="24"/>
        </w:rPr>
        <w:t xml:space="preserve">При n ≤ 8 применяется полный перебор динамическим программированием по подмножествам операндов: для каждого подмножества запоминается минимальная стоимость его стягивания и соответствующий набор оставшихся индексов, после чего оптимум для объединения подмножеств получается перебором всех разбиений на две части.</w:t>
      </w:r>
    </w:p>
    <w:p>
      <w:pPr>
        <w:spacing w:after="120" w:before="0" w:line="300"/>
        <w:ind w:firstLine="567"/>
        <w:jc w:val="both"/>
      </w:pPr>
      <w:r>
        <w:rPr>
          <w:rFonts w:ascii="Times New Roman" w:cs="Times New Roman" w:eastAsia="Times New Roman" w:hAnsi="Times New Roman"/>
          <w:sz w:val="24"/>
          <w:szCs w:val="24"/>
        </w:rPr>
        <w:t xml:space="preserve">При n &gt; 8 применяется жадная стратегия: на каждом шаге среди всех пар оставшихся операндов выбирается пара с наименьшим значением функции стоимости данного шага; выбранная пара заменяется результатом, и шаг повторяется до единственного операнда. Жадный выбор не гарантирует оптимума, но по следствию 1 любой его результат корректен, а стоимость на планах рассматриваемого класса (три–пять операндов) от оптимальной практически не отличается.</w:t>
      </w:r>
    </w:p>
    <w:p>
      <w:pPr>
        <w:spacing w:after="120" w:before="0" w:line="300"/>
        <w:ind w:firstLine="567"/>
        <w:jc w:val="both"/>
      </w:pPr>
      <w:r>
        <w:rPr>
          <w:rFonts w:ascii="Times New Roman" w:cs="Times New Roman" w:eastAsia="Times New Roman" w:hAnsi="Times New Roman"/>
          <w:sz w:val="24"/>
          <w:szCs w:val="24"/>
        </w:rPr>
        <w:t xml:space="preserve">Найденный порядок кэшируется вместе с планом: как показано в §4.6, его пересчёт при каждом вызове на малых операндах стоит дороже самой свёртки.</w:t>
      </w:r>
    </w:p>
    <w:p>
      <w:pPr>
        <w:spacing w:after="120" w:before="0" w:line="300"/>
        <w:ind w:firstLine="567"/>
        <w:jc w:val="both"/>
      </w:pPr>
      <w:r>
        <w:rPr>
          <w:rFonts w:ascii="Times New Roman" w:cs="Times New Roman" w:eastAsia="Times New Roman" w:hAnsi="Times New Roman"/>
          <w:sz w:val="24"/>
          <w:szCs w:val="24"/>
        </w:rPr>
        <w:t xml:space="preserve">Эффект от выбора порядка иллюстрирует рассматриваемый запрос. При мощностях измерений 100, 100, 100 и 4 стягивание по полному индексному пространству потребовало бы 4·10⁷ операций, тогда как оптимальный порядок даёт 10⁶ + 4·10⁴ + 4·10², то есть около 1.04·10⁶ — выигрыш почти в сорок раз при неизменном результате. Наибольший промежуточный результат при этом составляет 10⁴ ячеек.</w:t>
      </w:r>
    </w:p>
    <w:p>
      <w:pPr>
        <w:pStyle w:val="Heading2"/>
        <w:spacing w:after="160" w:before="240"/>
      </w:pPr>
      <w:r>
        <w:rPr>
          <w:rFonts w:ascii="Times New Roman" w:cs="Times New Roman" w:eastAsia="Times New Roman" w:hAnsi="Times New Roman"/>
          <w:b/>
          <w:bCs/>
          <w:sz w:val="24"/>
          <w:szCs w:val="24"/>
        </w:rPr>
        <w:t xml:space="preserve">3.4. Сопоставление схемы распараллеливания</w:t>
      </w:r>
    </w:p>
    <w:p>
      <w:pPr>
        <w:spacing w:after="120" w:before="0" w:line="300"/>
        <w:ind w:firstLine="567"/>
        <w:jc w:val="both"/>
      </w:pPr>
      <w:r>
        <w:rPr>
          <w:rFonts w:ascii="Times New Roman" w:cs="Times New Roman" w:eastAsia="Times New Roman" w:hAnsi="Times New Roman"/>
          <w:sz w:val="24"/>
          <w:szCs w:val="24"/>
        </w:rPr>
        <w:t xml:space="preserve">Разбиение работы между узлами естественно вести по оси, присутствующей в результате: подзадачи выходят независимыми, и межузловая редукция не нужна. Но оси результата неравноценны по объёму пересылок.</w:t>
      </w:r>
    </w:p>
    <w:p>
      <w:pPr>
        <w:spacing w:after="120" w:before="0" w:line="300"/>
        <w:ind w:firstLine="567"/>
        <w:jc w:val="both"/>
      </w:pPr>
      <w:r>
        <w:rPr>
          <w:rFonts w:ascii="Times New Roman" w:cs="Times New Roman" w:eastAsia="Times New Roman" w:hAnsi="Times New Roman"/>
          <w:sz w:val="24"/>
          <w:szCs w:val="24"/>
        </w:rPr>
        <w:t xml:space="preserve">В [6] доказано утверждение: при λ &gt; 0 результат (λ, μ)-свёрнутого произведения составлен из сечений ориентации скоттовых индексов, каждое из которых есть произведение соответствующих сечений сомножителей с тем же набором значений этих индексов. Иначе говоря, одно (λ, μ)-произведение распадается на n^λ независимых (0, μ)-произведений над сечениями.</w:t>
      </w:r>
    </w:p>
    <w:p>
      <w:pPr>
        <w:spacing w:after="120" w:before="0" w:line="300"/>
        <w:ind w:firstLine="567"/>
        <w:jc w:val="both"/>
      </w:pPr>
      <w:r>
        <w:rPr>
          <w:rFonts w:ascii="Times New Roman" w:cs="Times New Roman" w:eastAsia="Times New Roman" w:hAnsi="Times New Roman"/>
          <w:sz w:val="24"/>
          <w:szCs w:val="24"/>
        </w:rPr>
        <w:t xml:space="preserve">Отсюда следует, что разбивать выгоднее именно по скоттовой оси: она режет </w:t>
      </w:r>
      <w:r>
        <w:rPr>
          <w:rFonts w:ascii="Times New Roman" w:cs="Times New Roman" w:eastAsia="Times New Roman" w:hAnsi="Times New Roman"/>
          <w:sz w:val="24"/>
          <w:szCs w:val="24"/>
        </w:rPr>
        <w:t xml:space="preserve">оба</w:t>
      </w:r>
      <w:r>
        <w:rPr>
          <w:rFonts w:ascii="Times New Roman" w:cs="Times New Roman" w:eastAsia="Times New Roman" w:hAnsi="Times New Roman"/>
          <w:sz w:val="24"/>
          <w:szCs w:val="24"/>
        </w:rPr>
        <w:t xml:space="preserve"> сомножителя, и узел получает лишь свои срезы каждого. Разбиение по свободной оси режет только один операнд, а второй приходится реплицировать на все узлы целиком. Первоначальная реализация настоящей работы предпочитала свободные оси, то есть выбирала худший по пересылкам вариант; по итогам сопоставления порядок предпочтения исправлен. Правило подтверждено измерением, приведённым в §4.9.</w:t>
      </w:r>
    </w:p>
    <w:p>
      <w:pPr>
        <w:spacing w:after="120" w:before="0" w:line="300"/>
        <w:ind w:firstLine="567"/>
        <w:jc w:val="both"/>
      </w:pPr>
      <w:r>
        <w:rPr>
          <w:rFonts w:ascii="Times New Roman" w:cs="Times New Roman" w:eastAsia="Times New Roman" w:hAnsi="Times New Roman"/>
          <w:sz w:val="24"/>
          <w:szCs w:val="24"/>
        </w:rPr>
        <w:t xml:space="preserve">Различие сохраняется на внутреннем уровне. В [6] полученные (0, μ)-произведения вычисляются обобщением алгоритма Кэннона — с систолической циркуляцией блоков между процессорами распределённой памяти и пересчётом блочных индексов через смешанные системы счисления; при этом требуется, чтобы мощности всех измерений совпадали. Настоящая работа на внутреннем уровне полагается на многопоточную реализацию BLAS в пределах одного узла, распределённого умножения не выполняет, но и ограничения на равенство мощностей измерений не накладывает.</w:t>
      </w:r>
    </w:p>
    <w:p>
      <w:pPr>
        <w:pStyle w:val="Heading1"/>
        <w:spacing w:after="160" w:before="320"/>
      </w:pPr>
      <w:r>
        <w:rPr>
          <w:rFonts w:ascii="Times New Roman" w:cs="Times New Roman" w:eastAsia="Times New Roman" w:hAnsi="Times New Roman"/>
          <w:b/>
          <w:bCs/>
          <w:sz w:val="26"/>
          <w:szCs w:val="26"/>
        </w:rPr>
        <w:t xml:space="preserve">4. Экспериментальная оценка</w:t>
      </w:r>
    </w:p>
    <w:p>
      <w:pPr>
        <w:spacing w:after="120" w:before="0" w:line="300"/>
        <w:ind w:firstLine="567"/>
        <w:jc w:val="both"/>
      </w:pPr>
      <w:r>
        <w:rPr>
          <w:rFonts w:ascii="Times New Roman" w:cs="Times New Roman" w:eastAsia="Times New Roman" w:hAnsi="Times New Roman"/>
          <w:sz w:val="24"/>
          <w:szCs w:val="24"/>
        </w:rPr>
        <w:t xml:space="preserve">Испытания проводились на процессоре AMD Ryzen 7 PRO 3700 (8 ядер, 16 потоков), Windows 11, Python 3.12, NumPy 2.1.1 с библиотекой scipy-openblas 0.3.27, DuckDB 1.5.5. Использован тот же процессор, что и в работе [2], что делает сверку с опубликованными там результатами методически корректной. Каждый замер — минимум из нескольких прогонов после прогрева.</w:t>
      </w:r>
    </w:p>
    <w:p>
      <w:pPr>
        <w:spacing w:after="120" w:before="0" w:line="300"/>
        <w:ind w:firstLine="567"/>
        <w:jc w:val="both"/>
      </w:pPr>
      <w:r>
        <w:rPr>
          <w:rFonts w:ascii="Times New Roman" w:cs="Times New Roman" w:eastAsia="Times New Roman" w:hAnsi="Times New Roman"/>
          <w:sz w:val="24"/>
          <w:szCs w:val="24"/>
        </w:rPr>
        <w:t xml:space="preserve">Сравнение с колоночной СУБД построено так, чтобы его нельзя было подогнать. Во-первых, </w:t>
      </w:r>
      <w:r>
        <w:rPr>
          <w:rFonts w:ascii="Times New Roman" w:cs="Times New Roman" w:eastAsia="Times New Roman" w:hAnsi="Times New Roman"/>
          <w:sz w:val="24"/>
          <w:szCs w:val="24"/>
        </w:rPr>
        <w:t xml:space="preserve">результаты сверяются построчно</w:t>
      </w:r>
      <w:r>
        <w:rPr>
          <w:rFonts w:ascii="Times New Roman" w:cs="Times New Roman" w:eastAsia="Times New Roman" w:hAnsi="Times New Roman"/>
          <w:sz w:val="24"/>
          <w:szCs w:val="24"/>
        </w:rPr>
        <w:t xml:space="preserve">: расхождение считается провалом запроса, а не примечанием, поскольку быстрый неверный ответ ничего не стоит. Во-вторых, набор из одиннадцати запросов включает заведомо невыгодный для матричного подхода случай — запрос, не сворачивающий ни одного измерения. В-третьих, помимо замера в одной точке проведены развёртки по трём параметрам: объёму фактов, размеру гиперкуба и перекосу распределения. Именно развёртки, а не единичный замер, позволяют указать границу применимости.</w:t>
      </w:r>
    </w:p>
    <w:p>
      <w:pPr>
        <w:spacing w:after="120" w:before="0" w:line="300"/>
        <w:ind w:firstLine="567"/>
        <w:jc w:val="both"/>
      </w:pPr>
      <w:r>
        <w:rPr>
          <w:rFonts w:ascii="Times New Roman" w:cs="Times New Roman" w:eastAsia="Times New Roman" w:hAnsi="Times New Roman"/>
          <w:sz w:val="24"/>
          <w:szCs w:val="24"/>
        </w:rPr>
        <w:t xml:space="preserve">Выбор системы сравнения требует обоснования. DuckDB взята как колоночная аналитическая СУБД, работающая </w:t>
      </w:r>
      <w:r>
        <w:rPr>
          <w:rFonts w:ascii="Times New Roman" w:cs="Times New Roman" w:eastAsia="Times New Roman" w:hAnsi="Times New Roman"/>
          <w:sz w:val="24"/>
          <w:szCs w:val="24"/>
        </w:rPr>
        <w:t xml:space="preserve">в одном процессе и в общей памяти</w:t>
      </w:r>
      <w:r>
        <w:rPr>
          <w:rFonts w:ascii="Times New Roman" w:cs="Times New Roman" w:eastAsia="Times New Roman" w:hAnsi="Times New Roman"/>
          <w:sz w:val="24"/>
          <w:szCs w:val="24"/>
        </w:rPr>
        <w:t xml:space="preserve"> с измеряемой реализацией: это исключает из замера сетевой обмен, сериализацию и клиент-серверные накладные расходы, которые в сравнении с ClickHouse или MonetDB пришлось бы либо вычитать, либо принимать на веру. По устройству исполнителя — колоночное хранение, векторизованная обработка, соединение хешированием — DuckDB принадлежит тому же классу, что и названные системы, поэтому измеряется именно разница моделей исполнения, а не разница транспортных уровней. Ограничение такого выбора отметим прямо: DuckDB работает в одном узле, поэтому распределённое поведение настоящим сравнением не охвачено.</w:t>
      </w:r>
    </w:p>
    <w:p>
      <w:pPr>
        <w:spacing w:after="120" w:before="0" w:line="300"/>
        <w:ind w:firstLine="567"/>
        <w:jc w:val="both"/>
      </w:pPr>
      <w:r>
        <w:rPr>
          <w:rFonts w:ascii="Times New Roman" w:cs="Times New Roman" w:eastAsia="Times New Roman" w:hAnsi="Times New Roman"/>
          <w:sz w:val="24"/>
          <w:szCs w:val="24"/>
        </w:rPr>
        <w:t xml:space="preserve">Ещё одна оговорка касается существа сравнения. Гиперкуб строится однократно, тогда как колоночная СУБД работает по сырым таблицам и выполняет соединение при каждом запросе. Поэтому сравнение отвечает на вопрос «что выгоднее при повторных обращениях к неизменному набору данных», а не «что быстрее вообще», и всюду сопровождается расчётом окупаемости построения.</w:t>
      </w:r>
    </w:p>
    <w:p>
      <w:pPr>
        <w:pStyle w:val="Heading2"/>
        <w:spacing w:after="160" w:before="240"/>
      </w:pPr>
      <w:r>
        <w:rPr>
          <w:rFonts w:ascii="Times New Roman" w:cs="Times New Roman" w:eastAsia="Times New Roman" w:hAnsi="Times New Roman"/>
          <w:b/>
          <w:bCs/>
          <w:sz w:val="24"/>
          <w:szCs w:val="24"/>
        </w:rPr>
        <w:t xml:space="preserve">4.1. Сверка с опубликованными результатами</w:t>
      </w:r>
    </w:p>
    <w:p>
      <w:pPr>
        <w:spacing w:after="120" w:before="0" w:line="300"/>
        <w:ind w:firstLine="567"/>
        <w:jc w:val="both"/>
      </w:pPr>
      <w:r>
        <w:rPr>
          <w:rFonts w:ascii="Times New Roman" w:cs="Times New Roman" w:eastAsia="Times New Roman" w:hAnsi="Times New Roman"/>
          <w:sz w:val="24"/>
          <w:szCs w:val="24"/>
        </w:rPr>
        <w:t xml:space="preserve">Прежде замеров производительности проверено то, от чего они лишены смысла, — что реализуемая операция есть именно операция Соколова, а не похожая на неё. Для этого воспроизведена задача из [7], где ответ известен независимо от настоящей работы: маршруты в графе строятся возведением матрицы смежности в (1, 0)-свёрнутую степень, и набор значений индексов ненейтрального элемента (1, 0)-степени G^k есть последовательность вершин маршрута из k рёбер. На графе из десяти вершин и двенадцати рёбер, приведённом в [7], вычислены (1, 0)-степени со второй по шестую; множество наборов индексов ненулевых элементов на каждом шаге совпало с полным перебором маршрутов соответствующей длины.</w:t>
      </w:r>
    </w:p>
    <w:p>
      <w:pPr>
        <w:spacing w:after="120" w:before="0" w:line="300"/>
        <w:ind w:firstLine="567"/>
        <w:jc w:val="both"/>
      </w:pPr>
      <w:r>
        <w:rPr>
          <w:rFonts w:ascii="Times New Roman" w:cs="Times New Roman" w:eastAsia="Times New Roman" w:hAnsi="Times New Roman"/>
          <w:sz w:val="24"/>
          <w:szCs w:val="24"/>
        </w:rPr>
        <w:t xml:space="preserve">Эта сверка ценна тем, что различает варианты, которые замером производительности не различаются. Порядок параметров в обозначении (λ, μ) нигде не проверяется арифметикой: при обратном прочтении, когда первым параметром считалось бы число кэлиевых индексов, (1, 0)-степень оказалась бы обычным умножением матриц, ранг остался бы равным двум, и вместо маршрутов получились бы их веса — результат правдоподобный, но другой. Совпадение с перебором на пяти шагах подряд, где ранг растёт с трёх до семи, а число маршрутов с 15 до 28, эту возможность исключает. Сверка вынесена в постоянные тесты.</w:t>
      </w:r>
    </w:p>
    <w:p>
      <w:pPr>
        <w:spacing w:after="120" w:before="0" w:line="300"/>
        <w:ind w:firstLine="567"/>
        <w:jc w:val="both"/>
      </w:pPr>
      <w:r>
        <w:rPr>
          <w:rFonts w:ascii="Times New Roman" w:cs="Times New Roman" w:eastAsia="Times New Roman" w:hAnsi="Times New Roman"/>
          <w:sz w:val="24"/>
          <w:szCs w:val="24"/>
        </w:rPr>
        <w:t xml:space="preserve">Воспроизведение времён (1,1)-свёрнутого произведения из [2] приведено в табл. 4. Ключевой результат воспроизводится: на трёхмерных матрицах 100×100×100 время совпадает с опубликованным в пределах 8 %, а ускорение относительно последовательной реализации на Go составляет 88.6 раза против 82 раз в [2]. Расхождение на двумерных данных разобрано в §4.6.</w:t>
      </w:r>
    </w:p>
    <w:p>
      <w:pPr>
        <w:spacing w:after="100" w:before="200" w:line="300"/>
      </w:pPr>
      <w:r>
        <w:rPr>
          <w:rFonts w:ascii="Times New Roman" w:cs="Times New Roman" w:eastAsia="Times New Roman" w:hAnsi="Times New Roman"/>
          <w:i/>
          <w:iCs/>
          <w:sz w:val="24"/>
          <w:szCs w:val="24"/>
        </w:rPr>
        <w:t xml:space="preserve">Таблица 4 — Время выполнения (1,1)-свёрнутого произведения, нс/операция</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76"/>
        <w:gridCol w:w="2259"/>
        <w:gridCol w:w="1694"/>
        <w:gridCol w:w="3671"/>
      </w:tblGrid>
      <w:tr>
        <w:trPr>
          <w:tblHeader/>
        </w:trPr>
        <w:tc>
          <w:tcPr>
            <w:tcW w:type="dxa" w:w="197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Размер данных</w:t>
            </w:r>
          </w:p>
        </w:tc>
        <w:tc>
          <w:tcPr>
            <w:tcW w:type="dxa" w:w="225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69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NumPy по [2]</w:t>
            </w:r>
          </w:p>
        </w:tc>
        <w:tc>
          <w:tcPr>
            <w:tcW w:type="dxa" w:w="367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Go последовательный по [2]</w:t>
            </w:r>
          </w:p>
        </w:tc>
      </w:tr>
      <w:tr>
        <w:trPr>
          <w:tblHeader w:val="false"/>
        </w:trPr>
        <w:tc>
          <w:tcPr>
            <w:tcW w:type="dxa" w:w="19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2D 10×10</w:t>
            </w:r>
          </w:p>
        </w:tc>
        <w:tc>
          <w:tcPr>
            <w:tcW w:type="dxa" w:w="225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6 500</w:t>
            </w:r>
          </w:p>
        </w:tc>
        <w:tc>
          <w:tcPr>
            <w:tcW w:type="dxa" w:w="16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4 465</w:t>
            </w:r>
          </w:p>
        </w:tc>
        <w:tc>
          <w:tcPr>
            <w:tcW w:type="dxa" w:w="367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1 686</w:t>
            </w:r>
          </w:p>
        </w:tc>
      </w:tr>
      <w:tr>
        <w:trPr>
          <w:tblHeader w:val="false"/>
        </w:trPr>
        <w:tc>
          <w:tcPr>
            <w:tcW w:type="dxa" w:w="19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2D 100×100</w:t>
            </w:r>
          </w:p>
        </w:tc>
        <w:tc>
          <w:tcPr>
            <w:tcW w:type="dxa" w:w="225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108 100</w:t>
            </w:r>
          </w:p>
        </w:tc>
        <w:tc>
          <w:tcPr>
            <w:tcW w:type="dxa" w:w="16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18 323</w:t>
            </w:r>
          </w:p>
        </w:tc>
        <w:tc>
          <w:tcPr>
            <w:tcW w:type="dxa" w:w="367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139 068</w:t>
            </w:r>
          </w:p>
        </w:tc>
      </w:tr>
      <w:tr>
        <w:trPr>
          <w:tblHeader w:val="false"/>
        </w:trPr>
        <w:tc>
          <w:tcPr>
            <w:tcW w:type="dxa" w:w="19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3D 10×10×10</w:t>
            </w:r>
          </w:p>
        </w:tc>
        <w:tc>
          <w:tcPr>
            <w:tcW w:type="dxa" w:w="225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45 800</w:t>
            </w:r>
          </w:p>
        </w:tc>
        <w:tc>
          <w:tcPr>
            <w:tcW w:type="dxa" w:w="16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20 646</w:t>
            </w:r>
          </w:p>
        </w:tc>
        <w:tc>
          <w:tcPr>
            <w:tcW w:type="dxa" w:w="367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553 848</w:t>
            </w:r>
          </w:p>
        </w:tc>
      </w:tr>
      <w:tr>
        <w:trPr>
          <w:tblHeader w:val="false"/>
        </w:trPr>
        <w:tc>
          <w:tcPr>
            <w:tcW w:type="dxa" w:w="1976"/>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3D 100×100×100</w:t>
            </w:r>
          </w:p>
        </w:tc>
        <w:tc>
          <w:tcPr>
            <w:tcW w:type="dxa" w:w="225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60 478 600</w:t>
            </w:r>
          </w:p>
        </w:tc>
        <w:tc>
          <w:tcPr>
            <w:tcW w:type="dxa" w:w="16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65 128 484</w:t>
            </w:r>
          </w:p>
        </w:tc>
        <w:tc>
          <w:tcPr>
            <w:tcW w:type="dxa" w:w="367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5 357 979 300</w:t>
            </w:r>
          </w:p>
        </w:tc>
      </w:tr>
    </w:tbl>
    <w:p>
      <w:pPr>
        <w:spacing w:after="120"/>
      </w:pPr>
    </w:p>
    <w:p>
      <w:pPr>
        <w:pStyle w:val="Heading2"/>
        <w:spacing w:after="160" w:before="240"/>
      </w:pPr>
      <w:r>
        <w:rPr>
          <w:rFonts w:ascii="Times New Roman" w:cs="Times New Roman" w:eastAsia="Times New Roman" w:hAnsi="Times New Roman"/>
          <w:b/>
          <w:bCs/>
          <w:sz w:val="24"/>
          <w:szCs w:val="24"/>
        </w:rPr>
        <w:t xml:space="preserve">4.2. Сравнение с колоночной СУБД: по сырым фактам и по материализованному агрегату</w:t>
      </w:r>
    </w:p>
    <w:p>
      <w:pPr>
        <w:spacing w:after="120" w:before="0" w:line="300"/>
        <w:ind w:firstLine="567"/>
        <w:jc w:val="both"/>
      </w:pPr>
      <w:r>
        <w:rPr>
          <w:rFonts w:ascii="Times New Roman" w:cs="Times New Roman" w:eastAsia="Times New Roman" w:hAnsi="Times New Roman"/>
          <w:sz w:val="24"/>
          <w:szCs w:val="24"/>
        </w:rPr>
        <w:t xml:space="preserve">Синтетическая звёздная схема: гиперкуб 100×100×100 (10⁶ ячеек), справочник товаров с ценами, справочник клиентов с регионами, иерархии дата → месяц → квартал. В качестве базы сравнения взята колоночная аналитическая СУБД DuckDB [11], работающая в оперативной памяти по тем же данным. Выполнялся набор из одиннадцати запросов; </w:t>
      </w:r>
      <w:r>
        <w:rPr>
          <w:rFonts w:ascii="Times New Roman" w:cs="Times New Roman" w:eastAsia="Times New Roman" w:hAnsi="Times New Roman"/>
          <w:sz w:val="24"/>
          <w:szCs w:val="24"/>
        </w:rPr>
        <w:t xml:space="preserve">результаты сверялись построчно</w:t>
      </w:r>
      <w:r>
        <w:rPr>
          <w:rFonts w:ascii="Times New Roman" w:cs="Times New Roman" w:eastAsia="Times New Roman" w:hAnsi="Times New Roman"/>
          <w:sz w:val="24"/>
          <w:szCs w:val="24"/>
        </w:rPr>
        <w:t xml:space="preserve">, поскольку замер без проверки правильности лишён смысла. Все одиннадцать результатов совпали. Выдача в обеих системах запрашивалась в виде кадра данных (см. §4.7 о влиянии формата выдачи). Результаты при 500 тыс. строк фактов приведены в табл. 5.</w:t>
      </w:r>
    </w:p>
    <w:p>
      <w:pPr>
        <w:spacing w:after="100" w:before="200" w:line="300"/>
      </w:pPr>
      <w:r>
        <w:rPr>
          <w:rFonts w:ascii="Times New Roman" w:cs="Times New Roman" w:eastAsia="Times New Roman" w:hAnsi="Times New Roman"/>
          <w:i/>
          <w:iCs/>
          <w:sz w:val="24"/>
          <w:szCs w:val="24"/>
        </w:rPr>
        <w:t xml:space="preserve">Таблица 5 — Время выполнения запросов, мс (500 тыс. строк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560"/>
        <w:gridCol w:w="1726"/>
        <w:gridCol w:w="1079"/>
        <w:gridCol w:w="1079"/>
        <w:gridCol w:w="2157"/>
      </w:tblGrid>
      <w:tr>
        <w:trPr>
          <w:tblHeader/>
        </w:trPr>
        <w:tc>
          <w:tcPr>
            <w:tcW w:type="dxa" w:w="356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Запрос</w:t>
            </w:r>
          </w:p>
        </w:tc>
        <w:tc>
          <w:tcPr>
            <w:tcW w:type="dxa" w:w="172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07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w:t>
            </w:r>
          </w:p>
        </w:tc>
        <w:tc>
          <w:tcPr>
            <w:tcW w:type="dxa" w:w="107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w:t>
            </w:r>
          </w:p>
        </w:tc>
        <w:tc>
          <w:tcPr>
            <w:tcW w:type="dxa" w:w="215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Окупаемость загрузки</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Скалярная сумма</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0.41</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774 запроса</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Группировка по одному измерению</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2.01</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4.96</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157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со справочником</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1.66</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7.53</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4.5×</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79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и свёртка по иерархии</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1.29</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11.62</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9.0×</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45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То же с избирательным фильтром</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1.28</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8.98</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7.0×</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60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Диапазонный фильтр</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1.20</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5.29</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4.4×</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113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 по месяцам</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0.80</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6.52</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8.1×</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81 запрос</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AVG по кварталам</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1.46</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6.30</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4.3×</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96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Умеренно широкий результат</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1.47</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7.27</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4.9×</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80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Широкий результат, 394 тыс. строк</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27.79</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37.96</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46 запросов</w:t>
            </w:r>
          </w:p>
        </w:tc>
      </w:tr>
      <w:tr>
        <w:trPr>
          <w:tblHeader w:val="false"/>
        </w:trPr>
        <w:tc>
          <w:tcPr>
            <w:tcW w:type="dxa" w:w="356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 DISTINCT по измерению</w:t>
            </w:r>
          </w:p>
        </w:tc>
        <w:tc>
          <w:tcPr>
            <w:tcW w:type="dxa" w:w="172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6.55</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9.52</w:t>
            </w:r>
          </w:p>
        </w:tc>
        <w:tc>
          <w:tcPr>
            <w:tcW w:type="dxa" w:w="107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w:t>
            </w:r>
          </w:p>
        </w:tc>
        <w:tc>
          <w:tcPr>
            <w:tcW w:type="dxa" w:w="2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156 запросов</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Последний столбец отвечает на главный практический вопрос. Гиперкуб строится однократно за 462 мс, тогда как DuckDB работает по сырым таблицам и выполняет соединение при каждом запросе. Отсюда подход оправдан начиная с некоторого числа обращений к одному и тому же набору данных: от 45 запросов для соединения со свёрткой по иерархии до 774 для скалярной суммы, где абсолютная экономия мала. Расчёт окупаемости предполагает </w:t>
      </w:r>
      <w:r>
        <w:rPr>
          <w:rFonts w:ascii="Times New Roman" w:cs="Times New Roman" w:eastAsia="Times New Roman" w:hAnsi="Times New Roman"/>
          <w:sz w:val="24"/>
          <w:szCs w:val="24"/>
        </w:rPr>
        <w:t xml:space="preserve">однородный поток запросов</w:t>
      </w:r>
      <w:r>
        <w:rPr>
          <w:rFonts w:ascii="Times New Roman" w:cs="Times New Roman" w:eastAsia="Times New Roman" w:hAnsi="Times New Roman"/>
          <w:sz w:val="24"/>
          <w:szCs w:val="24"/>
        </w:rPr>
        <w:t xml:space="preserve"> — повторение запросов того же типа по неизменным данным; при разнородной нагрузке окупаемость следует считать по средневзвешенной экономии, а при непрерывно меняющихся данных построение куба возобновляется и приведённые числа неприменимы.</w:t>
      </w:r>
    </w:p>
    <w:p>
      <w:pPr>
        <w:spacing w:after="120" w:before="0" w:line="300"/>
        <w:ind w:firstLine="567"/>
        <w:jc w:val="both"/>
      </w:pPr>
      <w:r>
        <w:rPr>
          <w:rFonts w:ascii="Times New Roman" w:cs="Times New Roman" w:eastAsia="Times New Roman" w:hAnsi="Times New Roman"/>
          <w:sz w:val="24"/>
          <w:szCs w:val="24"/>
        </w:rPr>
        <w:t xml:space="preserve">Видна и общая закономерность: преимущество тем больше, чем сильнее запрос схлопывает измерения. Соединение со свёрткой по иерархии, оставляющее 1200 строк, выполняется в девять раз быстрее; запрос, возвращающий 394 тыс. строк и не сворачивающий ни одной оси, — лишь в 1.4 раза. Свёртка дешевеет с каждым свёрнутым измерением, а сборка результата — нет.</w:t>
      </w:r>
    </w:p>
    <w:p>
      <w:pPr>
        <w:spacing w:after="120" w:before="0" w:line="300"/>
        <w:ind w:firstLine="567"/>
        <w:jc w:val="both"/>
      </w:pPr>
      <w:r>
        <w:rPr>
          <w:rFonts w:ascii="Times New Roman" w:cs="Times New Roman" w:eastAsia="Times New Roman" w:hAnsi="Times New Roman"/>
          <w:sz w:val="24"/>
          <w:szCs w:val="24"/>
        </w:rPr>
        <w:t xml:space="preserve">Симметричное сравнение.</w:t>
      </w:r>
      <w:r>
        <w:rPr>
          <w:rFonts w:ascii="Times New Roman" w:cs="Times New Roman" w:eastAsia="Times New Roman" w:hAnsi="Times New Roman"/>
          <w:sz w:val="24"/>
          <w:szCs w:val="24"/>
        </w:rPr>
        <w:t xml:space="preserve"> Приведённый замер сопоставляет предпосчитанную сводку с обходом сырых фактов, то есть сравнивает не столько исполнители, сколько модели хранения. Чтобы отделить вклад алгебры от вклада предварительной агрегации, поставлен второй, симметричный опыт: DuckDB получает таблицу той же гранулярности, что и гиперкуб, — факт, свёрнутый до (клиент, товар, дата) и снабжённый счётчиком строк, то есть точный аналог гиперкуба вместе со спутниковым счётным кубом. Все одиннадцать запросов переписаны под эту таблицу, результаты по-прежнему сверяются построчно. Замер при 2 млн строк фактов приведён в табл. 6.</w:t>
      </w:r>
    </w:p>
    <w:p>
      <w:pPr>
        <w:spacing w:after="100" w:before="200" w:line="300"/>
      </w:pPr>
      <w:r>
        <w:rPr>
          <w:rFonts w:ascii="Times New Roman" w:cs="Times New Roman" w:eastAsia="Times New Roman" w:hAnsi="Times New Roman"/>
          <w:i/>
          <w:iCs/>
          <w:sz w:val="24"/>
          <w:szCs w:val="24"/>
        </w:rPr>
        <w:t xml:space="preserve">Таблица 6 — Симметричное сравнение: обе системы стартуют из предпосчитанной сводки, мс (2 млн строк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12"/>
        <w:gridCol w:w="1506"/>
        <w:gridCol w:w="1788"/>
        <w:gridCol w:w="1412"/>
        <w:gridCol w:w="1882"/>
      </w:tblGrid>
      <w:tr>
        <w:trPr>
          <w:tblHeader/>
        </w:trPr>
        <w:tc>
          <w:tcPr>
            <w:tcW w:type="dxa" w:w="301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Запрос</w:t>
            </w:r>
          </w:p>
        </w:tc>
        <w:tc>
          <w:tcPr>
            <w:tcW w:type="dxa" w:w="150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1788"/>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 сырые факты</w:t>
            </w:r>
          </w:p>
        </w:tc>
        <w:tc>
          <w:tcPr>
            <w:tcW w:type="dxa" w:w="141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 агрегат</w:t>
            </w:r>
          </w:p>
        </w:tc>
        <w:tc>
          <w:tcPr>
            <w:tcW w:type="dxa" w:w="188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 к агрегату</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Скалярная сумма</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0.41</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1.63</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0.70</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1.70×</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Группировка по одному измерению</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2.01</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10.45</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1.34</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0.67×</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со справочником</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1.55</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16.03</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4.91</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3.16×</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Соединение и свёртка по иерархии</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1.37</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28.34</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14.01</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10.22×</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То же с избирательным фильтром</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1.32</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16.74</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11.45</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8.68×</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Диапазонный фильтр</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1.28</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11.02</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6.54</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5.11×</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Средний чек и число сделок</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0.81</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13.75</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7.37</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9.09×</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Среднее</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1.64</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13.37</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7.48</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4.58×</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Умеренно широкий результат</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1.46</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10.92</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7.72</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5.28×</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Широкий результат, без свёртки</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54.79</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92.88</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62.71</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1.14×</w:t>
            </w:r>
          </w:p>
        </w:tc>
      </w:tr>
      <w:tr>
        <w:trPr>
          <w:tblHeader w:val="false"/>
        </w:trPr>
        <w:tc>
          <w:tcPr>
            <w:tcW w:type="dxa" w:w="301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 DISTINCT по измерению</w:t>
            </w:r>
          </w:p>
        </w:tc>
        <w:tc>
          <w:tcPr>
            <w:tcW w:type="dxa" w:w="150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3.22</w:t>
            </w:r>
          </w:p>
        </w:tc>
        <w:tc>
          <w:tcPr>
            <w:tcW w:type="dxa" w:w="178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11.82</w:t>
            </w:r>
          </w:p>
        </w:tc>
        <w:tc>
          <w:tcPr>
            <w:tcW w:type="dxa" w:w="141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8.37</w:t>
            </w:r>
          </w:p>
        </w:tc>
        <w:tc>
          <w:tcPr>
            <w:tcW w:type="dxa" w:w="18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2.60×</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Опыт разделяет два источника преимущества. Предварительная агрегация даёт существенную часть: на простой группировке по одному измерению материализованный агрегат DuckDB </w:t>
      </w:r>
      <w:r>
        <w:rPr>
          <w:rFonts w:ascii="Times New Roman" w:cs="Times New Roman" w:eastAsia="Times New Roman" w:hAnsi="Times New Roman"/>
          <w:sz w:val="24"/>
          <w:szCs w:val="24"/>
        </w:rPr>
        <w:t xml:space="preserve">обгоняет</w:t>
      </w:r>
      <w:r>
        <w:rPr>
          <w:rFonts w:ascii="Times New Roman" w:cs="Times New Roman" w:eastAsia="Times New Roman" w:hAnsi="Times New Roman"/>
          <w:sz w:val="24"/>
          <w:szCs w:val="24"/>
        </w:rPr>
        <w:t xml:space="preserve"> настоящую работу (0.67×), поскольку сводка из 865 тыс. строк обходится дешевле, чем полный обход миллиона ячеек куба. Но на запросах с соединением и свёрткой по иерархии преимущество сохраняется и против агрегата — до 10.2 раза, — и объясняется оно уже не предпосчётом, а тем, что соединение, фильтр и свёртка по иерархии выполняются одним стягиванием, а не последовательностью проходов.</w:t>
      </w:r>
    </w:p>
    <w:p>
      <w:pPr>
        <w:spacing w:after="120" w:before="0" w:line="300"/>
        <w:ind w:firstLine="567"/>
        <w:jc w:val="both"/>
      </w:pPr>
      <w:r>
        <w:rPr>
          <w:rFonts w:ascii="Times New Roman" w:cs="Times New Roman" w:eastAsia="Times New Roman" w:hAnsi="Times New Roman"/>
          <w:sz w:val="24"/>
          <w:szCs w:val="24"/>
        </w:rPr>
        <w:t xml:space="preserve">Симметрия соблюдена и по стоимости построения: DuckDB строит свой агрегат за 100 мс, настоящая работа — гиперкуб за 392 мс, то есть вчетверо дольше. Гиперкуб при этом занимает 15 МиБ против 865 тыс. строк агрегата, а словари измерений добавляют к нему менее 2 % объёма (0.57 МиБ на словари при 25.6 МиБ кубов в замере с текстовыми ключами мощностью 5 тыс. и 336); каталог метаданных на этом фоне пренебрежимо мал. Вывод формулируется так: </w:t>
      </w:r>
      <w:r>
        <w:rPr>
          <w:rFonts w:ascii="Times New Roman" w:cs="Times New Roman" w:eastAsia="Times New Roman" w:hAnsi="Times New Roman"/>
          <w:sz w:val="24"/>
          <w:szCs w:val="24"/>
        </w:rPr>
        <w:t xml:space="preserve">предпосчёт объясняет преимущество на простых агрегациях, алгебра — на составных запросах.</w:t>
      </w:r>
    </w:p>
    <w:p>
      <w:pPr>
        <w:pStyle w:val="Heading2"/>
        <w:spacing w:after="160" w:before="240"/>
      </w:pPr>
      <w:r>
        <w:rPr>
          <w:rFonts w:ascii="Times New Roman" w:cs="Times New Roman" w:eastAsia="Times New Roman" w:hAnsi="Times New Roman"/>
          <w:b/>
          <w:bCs/>
          <w:sz w:val="24"/>
          <w:szCs w:val="24"/>
        </w:rPr>
        <w:t xml:space="preserve">4.3. Зависимость от объёма фактов</w:t>
      </w:r>
    </w:p>
    <w:p>
      <w:pPr>
        <w:spacing w:after="120" w:before="0" w:line="300"/>
        <w:ind w:firstLine="567"/>
        <w:jc w:val="both"/>
      </w:pPr>
      <w:r>
        <w:rPr>
          <w:rFonts w:ascii="Times New Roman" w:cs="Times New Roman" w:eastAsia="Times New Roman" w:hAnsi="Times New Roman"/>
          <w:sz w:val="24"/>
          <w:szCs w:val="24"/>
        </w:rPr>
        <w:t xml:space="preserve">Замер в одной точке говорит мало, поэтому проведены развёртки по трём параметрам. Первая — по числу фактов при неизменном гиперкубе (табл. 7).</w:t>
      </w:r>
    </w:p>
    <w:p>
      <w:pPr>
        <w:spacing w:after="100" w:before="200" w:line="300"/>
      </w:pPr>
      <w:r>
        <w:rPr>
          <w:rFonts w:ascii="Times New Roman" w:cs="Times New Roman" w:eastAsia="Times New Roman" w:hAnsi="Times New Roman"/>
          <w:i/>
          <w:iCs/>
          <w:sz w:val="24"/>
          <w:szCs w:val="24"/>
        </w:rPr>
        <w:t xml:space="preserve">Таблица 7 — Преимущество при росте числа фактов, гиперкуб 100×100×100</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94"/>
        <w:gridCol w:w="1402"/>
        <w:gridCol w:w="1294"/>
        <w:gridCol w:w="1834"/>
        <w:gridCol w:w="2265"/>
        <w:gridCol w:w="1510"/>
      </w:tblGrid>
      <w:tr>
        <w:trPr>
          <w:tblHeader/>
        </w:trPr>
        <w:tc>
          <w:tcPr>
            <w:tcW w:type="dxa" w:w="129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Строк фактов</w:t>
            </w:r>
          </w:p>
        </w:tc>
        <w:tc>
          <w:tcPr>
            <w:tcW w:type="dxa" w:w="140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Заполненность</w:t>
            </w:r>
          </w:p>
        </w:tc>
        <w:tc>
          <w:tcPr>
            <w:tcW w:type="dxa" w:w="129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Загрузка, мс</w:t>
            </w:r>
          </w:p>
        </w:tc>
        <w:tc>
          <w:tcPr>
            <w:tcW w:type="dxa" w:w="183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Свёртка двух осей</w:t>
            </w:r>
          </w:p>
        </w:tc>
        <w:tc>
          <w:tcPr>
            <w:tcW w:type="dxa" w:w="226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Соединение и иерархия</w:t>
            </w:r>
          </w:p>
        </w:tc>
        <w:tc>
          <w:tcPr>
            <w:tcW w:type="dxa" w:w="151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Широкая выдача</w:t>
            </w:r>
          </w:p>
        </w:tc>
      </w:tr>
      <w:tr>
        <w:trPr>
          <w:tblHeader w:val="false"/>
        </w:trPr>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100 000</w:t>
            </w:r>
          </w:p>
        </w:tc>
        <w:tc>
          <w:tcPr>
            <w:tcW w:type="dxa" w:w="140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9.5 %</w:t>
            </w:r>
          </w:p>
        </w:tc>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101</w:t>
            </w:r>
          </w:p>
        </w:tc>
        <w:tc>
          <w:tcPr>
            <w:tcW w:type="dxa" w:w="183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1.7×</w:t>
            </w:r>
          </w:p>
        </w:tc>
        <w:tc>
          <w:tcPr>
            <w:tcW w:type="dxa" w:w="226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w:t>
            </w:r>
          </w:p>
        </w:tc>
        <w:tc>
          <w:tcPr>
            <w:tcW w:type="dxa" w:w="151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1.3×</w:t>
            </w:r>
          </w:p>
        </w:tc>
      </w:tr>
      <w:tr>
        <w:trPr>
          <w:tblHeader w:val="false"/>
        </w:trPr>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500 000</w:t>
            </w:r>
          </w:p>
        </w:tc>
        <w:tc>
          <w:tcPr>
            <w:tcW w:type="dxa" w:w="140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39.4 %</w:t>
            </w:r>
          </w:p>
        </w:tc>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465</w:t>
            </w:r>
          </w:p>
        </w:tc>
        <w:tc>
          <w:tcPr>
            <w:tcW w:type="dxa" w:w="183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w:t>
            </w:r>
          </w:p>
        </w:tc>
        <w:tc>
          <w:tcPr>
            <w:tcW w:type="dxa" w:w="226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9.0×</w:t>
            </w:r>
          </w:p>
        </w:tc>
        <w:tc>
          <w:tcPr>
            <w:tcW w:type="dxa" w:w="151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w:t>
            </w:r>
          </w:p>
        </w:tc>
      </w:tr>
      <w:tr>
        <w:trPr>
          <w:tblHeader w:val="false"/>
        </w:trPr>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2 000 000</w:t>
            </w:r>
          </w:p>
        </w:tc>
        <w:tc>
          <w:tcPr>
            <w:tcW w:type="dxa" w:w="140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86.5 %</w:t>
            </w:r>
          </w:p>
        </w:tc>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1 903</w:t>
            </w:r>
          </w:p>
        </w:tc>
        <w:tc>
          <w:tcPr>
            <w:tcW w:type="dxa" w:w="183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5.2×</w:t>
            </w:r>
          </w:p>
        </w:tc>
        <w:tc>
          <w:tcPr>
            <w:tcW w:type="dxa" w:w="226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19.8×</w:t>
            </w:r>
          </w:p>
        </w:tc>
        <w:tc>
          <w:tcPr>
            <w:tcW w:type="dxa" w:w="151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1.7×</w:t>
            </w:r>
          </w:p>
        </w:tc>
      </w:tr>
      <w:tr>
        <w:trPr>
          <w:tblHeader w:val="false"/>
        </w:trPr>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5 000 000</w:t>
            </w:r>
          </w:p>
        </w:tc>
        <w:tc>
          <w:tcPr>
            <w:tcW w:type="dxa" w:w="140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99.3 %</w:t>
            </w:r>
          </w:p>
        </w:tc>
        <w:tc>
          <w:tcPr>
            <w:tcW w:type="dxa" w:w="129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4 667</w:t>
            </w:r>
          </w:p>
        </w:tc>
        <w:tc>
          <w:tcPr>
            <w:tcW w:type="dxa" w:w="183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7.5×</w:t>
            </w:r>
          </w:p>
        </w:tc>
        <w:tc>
          <w:tcPr>
            <w:tcW w:type="dxa" w:w="226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33.2×</w:t>
            </w:r>
          </w:p>
        </w:tc>
        <w:tc>
          <w:tcPr>
            <w:tcW w:type="dxa" w:w="1510"/>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2.6×</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Результат существен и объясняется устройством модели: </w:t>
      </w:r>
      <w:r>
        <w:rPr>
          <w:rFonts w:ascii="Times New Roman" w:cs="Times New Roman" w:eastAsia="Times New Roman" w:hAnsi="Times New Roman"/>
          <w:sz w:val="24"/>
          <w:szCs w:val="24"/>
        </w:rPr>
        <w:t xml:space="preserve">гиперкуб есть сводка постоянного размера</w:t>
      </w:r>
      <w:r>
        <w:rPr>
          <w:rFonts w:ascii="Times New Roman" w:cs="Times New Roman" w:eastAsia="Times New Roman" w:hAnsi="Times New Roman"/>
          <w:sz w:val="24"/>
          <w:szCs w:val="24"/>
        </w:rPr>
        <w:t xml:space="preserve">. Сколько бы фактов ни поступило, число ячеек остаётся равным произведению мощностей измерений, и время свёртки не меняется — растёт лишь заполненность. Колоночная же СУБД обрабатывает при каждом запросе всё большее число строк. Поэтому преимущество не постоянно, а </w:t>
      </w:r>
      <w:r>
        <w:rPr>
          <w:rFonts w:ascii="Times New Roman" w:cs="Times New Roman" w:eastAsia="Times New Roman" w:hAnsi="Times New Roman"/>
          <w:sz w:val="24"/>
          <w:szCs w:val="24"/>
        </w:rPr>
        <w:t xml:space="preserve">растёт линейно с объёмом фактов</w:t>
      </w:r>
      <w:r>
        <w:rPr>
          <w:rFonts w:ascii="Times New Roman" w:cs="Times New Roman" w:eastAsia="Times New Roman" w:hAnsi="Times New Roman"/>
          <w:sz w:val="24"/>
          <w:szCs w:val="24"/>
        </w:rPr>
        <w:t xml:space="preserve">: от 7.6 раза при 100 тыс. строк до 33 раз при 5 млн на запросе с соединением и свёрткой по иерархии.</w:t>
      </w:r>
    </w:p>
    <w:p>
      <w:pPr>
        <w:spacing w:after="120" w:before="0" w:line="300"/>
        <w:ind w:firstLine="567"/>
        <w:jc w:val="both"/>
      </w:pPr>
      <w:r>
        <w:rPr>
          <w:rFonts w:ascii="Times New Roman" w:cs="Times New Roman" w:eastAsia="Times New Roman" w:hAnsi="Times New Roman"/>
          <w:sz w:val="24"/>
          <w:szCs w:val="24"/>
        </w:rPr>
        <w:t xml:space="preserve">Обратная сторона видна в столбце загрузки: однократное построение куба растёт линейно и при 5 млн строк занимает 4.7 с. Это плата за постоянство размера сводки.</w:t>
      </w:r>
    </w:p>
    <w:p>
      <w:pPr>
        <w:pStyle w:val="Heading2"/>
        <w:spacing w:after="160" w:before="240"/>
      </w:pPr>
      <w:r>
        <w:rPr>
          <w:rFonts w:ascii="Times New Roman" w:cs="Times New Roman" w:eastAsia="Times New Roman" w:hAnsi="Times New Roman"/>
          <w:b/>
          <w:bCs/>
          <w:sz w:val="24"/>
          <w:szCs w:val="24"/>
        </w:rPr>
        <w:t xml:space="preserve">4.4. Зависимость от размера гиперкуба и граница применимости</w:t>
      </w:r>
    </w:p>
    <w:p>
      <w:pPr>
        <w:spacing w:after="120" w:before="0" w:line="300"/>
        <w:ind w:firstLine="567"/>
        <w:jc w:val="both"/>
      </w:pPr>
      <w:r>
        <w:rPr>
          <w:rFonts w:ascii="Times New Roman" w:cs="Times New Roman" w:eastAsia="Times New Roman" w:hAnsi="Times New Roman"/>
          <w:sz w:val="24"/>
          <w:szCs w:val="24"/>
        </w:rPr>
        <w:t xml:space="preserve">Вторая развёртка — по размеру гиперкуба при неизменных двух миллионах фактов (табл. 8). Число ячеек растёт кубически с мощностью измерений.</w:t>
      </w:r>
    </w:p>
    <w:p>
      <w:pPr>
        <w:spacing w:after="100" w:before="200" w:line="300"/>
      </w:pPr>
      <w:r>
        <w:rPr>
          <w:rFonts w:ascii="Times New Roman" w:cs="Times New Roman" w:eastAsia="Times New Roman" w:hAnsi="Times New Roman"/>
          <w:i/>
          <w:iCs/>
          <w:sz w:val="24"/>
          <w:szCs w:val="24"/>
        </w:rPr>
        <w:t xml:space="preserve">Таблица 8 — Преимущество при росте гиперкуба, 2 млн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89"/>
        <w:gridCol w:w="990"/>
        <w:gridCol w:w="1287"/>
        <w:gridCol w:w="1089"/>
        <w:gridCol w:w="1682"/>
        <w:gridCol w:w="2078"/>
        <w:gridCol w:w="1386"/>
      </w:tblGrid>
      <w:tr>
        <w:trPr>
          <w:tblHeader/>
        </w:trPr>
        <w:tc>
          <w:tcPr>
            <w:tcW w:type="dxa" w:w="10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Гиперкуб</w:t>
            </w:r>
          </w:p>
        </w:tc>
        <w:tc>
          <w:tcPr>
            <w:tcW w:type="dxa" w:w="990"/>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Ячеек</w:t>
            </w:r>
          </w:p>
        </w:tc>
        <w:tc>
          <w:tcPr>
            <w:tcW w:type="dxa" w:w="128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Заполненность</w:t>
            </w:r>
          </w:p>
        </w:tc>
        <w:tc>
          <w:tcPr>
            <w:tcW w:type="dxa" w:w="10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Память, МиБ</w:t>
            </w:r>
          </w:p>
        </w:tc>
        <w:tc>
          <w:tcPr>
            <w:tcW w:type="dxa" w:w="168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Свёртка двух осей</w:t>
            </w:r>
          </w:p>
        </w:tc>
        <w:tc>
          <w:tcPr>
            <w:tcW w:type="dxa" w:w="2078"/>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Соединение и иерархия</w:t>
            </w:r>
          </w:p>
        </w:tc>
        <w:tc>
          <w:tcPr>
            <w:tcW w:type="dxa" w:w="138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Широкая выдача</w:t>
            </w:r>
          </w:p>
        </w:tc>
      </w:tr>
      <w:tr>
        <w:trPr>
          <w:tblHeader w:val="false"/>
        </w:trPr>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50×50×50</w:t>
            </w:r>
          </w:p>
        </w:tc>
        <w:tc>
          <w:tcPr>
            <w:tcW w:type="dxa" w:w="99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125 тыс.</w:t>
            </w:r>
          </w:p>
        </w:tc>
        <w:tc>
          <w:tcPr>
            <w:tcW w:type="dxa" w:w="128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100 %</w:t>
            </w:r>
          </w:p>
        </w:tc>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w:t>
            </w:r>
          </w:p>
        </w:tc>
        <w:tc>
          <w:tcPr>
            <w:tcW w:type="dxa" w:w="16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29.4×</w:t>
            </w:r>
          </w:p>
        </w:tc>
        <w:tc>
          <w:tcPr>
            <w:tcW w:type="dxa" w:w="207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52.3×</w:t>
            </w:r>
          </w:p>
        </w:tc>
        <w:tc>
          <w:tcPr>
            <w:tcW w:type="dxa" w:w="138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5.7×</w:t>
            </w:r>
          </w:p>
        </w:tc>
      </w:tr>
      <w:tr>
        <w:trPr>
          <w:tblHeader w:val="false"/>
        </w:trPr>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100×100×100</w:t>
            </w:r>
          </w:p>
        </w:tc>
        <w:tc>
          <w:tcPr>
            <w:tcW w:type="dxa" w:w="99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 млн</w:t>
            </w:r>
          </w:p>
        </w:tc>
        <w:tc>
          <w:tcPr>
            <w:tcW w:type="dxa" w:w="128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86.5 %</w:t>
            </w:r>
          </w:p>
        </w:tc>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w:t>
            </w:r>
          </w:p>
        </w:tc>
        <w:tc>
          <w:tcPr>
            <w:tcW w:type="dxa" w:w="16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5.1×</w:t>
            </w:r>
          </w:p>
        </w:tc>
        <w:tc>
          <w:tcPr>
            <w:tcW w:type="dxa" w:w="207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19.8×</w:t>
            </w:r>
          </w:p>
        </w:tc>
        <w:tc>
          <w:tcPr>
            <w:tcW w:type="dxa" w:w="138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w:t>
            </w:r>
          </w:p>
        </w:tc>
      </w:tr>
      <w:tr>
        <w:trPr>
          <w:tblHeader w:val="false"/>
        </w:trPr>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150×150×150</w:t>
            </w:r>
          </w:p>
        </w:tc>
        <w:tc>
          <w:tcPr>
            <w:tcW w:type="dxa" w:w="99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3.4 млн</w:t>
            </w:r>
          </w:p>
        </w:tc>
        <w:tc>
          <w:tcPr>
            <w:tcW w:type="dxa" w:w="128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44.7 %</w:t>
            </w:r>
          </w:p>
        </w:tc>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51</w:t>
            </w:r>
          </w:p>
        </w:tc>
        <w:tc>
          <w:tcPr>
            <w:tcW w:type="dxa" w:w="16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1.3×</w:t>
            </w:r>
          </w:p>
        </w:tc>
        <w:tc>
          <w:tcPr>
            <w:tcW w:type="dxa" w:w="207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6.6×</w:t>
            </w:r>
          </w:p>
        </w:tc>
        <w:tc>
          <w:tcPr>
            <w:tcW w:type="dxa" w:w="138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w:t>
            </w:r>
          </w:p>
        </w:tc>
      </w:tr>
      <w:tr>
        <w:trPr>
          <w:tblHeader w:val="false"/>
        </w:trPr>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200×200×200</w:t>
            </w:r>
          </w:p>
        </w:tc>
        <w:tc>
          <w:tcPr>
            <w:tcW w:type="dxa" w:w="990"/>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8 млн</w:t>
            </w:r>
          </w:p>
        </w:tc>
        <w:tc>
          <w:tcPr>
            <w:tcW w:type="dxa" w:w="128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22.1 %</w:t>
            </w:r>
          </w:p>
        </w:tc>
        <w:tc>
          <w:tcPr>
            <w:tcW w:type="dxa" w:w="10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122</w:t>
            </w:r>
          </w:p>
        </w:tc>
        <w:tc>
          <w:tcPr>
            <w:tcW w:type="dxa" w:w="16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0.53×</w:t>
            </w:r>
          </w:p>
        </w:tc>
        <w:tc>
          <w:tcPr>
            <w:tcW w:type="dxa" w:w="2078"/>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3.2×</w:t>
            </w:r>
          </w:p>
        </w:tc>
        <w:tc>
          <w:tcPr>
            <w:tcW w:type="dxa" w:w="138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0.94×</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Здесь и проходит граница применимости. На кубе 200×200×200 простая агрегация выполняется уже </w:t>
      </w:r>
      <w:r>
        <w:rPr>
          <w:rFonts w:ascii="Times New Roman" w:cs="Times New Roman" w:eastAsia="Times New Roman" w:hAnsi="Times New Roman"/>
          <w:sz w:val="24"/>
          <w:szCs w:val="24"/>
        </w:rPr>
        <w:t xml:space="preserve">вдвое медленнее</w:t>
      </w:r>
      <w:r>
        <w:rPr>
          <w:rFonts w:ascii="Times New Roman" w:cs="Times New Roman" w:eastAsia="Times New Roman" w:hAnsi="Times New Roman"/>
          <w:sz w:val="24"/>
          <w:szCs w:val="24"/>
        </w:rPr>
        <w:t xml:space="preserve">, чем в колоночной СУБД: свёртка обходит все восемь миллионов ячеек, из которых заполнена лишь пятая часть, тогда как DuckDB обрабатывает ровно два миллиона существующих строк.</w:t>
      </w:r>
    </w:p>
    <w:p>
      <w:pPr>
        <w:spacing w:after="120" w:before="0" w:line="300"/>
        <w:ind w:firstLine="567"/>
        <w:jc w:val="both"/>
      </w:pPr>
      <w:r>
        <w:rPr>
          <w:rFonts w:ascii="Times New Roman" w:cs="Times New Roman" w:eastAsia="Times New Roman" w:hAnsi="Times New Roman"/>
          <w:sz w:val="24"/>
          <w:szCs w:val="24"/>
        </w:rPr>
        <w:t xml:space="preserve">Третья развёртка — по перекосу распределения при неизменных числе фактов и размере куба (табл. 9). Степенной закон означает, что немногие клиенты и товары дают большую часть продаж, — распределение, характерное для реальной торговли.</w:t>
      </w:r>
    </w:p>
    <w:p>
      <w:pPr>
        <w:spacing w:after="100" w:before="200" w:line="300"/>
      </w:pPr>
      <w:r>
        <w:rPr>
          <w:rFonts w:ascii="Times New Roman" w:cs="Times New Roman" w:eastAsia="Times New Roman" w:hAnsi="Times New Roman"/>
          <w:i/>
          <w:iCs/>
          <w:sz w:val="24"/>
          <w:szCs w:val="24"/>
        </w:rPr>
        <w:t xml:space="preserve">Таблица 9 — Влияние перекоса распределения, гиперкуб 200×200×100, 2 млн фактов</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82"/>
        <w:gridCol w:w="1504"/>
        <w:gridCol w:w="1966"/>
        <w:gridCol w:w="2429"/>
        <w:gridCol w:w="1619"/>
      </w:tblGrid>
      <w:tr>
        <w:trPr>
          <w:tblHeader/>
        </w:trPr>
        <w:tc>
          <w:tcPr>
            <w:tcW w:type="dxa" w:w="208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Показатель степени</w:t>
            </w:r>
          </w:p>
        </w:tc>
        <w:tc>
          <w:tcPr>
            <w:tcW w:type="dxa" w:w="150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Заполненность</w:t>
            </w:r>
          </w:p>
        </w:tc>
        <w:tc>
          <w:tcPr>
            <w:tcW w:type="dxa" w:w="196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Свёртка двух осей</w:t>
            </w:r>
          </w:p>
        </w:tc>
        <w:tc>
          <w:tcPr>
            <w:tcW w:type="dxa" w:w="242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Соединение и иерархия</w:t>
            </w:r>
          </w:p>
        </w:tc>
        <w:tc>
          <w:tcPr>
            <w:tcW w:type="dxa" w:w="161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Широкая выдача</w:t>
            </w:r>
          </w:p>
        </w:tc>
      </w:tr>
      <w:tr>
        <w:trPr>
          <w:tblHeader w:val="false"/>
        </w:trPr>
        <w:tc>
          <w:tcPr>
            <w:tcW w:type="dxa" w:w="20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0.0 (равномерно)</w:t>
            </w:r>
          </w:p>
        </w:tc>
        <w:tc>
          <w:tcPr>
            <w:tcW w:type="dxa" w:w="15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39.4 %</w:t>
            </w:r>
          </w:p>
        </w:tc>
        <w:tc>
          <w:tcPr>
            <w:tcW w:type="dxa" w:w="196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1.10×</w:t>
            </w:r>
          </w:p>
        </w:tc>
        <w:tc>
          <w:tcPr>
            <w:tcW w:type="dxa" w:w="24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6.08×</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1.12×</w:t>
            </w:r>
          </w:p>
        </w:tc>
      </w:tr>
      <w:tr>
        <w:trPr>
          <w:tblHeader w:val="false"/>
        </w:trPr>
        <w:tc>
          <w:tcPr>
            <w:tcW w:type="dxa" w:w="20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0.6</w:t>
            </w:r>
          </w:p>
        </w:tc>
        <w:tc>
          <w:tcPr>
            <w:tcW w:type="dxa" w:w="15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30.7 %</w:t>
            </w:r>
          </w:p>
        </w:tc>
        <w:tc>
          <w:tcPr>
            <w:tcW w:type="dxa" w:w="196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1.07×</w:t>
            </w:r>
          </w:p>
        </w:tc>
        <w:tc>
          <w:tcPr>
            <w:tcW w:type="dxa" w:w="24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5.27×</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1.18×</w:t>
            </w:r>
          </w:p>
        </w:tc>
      </w:tr>
      <w:tr>
        <w:trPr>
          <w:tblHeader w:val="false"/>
        </w:trPr>
        <w:tc>
          <w:tcPr>
            <w:tcW w:type="dxa" w:w="20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1.0</w:t>
            </w:r>
          </w:p>
        </w:tc>
        <w:tc>
          <w:tcPr>
            <w:tcW w:type="dxa" w:w="15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17.1 %</w:t>
            </w:r>
          </w:p>
        </w:tc>
        <w:tc>
          <w:tcPr>
            <w:tcW w:type="dxa" w:w="196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1.10×</w:t>
            </w:r>
          </w:p>
        </w:tc>
        <w:tc>
          <w:tcPr>
            <w:tcW w:type="dxa" w:w="24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5.50×</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1.15×</w:t>
            </w:r>
          </w:p>
        </w:tc>
      </w:tr>
      <w:tr>
        <w:trPr>
          <w:tblHeader w:val="false"/>
        </w:trPr>
        <w:tc>
          <w:tcPr>
            <w:tcW w:type="dxa" w:w="2082"/>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1.4</w:t>
            </w:r>
          </w:p>
        </w:tc>
        <w:tc>
          <w:tcPr>
            <w:tcW w:type="dxa" w:w="150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7.2 %</w:t>
            </w:r>
          </w:p>
        </w:tc>
        <w:tc>
          <w:tcPr>
            <w:tcW w:type="dxa" w:w="196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1.09×</w:t>
            </w:r>
          </w:p>
        </w:tc>
        <w:tc>
          <w:tcPr>
            <w:tcW w:type="dxa" w:w="242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5.16×</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1.07×</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Результат на первый взгляд неожиданный: заполненность падает впятеро, а отношение времён не меняется вовсе. Объяснение простое и оно связывает все три развёртки в одно правило.</w:t>
      </w:r>
    </w:p>
    <w:p>
      <w:pPr>
        <w:spacing w:after="120" w:before="0" w:line="300"/>
        <w:ind w:firstLine="567"/>
        <w:jc w:val="both"/>
      </w:pPr>
      <w:r>
        <w:rPr>
          <w:rFonts w:ascii="Times New Roman" w:cs="Times New Roman" w:eastAsia="Times New Roman" w:hAnsi="Times New Roman"/>
          <w:sz w:val="24"/>
          <w:szCs w:val="24"/>
        </w:rPr>
        <w:t xml:space="preserve">Правило.</w:t>
      </w:r>
      <w:r>
        <w:rPr>
          <w:rFonts w:ascii="Times New Roman" w:cs="Times New Roman" w:eastAsia="Times New Roman" w:hAnsi="Times New Roman"/>
          <w:sz w:val="24"/>
          <w:szCs w:val="24"/>
        </w:rPr>
        <w:t xml:space="preserve"> Время свёртки определяется </w:t>
      </w:r>
      <w:r>
        <w:rPr>
          <w:rFonts w:ascii="Times New Roman" w:cs="Times New Roman" w:eastAsia="Times New Roman" w:hAnsi="Times New Roman"/>
          <w:sz w:val="24"/>
          <w:szCs w:val="24"/>
        </w:rPr>
        <w:t xml:space="preserve">числом ячеек</w:t>
      </w:r>
      <w:r>
        <w:rPr>
          <w:rFonts w:ascii="Times New Roman" w:cs="Times New Roman" w:eastAsia="Times New Roman" w:hAnsi="Times New Roman"/>
          <w:sz w:val="24"/>
          <w:szCs w:val="24"/>
        </w:rPr>
        <w:t xml:space="preserve"> гиперкуба и не зависит ни от числа фактов, ни от их распределения. Время колоночной СУБД определяется </w:t>
      </w:r>
      <w:r>
        <w:rPr>
          <w:rFonts w:ascii="Times New Roman" w:cs="Times New Roman" w:eastAsia="Times New Roman" w:hAnsi="Times New Roman"/>
          <w:sz w:val="24"/>
          <w:szCs w:val="24"/>
        </w:rPr>
        <w:t xml:space="preserve">числом строк</w:t>
      </w:r>
      <w:r>
        <w:rPr>
          <w:rFonts w:ascii="Times New Roman" w:cs="Times New Roman" w:eastAsia="Times New Roman" w:hAnsi="Times New Roman"/>
          <w:sz w:val="24"/>
          <w:szCs w:val="24"/>
        </w:rPr>
        <w:t xml:space="preserve">. Следовательно отношение времён есть функция единственной величины — числа фактов, приходящихся на ячейку.</w:t>
      </w:r>
    </w:p>
    <w:p>
      <w:pPr>
        <w:spacing w:after="120" w:before="0" w:line="300"/>
        <w:ind w:firstLine="567"/>
        <w:jc w:val="both"/>
      </w:pPr>
      <w:r>
        <w:rPr>
          <w:rFonts w:ascii="Times New Roman" w:cs="Times New Roman" w:eastAsia="Times New Roman" w:hAnsi="Times New Roman"/>
          <w:sz w:val="24"/>
          <w:szCs w:val="24"/>
        </w:rPr>
        <w:t xml:space="preserve">Правило проверяется по всем трём развёрткам. В первой ячейки постоянны, факты растут — отношение растёт. Во второй факты постоянны, ячейки растут — отношение падает. В третьей постоянны и то, и другое, меняется лишь распределение — отношение неизменно. Численно совпадают и точки из разных развёрток: 3.4 млн ячеек при 2 млн фактов (0.59 факта на ячейку) дают 1.33×, а 4 млн ячеек при тех же 2 млн фактов (0.5 факта на ячейку) — 1.10×.</w:t>
      </w:r>
    </w:p>
    <w:p>
      <w:pPr>
        <w:spacing w:after="120" w:before="0" w:line="300"/>
        <w:ind w:firstLine="567"/>
        <w:jc w:val="both"/>
      </w:pPr>
      <w:r>
        <w:rPr>
          <w:rFonts w:ascii="Times New Roman" w:cs="Times New Roman" w:eastAsia="Times New Roman" w:hAnsi="Times New Roman"/>
          <w:sz w:val="24"/>
          <w:szCs w:val="24"/>
        </w:rPr>
        <w:t xml:space="preserve">Отсюда практический критерий применимости: </w:t>
      </w:r>
      <w:r>
        <w:rPr>
          <w:rFonts w:ascii="Times New Roman" w:cs="Times New Roman" w:eastAsia="Times New Roman" w:hAnsi="Times New Roman"/>
          <w:sz w:val="24"/>
          <w:szCs w:val="24"/>
        </w:rPr>
        <w:t xml:space="preserve">подход выгоден, когда на ячейку гиперкуба приходится порядка одного факта и более</w:t>
      </w:r>
      <w:r>
        <w:rPr>
          <w:rFonts w:ascii="Times New Roman" w:cs="Times New Roman" w:eastAsia="Times New Roman" w:hAnsi="Times New Roman"/>
          <w:sz w:val="24"/>
          <w:szCs w:val="24"/>
        </w:rPr>
        <w:t xml:space="preserve">; при 0.25 факта на ячейку преимущество на простых агрегациях теряется. Поскольку число ячеек есть произведение мощностей измерений, критерий переводится в требование к схеме: измерения должны быть достаточно грубыми, а при мелких — гиперкуб следует строить не по всем сразу.</w:t>
      </w:r>
    </w:p>
    <w:p>
      <w:pPr>
        <w:spacing w:after="120" w:before="0" w:line="300"/>
        <w:ind w:firstLine="567"/>
        <w:jc w:val="both"/>
      </w:pPr>
      <w:r>
        <w:rPr>
          <w:rFonts w:ascii="Times New Roman" w:cs="Times New Roman" w:eastAsia="Times New Roman" w:hAnsi="Times New Roman"/>
          <w:sz w:val="24"/>
          <w:szCs w:val="24"/>
        </w:rPr>
        <w:t xml:space="preserve">Заметим, что перекос распределения, вопреки ожиданию, ничего не меняет: разреженность сама по себе не помогает, пока представление остаётся плотным. Что даёт переход к разреженному представлению, показано ниже.</w:t>
      </w:r>
    </w:p>
    <w:p>
      <w:pPr>
        <w:pStyle w:val="Heading2"/>
        <w:spacing w:after="160" w:before="240"/>
      </w:pPr>
      <w:r>
        <w:rPr>
          <w:rFonts w:ascii="Times New Roman" w:cs="Times New Roman" w:eastAsia="Times New Roman" w:hAnsi="Times New Roman"/>
          <w:b/>
          <w:bCs/>
          <w:sz w:val="24"/>
          <w:szCs w:val="24"/>
        </w:rPr>
        <w:t xml:space="preserve">4.5. Плотное и разреженное представления</w:t>
      </w:r>
    </w:p>
    <w:p>
      <w:pPr>
        <w:spacing w:after="120" w:before="0" w:line="300"/>
        <w:ind w:firstLine="567"/>
        <w:jc w:val="both"/>
      </w:pPr>
      <w:r>
        <w:rPr>
          <w:rFonts w:ascii="Times New Roman" w:cs="Times New Roman" w:eastAsia="Times New Roman" w:hAnsi="Times New Roman"/>
          <w:sz w:val="24"/>
          <w:szCs w:val="24"/>
        </w:rPr>
        <w:t xml:space="preserve">Реальные таблицы фактов дают гиперкубы с малой заполненностью, поэтому реализовано разреженное представление в координатном формате с собственными ядрами свёртки: для случая «разреженная × плотная» — выборка значений по координатам, для случая «разреженная × разреженная» — хеш-соединение по общим индексам (табл. 10).</w:t>
      </w:r>
    </w:p>
    <w:p>
      <w:pPr>
        <w:spacing w:after="100" w:before="200" w:line="300"/>
      </w:pPr>
      <w:r>
        <w:rPr>
          <w:rFonts w:ascii="Times New Roman" w:cs="Times New Roman" w:eastAsia="Times New Roman" w:hAnsi="Times New Roman"/>
          <w:i/>
          <w:iCs/>
          <w:sz w:val="24"/>
          <w:szCs w:val="24"/>
        </w:rPr>
        <w:t xml:space="preserve">Таблица 10 — Плотное и разреженное представления, гиперкуб 10⁶ ячеек</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11"/>
        <w:gridCol w:w="2311"/>
        <w:gridCol w:w="1956"/>
        <w:gridCol w:w="3022"/>
      </w:tblGrid>
      <w:tr>
        <w:trPr>
          <w:tblHeader/>
        </w:trPr>
        <w:tc>
          <w:tcPr>
            <w:tcW w:type="dxa" w:w="231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Заполненность</w:t>
            </w:r>
          </w:p>
        </w:tc>
        <w:tc>
          <w:tcPr>
            <w:tcW w:type="dxa" w:w="231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Представление</w:t>
            </w:r>
          </w:p>
        </w:tc>
        <w:tc>
          <w:tcPr>
            <w:tcW w:type="dxa" w:w="1956"/>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Память, МиБ</w:t>
            </w:r>
          </w:p>
        </w:tc>
        <w:tc>
          <w:tcPr>
            <w:tcW w:type="dxa" w:w="302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Время запроса, мс</w:t>
            </w:r>
          </w:p>
        </w:tc>
      </w:tr>
      <w:tr>
        <w:trPr>
          <w:tblHeader w:val="false"/>
        </w:trPr>
        <w:tc>
          <w:tcPr>
            <w:tcW w:type="dxa" w:w="231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39.3 %</w:t>
            </w:r>
          </w:p>
        </w:tc>
        <w:tc>
          <w:tcPr>
            <w:tcW w:type="dxa" w:w="23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плотное</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30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0.79</w:t>
            </w:r>
          </w:p>
        </w:tc>
      </w:tr>
      <w:tr>
        <w:trPr>
          <w:tblHeader w:val="false"/>
        </w:trPr>
        <w:tc>
          <w:tcPr>
            <w:tcW w:type="dxa" w:w="231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39.3 %</w:t>
            </w:r>
          </w:p>
        </w:tc>
        <w:tc>
          <w:tcPr>
            <w:tcW w:type="dxa" w:w="23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разреженное</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12.00</w:t>
            </w:r>
          </w:p>
        </w:tc>
        <w:tc>
          <w:tcPr>
            <w:tcW w:type="dxa" w:w="30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8.56</w:t>
            </w:r>
          </w:p>
        </w:tc>
      </w:tr>
      <w:tr>
        <w:trPr>
          <w:tblHeader w:val="false"/>
        </w:trPr>
        <w:tc>
          <w:tcPr>
            <w:tcW w:type="dxa" w:w="231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11.8 %</w:t>
            </w:r>
          </w:p>
        </w:tc>
        <w:tc>
          <w:tcPr>
            <w:tcW w:type="dxa" w:w="23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плотное</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30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0.71</w:t>
            </w:r>
          </w:p>
        </w:tc>
      </w:tr>
      <w:tr>
        <w:trPr>
          <w:tblHeader w:val="false"/>
        </w:trPr>
        <w:tc>
          <w:tcPr>
            <w:tcW w:type="dxa" w:w="231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11.8 %</w:t>
            </w:r>
          </w:p>
        </w:tc>
        <w:tc>
          <w:tcPr>
            <w:tcW w:type="dxa" w:w="23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разреженное</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3.59</w:t>
            </w:r>
          </w:p>
        </w:tc>
        <w:tc>
          <w:tcPr>
            <w:tcW w:type="dxa" w:w="30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4.45</w:t>
            </w:r>
          </w:p>
        </w:tc>
      </w:tr>
      <w:tr>
        <w:trPr>
          <w:tblHeader w:val="false"/>
        </w:trPr>
        <w:tc>
          <w:tcPr>
            <w:tcW w:type="dxa" w:w="231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2.5 %</w:t>
            </w:r>
          </w:p>
        </w:tc>
        <w:tc>
          <w:tcPr>
            <w:tcW w:type="dxa" w:w="23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плотное</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30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0.63</w:t>
            </w:r>
          </w:p>
        </w:tc>
      </w:tr>
      <w:tr>
        <w:trPr>
          <w:tblHeader w:val="false"/>
        </w:trPr>
        <w:tc>
          <w:tcPr>
            <w:tcW w:type="dxa" w:w="231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2.5 %</w:t>
            </w:r>
          </w:p>
        </w:tc>
        <w:tc>
          <w:tcPr>
            <w:tcW w:type="dxa" w:w="23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разреженное</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0.75</w:t>
            </w:r>
          </w:p>
        </w:tc>
        <w:tc>
          <w:tcPr>
            <w:tcW w:type="dxa" w:w="30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4.06</w:t>
            </w:r>
          </w:p>
        </w:tc>
      </w:tr>
      <w:tr>
        <w:trPr>
          <w:tblHeader w:val="false"/>
        </w:trPr>
        <w:tc>
          <w:tcPr>
            <w:tcW w:type="dxa" w:w="231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0.5 %</w:t>
            </w:r>
          </w:p>
        </w:tc>
        <w:tc>
          <w:tcPr>
            <w:tcW w:type="dxa" w:w="23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плотное</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7.63</w:t>
            </w:r>
          </w:p>
        </w:tc>
        <w:tc>
          <w:tcPr>
            <w:tcW w:type="dxa" w:w="30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0.67</w:t>
            </w:r>
          </w:p>
        </w:tc>
      </w:tr>
      <w:tr>
        <w:trPr>
          <w:tblHeader w:val="false"/>
        </w:trPr>
        <w:tc>
          <w:tcPr>
            <w:tcW w:type="dxa" w:w="2311"/>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0.5 %</w:t>
            </w:r>
          </w:p>
        </w:tc>
        <w:tc>
          <w:tcPr>
            <w:tcW w:type="dxa" w:w="23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разреженное</w:t>
            </w:r>
          </w:p>
        </w:tc>
        <w:tc>
          <w:tcPr>
            <w:tcW w:type="dxa" w:w="1956"/>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0.15</w:t>
            </w:r>
          </w:p>
        </w:tc>
        <w:tc>
          <w:tcPr>
            <w:tcW w:type="dxa" w:w="302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5.14</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Отдельно проверено, что следствие 1 сохраняется и на разреженном пути. Теорема 2 доказана для алгебраических тождеств и от представления не зависит, однако разреженные ядра — выборка по координатам и хеш-соединение — суммируют вклады в ином порядке, чем плотные, и на числах с плавающей точкой равенство могло бы нарушиться неассоциативностью округления. Цепочка из трёх разреженных гиперкубов, свёрнутая в обоих порядках, дала совпадение с максимальным расхождением 2.2·10⁻¹⁶, то есть на уровне машинного эпсилона; оба порядка совпали и с плотным эталоном. Переписывание плана, таким образом, остаётся корректным независимо от выбранного представления, и оптимизатору не требуется знать о нём.</w:t>
      </w:r>
    </w:p>
    <w:p>
      <w:pPr>
        <w:spacing w:after="120" w:before="0" w:line="300"/>
        <w:ind w:firstLine="567"/>
        <w:jc w:val="both"/>
      </w:pPr>
      <w:r>
        <w:rPr>
          <w:rFonts w:ascii="Times New Roman" w:cs="Times New Roman" w:eastAsia="Times New Roman" w:hAnsi="Times New Roman"/>
          <w:sz w:val="24"/>
          <w:szCs w:val="24"/>
        </w:rPr>
        <w:t xml:space="preserve">Разреженное представление выигрывает по памяти тем сильнее, чем реже данные (при заполненности 0.5 % — в пятьдесят раз), но проигрывает по времени на всех уровнях разреженности, поскольку einsum и BLAS работают только с плотными массивами, и разреженный путь идёт через собственное хеш-соединение вместо оптимизированных блочных алгоритмов. Отсюда правило, реализованное в системе: разреженное хранение включается тогда, когда плотное не помещается в память, а не ради ускорения.</w:t>
      </w:r>
    </w:p>
    <w:p>
      <w:pPr>
        <w:pStyle w:val="Heading2"/>
        <w:spacing w:after="160" w:before="240"/>
      </w:pPr>
      <w:r>
        <w:rPr>
          <w:rFonts w:ascii="Times New Roman" w:cs="Times New Roman" w:eastAsia="Times New Roman" w:hAnsi="Times New Roman"/>
          <w:b/>
          <w:bCs/>
          <w:sz w:val="24"/>
          <w:szCs w:val="24"/>
        </w:rPr>
        <w:t xml:space="preserve">4.6. Выбор способа обращения к BLAS</w:t>
      </w:r>
    </w:p>
    <w:p>
      <w:pPr>
        <w:spacing w:after="120" w:before="0" w:line="300"/>
        <w:ind w:firstLine="567"/>
        <w:jc w:val="both"/>
      </w:pPr>
      <w:r>
        <w:rPr>
          <w:rFonts w:ascii="Times New Roman" w:cs="Times New Roman" w:eastAsia="Times New Roman" w:hAnsi="Times New Roman"/>
          <w:sz w:val="24"/>
          <w:szCs w:val="24"/>
        </w:rPr>
        <w:t xml:space="preserve">Поскольку einsum не всегда диспетчеризуется в оптимизированную реализацию матричного умножения, проверены альтернативы (табл. 11). Для рассматриваемого запроса измерены три способа: единый вызов einsum с заранее вычисленным порядком свёрток; цепочка из явных вызовов tensordot и матричного умножения; цепочка из двух вызовов einsum.</w:t>
      </w:r>
    </w:p>
    <w:p>
      <w:pPr>
        <w:spacing w:after="100" w:before="200" w:line="300"/>
      </w:pPr>
      <w:r>
        <w:rPr>
          <w:rFonts w:ascii="Times New Roman" w:cs="Times New Roman" w:eastAsia="Times New Roman" w:hAnsi="Times New Roman"/>
          <w:i/>
          <w:iCs/>
          <w:sz w:val="24"/>
          <w:szCs w:val="24"/>
        </w:rPr>
        <w:t xml:space="preserve">Таблица 11 — Способы вычисления одного и того же выражения, мс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855"/>
        <w:gridCol w:w="1745"/>
      </w:tblGrid>
      <w:tr>
        <w:trPr>
          <w:tblHeader/>
        </w:trPr>
        <w:tc>
          <w:tcPr>
            <w:tcW w:type="dxa" w:w="785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Способ</w:t>
            </w:r>
          </w:p>
        </w:tc>
        <w:tc>
          <w:tcPr>
            <w:tcW w:type="dxa" w:w="1745"/>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Время</w:t>
            </w:r>
          </w:p>
        </w:tc>
      </w:tr>
      <w:tr>
        <w:trPr>
          <w:tblHeader w:val="false"/>
        </w:trPr>
        <w:tc>
          <w:tcPr>
            <w:tcW w:type="dxa" w:w="78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Единый einsum с кэшированным порядком свёрток</w:t>
            </w:r>
          </w:p>
        </w:tc>
        <w:tc>
          <w:tcPr>
            <w:tcW w:type="dxa" w:w="174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0.33</w:t>
            </w:r>
          </w:p>
        </w:tc>
      </w:tr>
      <w:tr>
        <w:trPr>
          <w:tblHeader w:val="false"/>
        </w:trPr>
        <w:tc>
          <w:tcPr>
            <w:tcW w:type="dxa" w:w="78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Две последовательные свёртки einsum</w:t>
            </w:r>
          </w:p>
        </w:tc>
        <w:tc>
          <w:tcPr>
            <w:tcW w:type="dxa" w:w="174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0.35</w:t>
            </w:r>
          </w:p>
        </w:tc>
      </w:tr>
      <w:tr>
        <w:trPr>
          <w:tblHeader w:val="false"/>
        </w:trPr>
        <w:tc>
          <w:tcPr>
            <w:tcW w:type="dxa" w:w="7855"/>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Цепочка tensordot и матричного умножения</w:t>
            </w:r>
          </w:p>
        </w:tc>
        <w:tc>
          <w:tcPr>
            <w:tcW w:type="dxa" w:w="1745"/>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2.10</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Вопреки ожиданию, явные вызовы BLAS-функций оказались в шесть раз медленнее: tensordot вынуждена копировать массив, чтобы переставить свёртываемую ось в конец, тогда как оптимизированный einsum стягивает без копирования. Отсюда вывод, существенный для реализации: для рангов выше двух предпочтителен einsum, а прямые вызовы BLAS выигрывают лишь для ранга 2, где перестановка осей не нужна (39.5 мкс против 79 мкс на матрицах 100×100). Именно этим объясняется расхождение с [2] в двумерных строках табл. 4: постоянные накладные расходы einsum на разбор индексной спецификации составляют около 30 мкс и на малых данных доминируют. В реализации введён порог, ниже которого поиск порядка свёрток не выполняется вовсе, а найденные порядки кэшируются по формам операндов.</w:t>
      </w:r>
    </w:p>
    <w:p>
      <w:pPr>
        <w:spacing w:after="120" w:before="0" w:line="300"/>
        <w:ind w:firstLine="567"/>
        <w:jc w:val="both"/>
      </w:pPr>
      <w:r>
        <w:rPr>
          <w:rFonts w:ascii="Times New Roman" w:cs="Times New Roman" w:eastAsia="Times New Roman" w:hAnsi="Times New Roman"/>
          <w:sz w:val="24"/>
          <w:szCs w:val="24"/>
        </w:rPr>
        <w:t xml:space="preserve">Приведённый вывод, однако, верен не для всех свёрток, и уточнение оказалось существенным. При λ = 0 einsum действительно сводит операцию к tensordot и получает BLAS. Но при λ ≥ 1 у операции есть индекс, общий обоим сомножителям и </w:t>
      </w:r>
      <w:r>
        <w:rPr>
          <w:rFonts w:ascii="Times New Roman" w:cs="Times New Roman" w:eastAsia="Times New Roman" w:hAnsi="Times New Roman"/>
          <w:sz w:val="24"/>
          <w:szCs w:val="24"/>
        </w:rPr>
        <w:t xml:space="preserve">сохраняемый</w:t>
      </w:r>
      <w:r>
        <w:rPr>
          <w:rFonts w:ascii="Times New Roman" w:cs="Times New Roman" w:eastAsia="Times New Roman" w:hAnsi="Times New Roman"/>
          <w:sz w:val="24"/>
          <w:szCs w:val="24"/>
        </w:rPr>
        <w:t xml:space="preserve"> в результате, а у tensordot пакетного измерения нет — и einsum_path, не найдя сведения к матричному умножению, уходит в собственный цикл на C, теряя BLAS целиком. Между тем именно λ-индексы отличают свёрнутое произведение от тензорной свёртки, то есть потеря происходит ровно в той части алгебры, которая для настоящей работы существенна.</w:t>
      </w:r>
    </w:p>
    <w:p>
      <w:pPr>
        <w:spacing w:after="120" w:before="0" w:line="300"/>
        <w:ind w:firstLine="567"/>
        <w:jc w:val="both"/>
      </w:pPr>
      <w:r>
        <w:rPr>
          <w:rFonts w:ascii="Times New Roman" w:cs="Times New Roman" w:eastAsia="Times New Roman" w:hAnsi="Times New Roman"/>
          <w:sz w:val="24"/>
          <w:szCs w:val="24"/>
        </w:rPr>
        <w:t xml:space="preserve">Обход подсказан самой алгеброй. По утверждению из [6], процитированному в §3.4, при λ ≥ 1 результат составлен из сечений ориентации скоттовых индексов, каждое из которых есть (0, μ)-произведение соответствующих сечений сомножителей. Набор одинаковых (0, μ)-произведений над сечениями — это в точности то, что исполняет пакетный gemm: после перестановки скоттовых осей в начало и свёртки групп осей в по одному измерению операция записывается как</w:t>
      </w:r>
    </w:p>
    <w:p>
      <w:pPr>
        <w:spacing w:after="120" w:before="120" w:line="300"/>
        <w:jc w:val="center"/>
      </w:pPr>
      <w:r>
        <w:rPr>
          <w:rFonts w:ascii="Times New Roman" w:cs="Times New Roman" w:eastAsia="Times New Roman" w:hAnsi="Times New Roman"/>
          <w:i/>
          <w:iCs/>
          <w:sz w:val="24"/>
          <w:szCs w:val="24"/>
        </w:rPr>
        <w:t xml:space="preserve">A[L | S | C] → (|S|, |L|, |C|),  B[S | C | M] → (|S|, |C|, |M|),  matmul → (|S|, |L|, |M|) → C[L | S | M].</w:t>
      </w:r>
    </w:p>
    <w:p>
      <w:pPr>
        <w:spacing w:after="120" w:before="0" w:line="300"/>
        <w:ind w:firstLine="567"/>
        <w:jc w:val="both"/>
      </w:pPr>
      <w:r>
        <w:rPr>
          <w:rFonts w:ascii="Times New Roman" w:cs="Times New Roman" w:eastAsia="Times New Roman" w:hAnsi="Times New Roman"/>
          <w:sz w:val="24"/>
          <w:szCs w:val="24"/>
        </w:rPr>
        <w:t xml:space="preserve">Замер приведён в табл. 12; свёртывается матрица 200×200×120 с матрицей 200×120×|M| при λ = 1, μ = 1.</w:t>
      </w:r>
    </w:p>
    <w:p>
      <w:pPr>
        <w:spacing w:after="100" w:before="200" w:line="300"/>
      </w:pPr>
      <w:r>
        <w:rPr>
          <w:rFonts w:ascii="Times New Roman" w:cs="Times New Roman" w:eastAsia="Times New Roman" w:hAnsi="Times New Roman"/>
          <w:i/>
          <w:iCs/>
          <w:sz w:val="24"/>
          <w:szCs w:val="24"/>
        </w:rPr>
        <w:t xml:space="preserve">Таблица 12 — Единый einsum против пакетного gemm при λ = 1, мс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42"/>
        <w:gridCol w:w="1684"/>
        <w:gridCol w:w="2189"/>
        <w:gridCol w:w="1684"/>
      </w:tblGrid>
      <w:tr>
        <w:trPr>
          <w:tblHeader/>
        </w:trPr>
        <w:tc>
          <w:tcPr>
            <w:tcW w:type="dxa" w:w="4042"/>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Мощность свободной оси B</w:t>
            </w:r>
          </w:p>
        </w:tc>
        <w:tc>
          <w:tcPr>
            <w:tcW w:type="dxa" w:w="168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einsum</w:t>
            </w:r>
          </w:p>
        </w:tc>
        <w:tc>
          <w:tcPr>
            <w:tcW w:type="dxa" w:w="21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Пакетный gemm</w:t>
            </w:r>
          </w:p>
        </w:tc>
        <w:tc>
          <w:tcPr>
            <w:tcW w:type="dxa" w:w="168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Отношение</w:t>
            </w:r>
          </w:p>
        </w:tc>
      </w:tr>
      <w:tr>
        <w:trPr>
          <w:tblHeader w:val="false"/>
        </w:trPr>
        <w:tc>
          <w:tcPr>
            <w:tcW w:type="dxa" w:w="404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1.98</w:t>
            </w:r>
          </w:p>
        </w:tc>
        <w:tc>
          <w:tcPr>
            <w:tcW w:type="dxa" w:w="21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1.69</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w:t>
            </w:r>
          </w:p>
        </w:tc>
      </w:tr>
      <w:tr>
        <w:trPr>
          <w:tblHeader w:val="false"/>
        </w:trPr>
        <w:tc>
          <w:tcPr>
            <w:tcW w:type="dxa" w:w="404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28.42</w:t>
            </w:r>
          </w:p>
        </w:tc>
        <w:tc>
          <w:tcPr>
            <w:tcW w:type="dxa" w:w="21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2.87</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9.9×</w:t>
            </w:r>
          </w:p>
        </w:tc>
      </w:tr>
      <w:tr>
        <w:trPr>
          <w:tblHeader w:val="false"/>
        </w:trPr>
        <w:tc>
          <w:tcPr>
            <w:tcW w:type="dxa" w:w="404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46.69</w:t>
            </w:r>
          </w:p>
        </w:tc>
        <w:tc>
          <w:tcPr>
            <w:tcW w:type="dxa" w:w="21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3.92</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11.9×</w:t>
            </w:r>
          </w:p>
        </w:tc>
      </w:tr>
      <w:tr>
        <w:trPr>
          <w:tblHeader w:val="false"/>
        </w:trPr>
        <w:tc>
          <w:tcPr>
            <w:tcW w:type="dxa" w:w="404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32</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100.59</w:t>
            </w:r>
          </w:p>
        </w:tc>
        <w:tc>
          <w:tcPr>
            <w:tcW w:type="dxa" w:w="21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8.02</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12.5×</w:t>
            </w:r>
          </w:p>
        </w:tc>
      </w:tr>
      <w:tr>
        <w:trPr>
          <w:tblHeader w:val="false"/>
        </w:trPr>
        <w:tc>
          <w:tcPr>
            <w:tcW w:type="dxa" w:w="404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128</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383.30</w:t>
            </w:r>
          </w:p>
        </w:tc>
        <w:tc>
          <w:tcPr>
            <w:tcW w:type="dxa" w:w="21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27.41</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14.0×</w:t>
            </w:r>
          </w:p>
        </w:tc>
      </w:tr>
      <w:tr>
        <w:trPr>
          <w:tblHeader w:val="false"/>
        </w:trPr>
        <w:tc>
          <w:tcPr>
            <w:tcW w:type="dxa" w:w="4042"/>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200</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593.69</w:t>
            </w:r>
          </w:p>
        </w:tc>
        <w:tc>
          <w:tcPr>
            <w:tcW w:type="dxa" w:w="218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37.25</w:t>
            </w:r>
          </w:p>
        </w:tc>
        <w:tc>
          <w:tcPr>
            <w:tcW w:type="dxa" w:w="1684"/>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15.9×</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Переход к пакетному gemm ускоряет операцию в 8–27 раз на всех проверенных сочетаниях рангов и мощностей, причём граница видна отчётливо: при единственном значении свободной оси второго сомножителя выигрыш отсутствует (1.2×), поскольку операция вырождается в пакетное умножение матрицы на вектор — задачу, ограниченную пропускной способностью памяти, где einsum и без того работает на её пределе. Начиная с двух значений операция становится настоящим матрично-матричным умножением, и отношение скачком выходит на десятикратное. Совпадение результатов проверено перебором 49 сочетаний рангов и параметров λ, μ при расхождении на уровне машинного эпсилона.</w:t>
      </w:r>
    </w:p>
    <w:p>
      <w:pPr>
        <w:spacing w:after="120" w:before="0" w:line="300"/>
        <w:ind w:firstLine="567"/>
        <w:jc w:val="both"/>
      </w:pPr>
      <w:r>
        <w:rPr>
          <w:rFonts w:ascii="Times New Roman" w:cs="Times New Roman" w:eastAsia="Times New Roman" w:hAnsi="Times New Roman"/>
          <w:sz w:val="24"/>
          <w:szCs w:val="24"/>
        </w:rPr>
        <w:t xml:space="preserve">Отметим ограничение этого результата, важное для его правильного прочтения. На рассмотренном наборе OLAP-запросов ускорение не проявляется: проталкивание проекций (§3.2) заранее сворачивает частные оси операндов, и к моменту стягивания λ-произведения оказываются мелкими. Выигрыш относится к произведениям </w:t>
      </w:r>
      <w:r>
        <w:rPr>
          <w:rFonts w:ascii="Times New Roman" w:cs="Times New Roman" w:eastAsia="Times New Roman" w:hAnsi="Times New Roman"/>
          <w:sz w:val="24"/>
          <w:szCs w:val="24"/>
        </w:rPr>
        <w:t xml:space="preserve">куба на куб</w:t>
      </w:r>
      <w:r>
        <w:rPr>
          <w:rFonts w:ascii="Times New Roman" w:cs="Times New Roman" w:eastAsia="Times New Roman" w:hAnsi="Times New Roman"/>
          <w:sz w:val="24"/>
          <w:szCs w:val="24"/>
        </w:rPr>
        <w:t xml:space="preserve"> — запросам по нескольким таблицам фактов с общим измерением, сохраняемым в группировке, — и к внутриузловому счёту при распараллеливании, где узел получает свёртку целиком (§4.9). Это уточняет, а не отменяет вывод предыдущего абзаца: einsum остаётся предпочтителен при λ = 0, но не при λ ≥ 1, и различие проходит ровно по той границе, которая отделяет свёрнутое произведение Соколова от обычной тензорной свёртки.</w:t>
      </w:r>
    </w:p>
    <w:p>
      <w:pPr>
        <w:spacing w:after="120" w:before="0" w:line="300"/>
        <w:ind w:firstLine="567"/>
        <w:jc w:val="both"/>
      </w:pPr>
      <w:r>
        <w:rPr>
          <w:rFonts w:ascii="Times New Roman" w:cs="Times New Roman" w:eastAsia="Times New Roman" w:hAnsi="Times New Roman"/>
          <w:sz w:val="24"/>
          <w:szCs w:val="24"/>
        </w:rPr>
        <w:t xml:space="preserve">Отдельно отметим, что применение внешней библиотеки оптимизации порядка стягивания [10] не изменило бы результата: используемая функция einsum_path [9] реализует те же алгоритмы динамического программирования и жадного выбора, а дополнительные стратегии такой библиотеки рассчитаны на тензорные сети из десятков операндов, тогда как планы рассматриваемого класса содержат три–пять.</w:t>
      </w:r>
    </w:p>
    <w:p>
      <w:pPr>
        <w:pStyle w:val="Heading2"/>
        <w:spacing w:after="160" w:before="240"/>
      </w:pPr>
      <w:r>
        <w:rPr>
          <w:rFonts w:ascii="Times New Roman" w:cs="Times New Roman" w:eastAsia="Times New Roman" w:hAnsi="Times New Roman"/>
          <w:b/>
          <w:bCs/>
          <w:sz w:val="24"/>
          <w:szCs w:val="24"/>
        </w:rPr>
        <w:t xml:space="preserve">4.7. Формат выдачи результата</w:t>
      </w:r>
    </w:p>
    <w:p>
      <w:pPr>
        <w:spacing w:after="120" w:before="0" w:line="300"/>
        <w:ind w:firstLine="567"/>
        <w:jc w:val="both"/>
      </w:pPr>
      <w:r>
        <w:rPr>
          <w:rFonts w:ascii="Times New Roman" w:cs="Times New Roman" w:eastAsia="Times New Roman" w:hAnsi="Times New Roman"/>
          <w:sz w:val="24"/>
          <w:szCs w:val="24"/>
        </w:rPr>
        <w:t xml:space="preserve">При широкой выдаче время уходит не на свёртку, а на сборку результата, и потому исход сравнения зависит от того, в каком виде результат запрашивается. Замер на запросе, возвращающем 394 тыс. строк, приведён в табл. 13.</w:t>
      </w:r>
    </w:p>
    <w:p>
      <w:pPr>
        <w:spacing w:after="100" w:before="200" w:line="300"/>
      </w:pPr>
      <w:r>
        <w:rPr>
          <w:rFonts w:ascii="Times New Roman" w:cs="Times New Roman" w:eastAsia="Times New Roman" w:hAnsi="Times New Roman"/>
          <w:i/>
          <w:iCs/>
          <w:sz w:val="24"/>
          <w:szCs w:val="24"/>
        </w:rPr>
        <w:t xml:space="preserve">Таблица 13 — Влияние формата выдачи, 394 тыс. строк результата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174"/>
        <w:gridCol w:w="3339"/>
        <w:gridCol w:w="2087"/>
      </w:tblGrid>
      <w:tr>
        <w:trPr>
          <w:tblHeader/>
        </w:trPr>
        <w:tc>
          <w:tcPr>
            <w:tcW w:type="dxa" w:w="417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Формат</w:t>
            </w:r>
          </w:p>
        </w:tc>
        <w:tc>
          <w:tcPr>
            <w:tcW w:type="dxa" w:w="333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Настоящая работа</w:t>
            </w:r>
          </w:p>
        </w:tc>
        <w:tc>
          <w:tcPr>
            <w:tcW w:type="dxa" w:w="208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DuckDB</w:t>
            </w:r>
          </w:p>
        </w:tc>
      </w:tr>
      <w:tr>
        <w:trPr>
          <w:tblHeader w:val="false"/>
        </w:trPr>
        <w:tc>
          <w:tcPr>
            <w:tcW w:type="dxa" w:w="417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Кадр данных</w:t>
            </w:r>
          </w:p>
        </w:tc>
        <w:tc>
          <w:tcPr>
            <w:tcW w:type="dxa" w:w="333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27.6 мс</w:t>
            </w:r>
          </w:p>
        </w:tc>
        <w:tc>
          <w:tcPr>
            <w:tcW w:type="dxa" w:w="208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39.8 мс</w:t>
            </w:r>
          </w:p>
        </w:tc>
      </w:tr>
      <w:tr>
        <w:trPr>
          <w:tblHeader w:val="false"/>
        </w:trPr>
        <w:tc>
          <w:tcPr>
            <w:tcW w:type="dxa" w:w="417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Кортежи языка Python</w:t>
            </w:r>
          </w:p>
        </w:tc>
        <w:tc>
          <w:tcPr>
            <w:tcW w:type="dxa" w:w="333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73.3 мс</w:t>
            </w:r>
          </w:p>
        </w:tc>
        <w:tc>
          <w:tcPr>
            <w:tcW w:type="dxa" w:w="208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191.2 мс</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Различие велико и в обе стороны, поэтому сравнивать системы в разных форматах недопустимо: такой замер измеряет не движок, а способ упаковки ответа. В настоящей работе обе системы всюду запрашивались в одинаковом формате.</w:t>
      </w:r>
    </w:p>
    <w:p>
      <w:pPr>
        <w:spacing w:after="120" w:before="0" w:line="300"/>
        <w:ind w:firstLine="567"/>
        <w:jc w:val="both"/>
      </w:pPr>
      <w:r>
        <w:rPr>
          <w:rFonts w:ascii="Times New Roman" w:cs="Times New Roman" w:eastAsia="Times New Roman" w:hAnsi="Times New Roman"/>
          <w:sz w:val="24"/>
          <w:szCs w:val="24"/>
        </w:rPr>
        <w:t xml:space="preserve">Отметим и результат, полученный при подготовке этого замера. Первоначально построение кадра данных занимало 238 мс — результат собирался из кортежей языка. После перехода к хранению результата </w:t>
      </w:r>
      <w:r>
        <w:rPr>
          <w:rFonts w:ascii="Times New Roman" w:cs="Times New Roman" w:eastAsia="Times New Roman" w:hAnsi="Times New Roman"/>
          <w:sz w:val="24"/>
          <w:szCs w:val="24"/>
        </w:rPr>
        <w:t xml:space="preserve">по столбцам</w:t>
      </w:r>
      <w:r>
        <w:rPr>
          <w:rFonts w:ascii="Times New Roman" w:cs="Times New Roman" w:eastAsia="Times New Roman" w:hAnsi="Times New Roman"/>
          <w:sz w:val="24"/>
          <w:szCs w:val="24"/>
        </w:rPr>
        <w:t xml:space="preserve"> с ленивой сборкой строк время сократилось до 27.6 мс, то есть в 8.6 раза. Это иллюстрирует общее наблюдение: на запросах с широкой выдачей узким местом становится не алгебра, а представление результата.</w:t>
      </w:r>
    </w:p>
    <w:p>
      <w:pPr>
        <w:pStyle w:val="Heading2"/>
        <w:spacing w:after="160" w:before="240"/>
      </w:pPr>
      <w:r>
        <w:rPr>
          <w:rFonts w:ascii="Times New Roman" w:cs="Times New Roman" w:eastAsia="Times New Roman" w:hAnsi="Times New Roman"/>
          <w:b/>
          <w:bCs/>
          <w:sz w:val="24"/>
          <w:szCs w:val="24"/>
        </w:rPr>
        <w:t xml:space="preserve">4.8. Точность</w:t>
      </w:r>
    </w:p>
    <w:p>
      <w:pPr>
        <w:spacing w:after="120" w:before="0" w:line="300"/>
        <w:ind w:firstLine="567"/>
        <w:jc w:val="both"/>
      </w:pPr>
      <w:r>
        <w:rPr>
          <w:rFonts w:ascii="Times New Roman" w:cs="Times New Roman" w:eastAsia="Times New Roman" w:hAnsi="Times New Roman"/>
          <w:sz w:val="24"/>
          <w:szCs w:val="24"/>
        </w:rPr>
        <w:t xml:space="preserve">Свёртка есть сумма произведений, поэтому точность определяется точностью суммирования. Измерение на сумме 10⁷ случайных слагаемых дало относительную погрешность 9.1·10⁻⁷ для одинарной точности и менее 10⁻¹⁵ для двойной. Погрешность 10⁻⁷ на агрегате порядка 10⁴ даёт абсолютное расхождение около 10⁻³, что для денежных мер неприемлемо, поэтому по умолчанию используется двойная точность.</w:t>
      </w:r>
    </w:p>
    <w:p>
      <w:pPr>
        <w:pStyle w:val="Heading2"/>
        <w:spacing w:after="160" w:before="240"/>
      </w:pPr>
      <w:r>
        <w:rPr>
          <w:rFonts w:ascii="Times New Roman" w:cs="Times New Roman" w:eastAsia="Times New Roman" w:hAnsi="Times New Roman"/>
          <w:b/>
          <w:bCs/>
          <w:sz w:val="24"/>
          <w:szCs w:val="24"/>
        </w:rPr>
        <w:t xml:space="preserve">4.9. Проверка правила выбора оси дробления</w:t>
      </w:r>
    </w:p>
    <w:p>
      <w:pPr>
        <w:spacing w:after="120" w:before="0" w:line="300"/>
        <w:ind w:firstLine="567"/>
        <w:jc w:val="both"/>
      </w:pPr>
      <w:r>
        <w:rPr>
          <w:rFonts w:ascii="Times New Roman" w:cs="Times New Roman" w:eastAsia="Times New Roman" w:hAnsi="Times New Roman"/>
          <w:sz w:val="24"/>
          <w:szCs w:val="24"/>
        </w:rPr>
        <w:t xml:space="preserve">Правило из §3.4 — резать по скоттовой оси, а не по свободной — выведено из утверждения работы [6] и потому нуждается в самостоятельной проверке. Измерялось разбиение свёртки A[l, s, c] ∗(1,1) B[s, c, m] между четырьмя узлами, где оси l и m свободны, а ось s скоттова. Мощности всех осей 200, кроме кэлиевой (120); каждый сомножитель занимает 36.6 МиБ. Для каждой оси разбиения фиксировался объём пересылок — суммарный размер полезных нагрузок, которые получат узлы, — и время их фактической подготовки: узел не может считать по чужому срезу, срез нужно выделить и скопировать. Результаты в табл. 14.</w:t>
      </w:r>
    </w:p>
    <w:p>
      <w:pPr>
        <w:spacing w:after="100" w:before="200" w:line="300"/>
      </w:pPr>
      <w:r>
        <w:rPr>
          <w:rFonts w:ascii="Times New Roman" w:cs="Times New Roman" w:eastAsia="Times New Roman" w:hAnsi="Times New Roman"/>
          <w:i/>
          <w:iCs/>
          <w:sz w:val="24"/>
          <w:szCs w:val="24"/>
        </w:rPr>
        <w:t xml:space="preserve">Таблица 14 — Цена разбиения по осям разного типа, четыре узла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57"/>
        <w:gridCol w:w="1388"/>
        <w:gridCol w:w="1619"/>
        <w:gridCol w:w="1157"/>
        <w:gridCol w:w="1504"/>
        <w:gridCol w:w="1619"/>
        <w:gridCol w:w="1157"/>
      </w:tblGrid>
      <w:tr>
        <w:trPr>
          <w:tblHeader/>
        </w:trPr>
        <w:tc>
          <w:tcPr>
            <w:tcW w:type="dxa" w:w="115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Ось</w:t>
            </w:r>
          </w:p>
        </w:tc>
        <w:tc>
          <w:tcPr>
            <w:tcW w:type="dxa" w:w="1388"/>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Роль</w:t>
            </w:r>
          </w:p>
        </w:tc>
        <w:tc>
          <w:tcPr>
            <w:tcW w:type="dxa" w:w="161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Переслано, МиБ</w:t>
            </w:r>
          </w:p>
        </w:tc>
        <w:tc>
          <w:tcPr>
            <w:tcW w:type="dxa" w:w="115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Рост</w:t>
            </w:r>
          </w:p>
        </w:tc>
        <w:tc>
          <w:tcPr>
            <w:tcW w:type="dxa" w:w="1504"/>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Реплицируется</w:t>
            </w:r>
          </w:p>
        </w:tc>
        <w:tc>
          <w:tcPr>
            <w:tcW w:type="dxa" w:w="161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Подготовка, мс</w:t>
            </w:r>
          </w:p>
        </w:tc>
        <w:tc>
          <w:tcPr>
            <w:tcW w:type="dxa" w:w="115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Счёт, мс</w:t>
            </w:r>
          </w:p>
        </w:tc>
      </w:tr>
      <w:tr>
        <w:trPr>
          <w:tblHeader w:val="false"/>
        </w:trPr>
        <w:tc>
          <w:tcPr>
            <w:tcW w:type="dxa" w:w="1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s</w:t>
            </w:r>
          </w:p>
        </w:tc>
        <w:tc>
          <w:tcPr>
            <w:tcW w:type="dxa" w:w="1388"/>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скоттова (λ)</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73.2</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1.00×</w:t>
            </w:r>
          </w:p>
        </w:tc>
        <w:tc>
          <w:tcPr>
            <w:tcW w:type="dxa" w:w="150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ничего</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5.5</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34.8</w:t>
            </w:r>
          </w:p>
        </w:tc>
      </w:tr>
      <w:tr>
        <w:trPr>
          <w:tblHeader w:val="false"/>
        </w:trPr>
        <w:tc>
          <w:tcPr>
            <w:tcW w:type="dxa" w:w="1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l</w:t>
            </w:r>
          </w:p>
        </w:tc>
        <w:tc>
          <w:tcPr>
            <w:tcW w:type="dxa" w:w="1388"/>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свободная</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183.1</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2.50×</w:t>
            </w:r>
          </w:p>
        </w:tc>
        <w:tc>
          <w:tcPr>
            <w:tcW w:type="dxa" w:w="150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B целиком</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0.0</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50.6</w:t>
            </w:r>
          </w:p>
        </w:tc>
      </w:tr>
      <w:tr>
        <w:trPr>
          <w:tblHeader w:val="false"/>
        </w:trPr>
        <w:tc>
          <w:tcPr>
            <w:tcW w:type="dxa" w:w="115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w:t>
            </w:r>
          </w:p>
        </w:tc>
        <w:tc>
          <w:tcPr>
            <w:tcW w:type="dxa" w:w="1388"/>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свободная</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183.1</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2.50×</w:t>
            </w:r>
          </w:p>
        </w:tc>
        <w:tc>
          <w:tcPr>
            <w:tcW w:type="dxa" w:w="1504"/>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A целиком</w:t>
            </w:r>
          </w:p>
        </w:tc>
        <w:tc>
          <w:tcPr>
            <w:tcW w:type="dxa" w:w="1619"/>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7.7</w:t>
            </w:r>
          </w:p>
        </w:tc>
        <w:tc>
          <w:tcPr>
            <w:tcW w:type="dxa" w:w="1157"/>
            <w:tcMar>
              <w:top w:type="dxa" w:w="60"/>
              <w:left w:type="dxa" w:w="100"/>
              <w:bottom w:type="dxa" w:w="60"/>
              <w:right w:type="dxa" w:w="100"/>
            </w:tcMar>
          </w:tcPr>
          <w:p>
            <w:pPr>
              <w:spacing w:after="0" w:line="260"/>
              <w:jc w:val="right"/>
            </w:pPr>
            <w:r>
              <w:rPr>
                <w:rFonts w:ascii="Times New Roman" w:cs="Times New Roman" w:eastAsia="Times New Roman" w:hAnsi="Times New Roman"/>
                <w:b w:val="false"/>
                <w:bCs w:val="false"/>
                <w:sz w:val="22"/>
                <w:szCs w:val="22"/>
              </w:rPr>
              <w:t xml:space="preserve">35.7</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Результат во всех трёх случаях совпал с монолитной свёрткой, то есть выбор оси влияет на цену, а не на ответ, — как и должно быть по следствию 1.</w:t>
      </w:r>
    </w:p>
    <w:p>
      <w:pPr>
        <w:spacing w:after="120" w:before="0" w:line="300"/>
        <w:ind w:firstLine="567"/>
        <w:jc w:val="both"/>
      </w:pPr>
      <w:r>
        <w:rPr>
          <w:rFonts w:ascii="Times New Roman" w:cs="Times New Roman" w:eastAsia="Times New Roman" w:hAnsi="Times New Roman"/>
          <w:sz w:val="24"/>
          <w:szCs w:val="24"/>
        </w:rPr>
        <w:t xml:space="preserve">По объёму пересылок правило подтверждается прямо: разбиение по скоттовой оси режет оба сомножителя, и суммарный объём равен объёму данных; разбиение по любой из свободных осей вынуждает реплицировать второй сомножитель на все узлы, и объём растёт в 2.5 раза при четырёх узлах — с ростом их числа отношение стремится к удвоению.</w:t>
      </w:r>
    </w:p>
    <w:p>
      <w:pPr>
        <w:spacing w:after="120" w:before="0" w:line="300"/>
        <w:ind w:firstLine="567"/>
        <w:jc w:val="both"/>
      </w:pPr>
      <w:r>
        <w:rPr>
          <w:rFonts w:ascii="Times New Roman" w:cs="Times New Roman" w:eastAsia="Times New Roman" w:hAnsi="Times New Roman"/>
          <w:sz w:val="24"/>
          <w:szCs w:val="24"/>
        </w:rPr>
        <w:t xml:space="preserve">Времена счёта, напротив, оказались одного порядка, и это заслуживает пояснения, поскольку до исправления, описанного в §4.6, картина была иной: разбиение по скоттовой оси считалось вшестеро быстрее. Причина того разрыва была не в выборе оси, а в том, что скоттово разбиение </w:t>
      </w:r>
      <w:r>
        <w:rPr>
          <w:rFonts w:ascii="Times New Roman" w:cs="Times New Roman" w:eastAsia="Times New Roman" w:hAnsi="Times New Roman"/>
          <w:sz w:val="24"/>
          <w:szCs w:val="24"/>
        </w:rPr>
        <w:t xml:space="preserve">делало применимым</w:t>
      </w:r>
      <w:r>
        <w:rPr>
          <w:rFonts w:ascii="Times New Roman" w:cs="Times New Roman" w:eastAsia="Times New Roman" w:hAnsi="Times New Roman"/>
          <w:sz w:val="24"/>
          <w:szCs w:val="24"/>
        </w:rPr>
        <w:t xml:space="preserve"> разложение на сечения, тогда как свободное оставляло узел на медленном непакетном пути einsum. После того как разложение на сечения внесено в само ядро, узел получает его при любом разбиении, и различие в счёте исчезло. Тем самым выбор оси и разложение на сечения разделились: первое — вопрос пересылок, второе — вопрос внутриузловой арифметики. Оба, однако, имеют общий источник — наличие скоттовых индексов, — и оба следуют из одного и того же утверждения работы [6].</w:t>
      </w:r>
    </w:p>
    <w:p>
      <w:pPr>
        <w:pStyle w:val="Heading1"/>
        <w:spacing w:after="160" w:before="320"/>
      </w:pPr>
      <w:r>
        <w:rPr>
          <w:rFonts w:ascii="Times New Roman" w:cs="Times New Roman" w:eastAsia="Times New Roman" w:hAnsi="Times New Roman"/>
          <w:b/>
          <w:bCs/>
          <w:sz w:val="26"/>
          <w:szCs w:val="26"/>
        </w:rPr>
        <w:t xml:space="preserve">5. Обобщение на полукольца</w:t>
      </w:r>
    </w:p>
    <w:p>
      <w:pPr>
        <w:spacing w:after="120" w:before="0" w:line="300"/>
        <w:ind w:firstLine="567"/>
        <w:jc w:val="both"/>
      </w:pPr>
      <w:r>
        <w:rPr>
          <w:rFonts w:ascii="Times New Roman" w:cs="Times New Roman" w:eastAsia="Times New Roman" w:hAnsi="Times New Roman"/>
          <w:sz w:val="24"/>
          <w:szCs w:val="24"/>
        </w:rPr>
        <w:t xml:space="preserve">Все доказательства предыдущих разделов используют лишь аксиомы коммутативного полукольца: ассоциативность и коммутативность обеих операций, дистрибутивность умножения над сложением, свойства нейтральных элементов. Существование обратного по сложению не используется нигде.</w:t>
      </w:r>
    </w:p>
    <w:p>
      <w:pPr>
        <w:spacing w:after="120" w:before="0" w:line="300"/>
        <w:ind w:firstLine="567"/>
        <w:jc w:val="both"/>
      </w:pPr>
      <w:r>
        <w:rPr>
          <w:rFonts w:ascii="Times New Roman" w:cs="Times New Roman" w:eastAsia="Times New Roman" w:hAnsi="Times New Roman"/>
          <w:sz w:val="24"/>
          <w:szCs w:val="24"/>
        </w:rPr>
        <w:t xml:space="preserve">Предложение 2.</w:t>
      </w:r>
      <w:r>
        <w:rPr>
          <w:rFonts w:ascii="Times New Roman" w:cs="Times New Roman" w:eastAsia="Times New Roman" w:hAnsi="Times New Roman"/>
          <w:sz w:val="24"/>
          <w:szCs w:val="24"/>
        </w:rPr>
        <w:t xml:space="preserve"> Определение (λ, μ)-свёрнутого произведения корректно, а теоремы 1 и 2 со следствием справедливы над любым коммутативным полукольцом.</w:t>
      </w:r>
    </w:p>
    <w:p>
      <w:pPr>
        <w:spacing w:after="120" w:before="0" w:line="300"/>
        <w:ind w:firstLine="567"/>
        <w:jc w:val="both"/>
      </w:pPr>
      <w:r>
        <w:rPr>
          <w:rFonts w:ascii="Times New Roman" w:cs="Times New Roman" w:eastAsia="Times New Roman" w:hAnsi="Times New Roman"/>
          <w:sz w:val="24"/>
          <w:szCs w:val="24"/>
        </w:rPr>
        <w:t xml:space="preserve">Это даёт формально корректное место агрегатам, невыразимым над парой сложения и умножения (табл. 15).</w:t>
      </w:r>
    </w:p>
    <w:p>
      <w:pPr>
        <w:spacing w:after="100" w:before="200" w:line="300"/>
      </w:pPr>
      <w:r>
        <w:rPr>
          <w:rFonts w:ascii="Times New Roman" w:cs="Times New Roman" w:eastAsia="Times New Roman" w:hAnsi="Times New Roman"/>
          <w:i/>
          <w:iCs/>
          <w:sz w:val="24"/>
          <w:szCs w:val="24"/>
        </w:rPr>
        <w:t xml:space="preserve">Таблица 15 — Свёрнутое произведение над различными полукольцами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71"/>
        <w:gridCol w:w="3017"/>
        <w:gridCol w:w="5211"/>
      </w:tblGrid>
      <w:tr>
        <w:trPr>
          <w:tblHeader/>
        </w:trPr>
        <w:tc>
          <w:tcPr>
            <w:tcW w:type="dxa" w:w="137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Полукольцо</w:t>
            </w:r>
          </w:p>
        </w:tc>
        <w:tc>
          <w:tcPr>
            <w:tcW w:type="dxa" w:w="3017"/>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Носитель</w:t>
            </w:r>
          </w:p>
        </w:tc>
        <w:tc>
          <w:tcPr>
            <w:tcW w:type="dxa" w:w="521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Смысл операции</w:t>
            </w:r>
          </w:p>
        </w:tc>
      </w:tr>
      <w:tr>
        <w:trPr>
          <w:tblHeader w:val="false"/>
        </w:trPr>
        <w:tc>
          <w:tcPr>
            <w:tcW w:type="dxa" w:w="137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 ·)</w:t>
            </w:r>
          </w:p>
        </w:tc>
        <w:tc>
          <w:tcPr>
            <w:tcW w:type="dxa" w:w="301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ℝ</w:t>
            </w:r>
          </w:p>
        </w:tc>
        <w:tc>
          <w:tcPr>
            <w:tcW w:type="dxa" w:w="52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агрегат SUM; исходная алгебра Соколова</w:t>
            </w:r>
          </w:p>
        </w:tc>
      </w:tr>
      <w:tr>
        <w:trPr>
          <w:tblHeader w:val="false"/>
        </w:trPr>
        <w:tc>
          <w:tcPr>
            <w:tcW w:type="dxa" w:w="137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 ∧)</w:t>
            </w:r>
          </w:p>
        </w:tc>
        <w:tc>
          <w:tcPr>
            <w:tcW w:type="dxa" w:w="301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{0, 1}</w:t>
            </w:r>
          </w:p>
        </w:tc>
        <w:tc>
          <w:tcPr>
            <w:tcW w:type="dxa" w:w="52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основа агрегата COUNT DISTINCT</w:t>
            </w:r>
          </w:p>
        </w:tc>
      </w:tr>
      <w:tr>
        <w:trPr>
          <w:tblHeader w:val="false"/>
        </w:trPr>
        <w:tc>
          <w:tcPr>
            <w:tcW w:type="dxa" w:w="137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(max, ·)</w:t>
            </w:r>
          </w:p>
        </w:tc>
        <w:tc>
          <w:tcPr>
            <w:tcW w:type="dxa" w:w="301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неотрицательные ℝ</w:t>
            </w:r>
          </w:p>
        </w:tc>
        <w:tc>
          <w:tcPr>
            <w:tcW w:type="dxa" w:w="52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агрегат MAX</w:t>
            </w:r>
          </w:p>
        </w:tc>
      </w:tr>
      <w:tr>
        <w:trPr>
          <w:tblHeader w:val="false"/>
        </w:trPr>
        <w:tc>
          <w:tcPr>
            <w:tcW w:type="dxa" w:w="137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(min, ·)</w:t>
            </w:r>
          </w:p>
        </w:tc>
        <w:tc>
          <w:tcPr>
            <w:tcW w:type="dxa" w:w="301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неотрицательные ℝ с +∞</w:t>
            </w:r>
          </w:p>
        </w:tc>
        <w:tc>
          <w:tcPr>
            <w:tcW w:type="dxa" w:w="52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агрегат MIN</w:t>
            </w:r>
          </w:p>
        </w:tc>
      </w:tr>
      <w:tr>
        <w:trPr>
          <w:tblHeader w:val="false"/>
        </w:trPr>
        <w:tc>
          <w:tcPr>
            <w:tcW w:type="dxa" w:w="137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(max, +)</w:t>
            </w:r>
          </w:p>
        </w:tc>
        <w:tc>
          <w:tcPr>
            <w:tcW w:type="dxa" w:w="301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ℝ с −∞</w:t>
            </w:r>
          </w:p>
        </w:tc>
        <w:tc>
          <w:tcPr>
            <w:tcW w:type="dxa" w:w="52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критический путь</w:t>
            </w:r>
          </w:p>
        </w:tc>
      </w:tr>
      <w:tr>
        <w:trPr>
          <w:tblHeader w:val="false"/>
        </w:trPr>
        <w:tc>
          <w:tcPr>
            <w:tcW w:type="dxa" w:w="137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(min, +)</w:t>
            </w:r>
          </w:p>
        </w:tc>
        <w:tc>
          <w:tcPr>
            <w:tcW w:type="dxa" w:w="3017"/>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ℝ с +∞</w:t>
            </w:r>
          </w:p>
        </w:tc>
        <w:tc>
          <w:tcPr>
            <w:tcW w:type="dxa" w:w="52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кратчайшие пути</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Корректность обобщения подтверждается косвенно: повторное (min, +)-произведение матрицы смежности графа даёт матрицу кратчайших путей, то есть операция ведёт себя как полукольцевая, а не подогнана под нужный ответ.</w:t>
      </w:r>
    </w:p>
    <w:p>
      <w:pPr>
        <w:pStyle w:val="Heading2"/>
        <w:spacing w:after="160" w:before="240"/>
      </w:pPr>
      <w:r>
        <w:rPr>
          <w:rFonts w:ascii="Times New Roman" w:cs="Times New Roman" w:eastAsia="Times New Roman" w:hAnsi="Times New Roman"/>
          <w:b/>
          <w:bCs/>
          <w:sz w:val="24"/>
          <w:szCs w:val="24"/>
        </w:rPr>
        <w:t xml:space="preserve">5.1. Ограничение области определения</w:t>
      </w:r>
    </w:p>
    <w:p>
      <w:pPr>
        <w:spacing w:after="120" w:before="0" w:line="300"/>
        <w:ind w:firstLine="567"/>
        <w:jc w:val="both"/>
      </w:pPr>
      <w:r>
        <w:rPr>
          <w:rFonts w:ascii="Times New Roman" w:cs="Times New Roman" w:eastAsia="Times New Roman" w:hAnsi="Times New Roman"/>
          <w:sz w:val="24"/>
          <w:szCs w:val="24"/>
        </w:rPr>
        <w:t xml:space="preserve">Утверждение 3.</w:t>
      </w:r>
      <w:r>
        <w:rPr>
          <w:rFonts w:ascii="Times New Roman" w:cs="Times New Roman" w:eastAsia="Times New Roman" w:hAnsi="Times New Roman"/>
          <w:sz w:val="24"/>
          <w:szCs w:val="24"/>
        </w:rPr>
        <w:t xml:space="preserve"> Пара (max, ·) не образует полукольца на всей числовой оси: дистрибутивность нарушается на отрицательных множителях, поскольку max(2, 3)·(−1) = −3, тогда как max(2·(−1), 3·(−1)) = −2.</w:t>
      </w:r>
    </w:p>
    <w:p>
      <w:pPr>
        <w:spacing w:after="120" w:before="0" w:line="300"/>
        <w:ind w:firstLine="567"/>
        <w:jc w:val="both"/>
      </w:pPr>
      <w:r>
        <w:rPr>
          <w:rFonts w:ascii="Times New Roman" w:cs="Times New Roman" w:eastAsia="Times New Roman" w:hAnsi="Times New Roman"/>
          <w:sz w:val="24"/>
          <w:szCs w:val="24"/>
        </w:rPr>
        <w:t xml:space="preserve">Следствие 2.</w:t>
      </w:r>
      <w:r>
        <w:rPr>
          <w:rFonts w:ascii="Times New Roman" w:cs="Times New Roman" w:eastAsia="Times New Roman" w:hAnsi="Times New Roman"/>
          <w:sz w:val="24"/>
          <w:szCs w:val="24"/>
        </w:rPr>
        <w:t xml:space="preserve"> На знакопеременных данных теорема 2 для (max, ·) неверна: разные порядки свёрток дают разные ответы. Численный эксперимент на цепочке из трёх матриц с элементами из стандартного нормального распределения показал расхождение порядка 1.1 при данных единичного масштаба, тогда как на неотрицательных данных расхождение не превышало 4.4·10⁻¹⁶.</w:t>
      </w:r>
    </w:p>
    <w:p>
      <w:pPr>
        <w:spacing w:after="120" w:before="0" w:line="300"/>
        <w:ind w:firstLine="567"/>
        <w:jc w:val="both"/>
      </w:pPr>
      <w:r>
        <w:rPr>
          <w:rFonts w:ascii="Times New Roman" w:cs="Times New Roman" w:eastAsia="Times New Roman" w:hAnsi="Times New Roman"/>
          <w:sz w:val="24"/>
          <w:szCs w:val="24"/>
        </w:rPr>
        <w:t xml:space="preserve">Иными словами, на знакопеременных данных теряется корректность переписывания плана. Поэтому утверждение «MIN и MAX суть свёрнутое произведение над полукольцом» верно лишь с оговоркой о неотрицательности мер; в реализации соответствующая проверка выполняется перед вычислением. Тропические полукольца этого ограничения лишены, так как сдвиг сохраняет порядок.</w:t>
      </w:r>
    </w:p>
    <w:p>
      <w:pPr>
        <w:pStyle w:val="Heading2"/>
        <w:spacing w:after="160" w:before="240"/>
      </w:pPr>
      <w:r>
        <w:rPr>
          <w:rFonts w:ascii="Times New Roman" w:cs="Times New Roman" w:eastAsia="Times New Roman" w:hAnsi="Times New Roman"/>
          <w:b/>
          <w:bCs/>
          <w:sz w:val="24"/>
          <w:szCs w:val="24"/>
        </w:rPr>
        <w:t xml:space="preserve">5.2. Агрегат COUNT DISTINCT</w:t>
      </w:r>
    </w:p>
    <w:p>
      <w:pPr>
        <w:spacing w:after="120" w:before="0" w:line="300"/>
        <w:ind w:firstLine="567"/>
        <w:jc w:val="both"/>
      </w:pPr>
      <w:r>
        <w:rPr>
          <w:rFonts w:ascii="Times New Roman" w:cs="Times New Roman" w:eastAsia="Times New Roman" w:hAnsi="Times New Roman"/>
          <w:sz w:val="24"/>
          <w:szCs w:val="24"/>
        </w:rPr>
        <w:t xml:space="preserve">Распространено мнение, что COUNT DISTINCT принципиально не выражается в матричной модели, поскольку требует мощности множества, а не суммы. Это верно лишь для числовых полуколец.</w:t>
      </w:r>
    </w:p>
    <w:p>
      <w:pPr>
        <w:spacing w:after="120" w:before="0" w:line="300"/>
        <w:ind w:firstLine="567"/>
        <w:jc w:val="both"/>
      </w:pPr>
      <w:r>
        <w:rPr>
          <w:rFonts w:ascii="Times New Roman" w:cs="Times New Roman" w:eastAsia="Times New Roman" w:hAnsi="Times New Roman"/>
          <w:sz w:val="24"/>
          <w:szCs w:val="24"/>
        </w:rPr>
        <w:t xml:space="preserve">Предложение 3.</w:t>
      </w:r>
      <w:r>
        <w:rPr>
          <w:rFonts w:ascii="Times New Roman" w:cs="Times New Roman" w:eastAsia="Times New Roman" w:hAnsi="Times New Roman"/>
          <w:sz w:val="24"/>
          <w:szCs w:val="24"/>
        </w:rPr>
        <w:t xml:space="preserve"> Пусть A — гиперкуб факта, d — одна из его осей, G — набор осей группировки, не содержащий d. Тогда COUNT(DISTINCT d) с группировкой по G вычисляется композицией двух свёрнутых произведений: сначала (0, μ)-свёртка индикатора [A ≠ 0̄] над булевым полукольцом ({0,1}, ∨, ∧) по осям, не входящим ни в G, ни в {d}; затем (0,1)-свёртка результата с матрицей из единиц над (+, ·) по оси d.</w:t>
      </w:r>
    </w:p>
    <w:p>
      <w:pPr>
        <w:spacing w:after="120" w:before="0" w:line="300"/>
        <w:ind w:firstLine="567"/>
        <w:jc w:val="both"/>
      </w:pPr>
      <w:r>
        <w:rPr>
          <w:rFonts w:ascii="Times New Roman" w:cs="Times New Roman" w:eastAsia="Times New Roman" w:hAnsi="Times New Roman"/>
          <w:sz w:val="24"/>
          <w:szCs w:val="24"/>
        </w:rPr>
        <w:t xml:space="preserve">Доказательство.</w:t>
      </w:r>
      <w:r>
        <w:rPr>
          <w:rFonts w:ascii="Times New Roman" w:cs="Times New Roman" w:eastAsia="Times New Roman" w:hAnsi="Times New Roman"/>
          <w:sz w:val="24"/>
          <w:szCs w:val="24"/>
        </w:rPr>
        <w:t xml:space="preserve"> Первая свёртка даёт величину, равную единице тогда и только тогда, когда для данной комбинации значений G и d существует хотя бы одна непустая ячейка, то есть индикатор присутствия значения. Вторая свёртка суммирует эти индикаторы по оси d, что и есть число различных присутствующих значений. ∎</w:t>
      </w:r>
    </w:p>
    <w:p>
      <w:pPr>
        <w:spacing w:after="120" w:before="0" w:line="300"/>
        <w:ind w:firstLine="567"/>
        <w:jc w:val="both"/>
      </w:pPr>
      <w:r>
        <w:rPr>
          <w:rFonts w:ascii="Times New Roman" w:cs="Times New Roman" w:eastAsia="Times New Roman" w:hAnsi="Times New Roman"/>
          <w:sz w:val="24"/>
          <w:szCs w:val="24"/>
        </w:rPr>
        <w:t xml:space="preserve">Стоимость по памяти заслуживает отдельного замечания, поскольку буквальное следование доказательству дорого. Свёртка над (∨, ∧) не сводится к BLAS и в общем пути вычисляется широковещательным произведением с последующей редукцией, что материализует промежуточный массив размером с сам гиперкуб; вместе с приведением индикатора к числовому типу это давало </w:t>
      </w:r>
      <w:r>
        <w:rPr>
          <w:rFonts w:ascii="Times New Roman" w:cs="Times New Roman" w:eastAsia="Times New Roman" w:hAnsi="Times New Roman"/>
          <w:sz w:val="24"/>
          <w:szCs w:val="24"/>
        </w:rPr>
        <w:t xml:space="preserve">троекратный</w:t>
      </w:r>
      <w:r>
        <w:rPr>
          <w:rFonts w:ascii="Times New Roman" w:cs="Times New Roman" w:eastAsia="Times New Roman" w:hAnsi="Times New Roman"/>
          <w:sz w:val="24"/>
          <w:szCs w:val="24"/>
        </w:rPr>
        <w:t xml:space="preserve"> расход памяти сверх куба (замер: 5.0 МиБ дополнительно при кубе 1.65 МиБ против 0.07 МиБ у обычного SUM). Между тем свёртка с матрицей единиц над (∨, ∧) поэлементно совпадает с прямой ∨-редукцией по тем же осям, а индикатор до самой редукции может оставаться булевым — по байту на ячейку вместо восьми. После обеих поправок дополнительный расход составил 1.87 МиБ, то есть порядка одного размера куба вместо трёх, при том же результате. Это частный случай общего замечания к §5, приведённого ниже: полукольцевая формулировка задаёт смысл операции, а исполняется она наиболее дешёвым эквивалентным способом.</w:t>
      </w:r>
    </w:p>
    <w:p>
      <w:pPr>
        <w:spacing w:after="120" w:before="0" w:line="300"/>
        <w:ind w:firstLine="567"/>
        <w:jc w:val="both"/>
      </w:pPr>
      <w:r>
        <w:rPr>
          <w:rFonts w:ascii="Times New Roman" w:cs="Times New Roman" w:eastAsia="Times New Roman" w:hAnsi="Times New Roman"/>
          <w:sz w:val="24"/>
          <w:szCs w:val="24"/>
        </w:rPr>
        <w:t xml:space="preserve">Существенное ограничение: различаются значения измерения, то есть координаты по оси. Для DISTINCT по произвольной мере потребовалось бы вынести область её значений в отдельную ось, чего модель данных не предусматривает. Реализация поддерживает первый случай и отклоняет второй с объяснением. Результаты сверены с построчным вычислением на нескольких наборах данных.</w:t>
      </w:r>
    </w:p>
    <w:p>
      <w:pPr>
        <w:spacing w:after="120" w:before="0" w:line="300"/>
        <w:ind w:firstLine="567"/>
        <w:jc w:val="both"/>
      </w:pPr>
      <w:r>
        <w:rPr>
          <w:rFonts w:ascii="Times New Roman" w:cs="Times New Roman" w:eastAsia="Times New Roman" w:hAnsi="Times New Roman"/>
          <w:sz w:val="24"/>
          <w:szCs w:val="24"/>
        </w:rPr>
        <w:t xml:space="preserve">Практическое замечание к §5 в целом: einsum и BLAS реализуют лишь пару сложения и умножения, поэтому прочие полукольца вычисляются широковещательным произведением с последующей редукцией, требующим материализации промежуточного массива. В исполнителе запросов агрегаты MIN и MAX по этой причине вычисляются прямой редукцией. Полукольцевая реализация служит обоснованием модели, а не рабочим путём.</w:t>
      </w:r>
    </w:p>
    <w:p>
      <w:pPr>
        <w:pStyle w:val="Heading1"/>
        <w:spacing w:after="160" w:before="320"/>
      </w:pPr>
      <w:r>
        <w:rPr>
          <w:rFonts w:ascii="Times New Roman" w:cs="Times New Roman" w:eastAsia="Times New Roman" w:hAnsi="Times New Roman"/>
          <w:b/>
          <w:bCs/>
          <w:sz w:val="26"/>
          <w:szCs w:val="26"/>
        </w:rPr>
        <w:t xml:space="preserve">6. Ограничения модели</w:t>
      </w:r>
    </w:p>
    <w:p>
      <w:pPr>
        <w:spacing w:after="120" w:before="0" w:line="300"/>
        <w:ind w:firstLine="567"/>
        <w:jc w:val="both"/>
      </w:pPr>
      <w:r>
        <w:rPr>
          <w:rFonts w:ascii="Times New Roman" w:cs="Times New Roman" w:eastAsia="Times New Roman" w:hAnsi="Times New Roman"/>
          <w:sz w:val="24"/>
          <w:szCs w:val="24"/>
        </w:rPr>
        <w:t xml:space="preserve">Границы применимости очерчиваются столь же строго, как и возможности (табл. 16).</w:t>
      </w:r>
    </w:p>
    <w:p>
      <w:pPr>
        <w:spacing w:after="100" w:before="200" w:line="300"/>
      </w:pPr>
      <w:r>
        <w:rPr>
          <w:rFonts w:ascii="Times New Roman" w:cs="Times New Roman" w:eastAsia="Times New Roman" w:hAnsi="Times New Roman"/>
          <w:i/>
          <w:iCs/>
          <w:sz w:val="24"/>
          <w:szCs w:val="24"/>
        </w:rPr>
        <w:t xml:space="preserve">Таблица 16 — Что не выражается в модели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11"/>
        <w:gridCol w:w="5189"/>
      </w:tblGrid>
      <w:tr>
        <w:trPr>
          <w:tblHeader/>
        </w:trPr>
        <w:tc>
          <w:tcPr>
            <w:tcW w:type="dxa" w:w="4411"/>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Конструкция</w:t>
            </w:r>
          </w:p>
        </w:tc>
        <w:tc>
          <w:tcPr>
            <w:tcW w:type="dxa" w:w="5189"/>
            <w:shd w:fill="EFEFEF" w:val="clear"/>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2"/>
                <w:szCs w:val="22"/>
              </w:rPr>
              <w:t xml:space="preserve">Причина</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MIN, MAX над (+, ·)</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Доказано утверждением 2; выражаются над (max, ·) при неотрицательных мерах</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COUNT DISTINCT по мере</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Требует вынесения области значений меры в отдельную ось; по измерению — выражается (предложение 3)</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ORDER BY, LIMIT, HAVING</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Операции над результирующей таблицей, а не над гиперкубами; вне алгебры по природе</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Объединение, разность, θ-соединения</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реализованы; соединение возможно лишь по совпадению имён измерений</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MIN, MAX и COUNT DISTINCT по соединению двух фактов</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Отклоняются с объяснением: обе конструкции суть редукции над одним кубом, а не свёртки, и на произведение кубов не переносятся. SUM, COUNT и AVG по такому соединению поддержаны</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Коррелированные подзапросы</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реализованы; поддержан лишь простой подзапрос в условии принадлежности</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Изменение данных (UPDATE, DELETE)</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Не реализовано. Поддержана дозагрузка добавлением: словари измерений расширяются в конец, новые меры прибавляются к существующим ячейкам, версия куба увеличивается. Точечное изменение меры потребовало бы вычитания прежнего вклада из ячейки, что при ⊕-схлопывании слоя восстановимо лишь при выполнении условия предложения 1; удаление кортежа неразрешимо и в этом случае, если полукольцо не имеет обратного по сложению. Повторная загрузка того же факта перестраивает гиперкуб целиком</w:t>
            </w:r>
          </w:p>
        </w:tc>
      </w:tr>
      <w:tr>
        <w:trPr>
          <w:tblHeader w:val="false"/>
        </w:trPr>
        <w:tc>
          <w:tcPr>
            <w:tcW w:type="dxa" w:w="4411"/>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Изоморфизм моделей в общем случае</w:t>
            </w:r>
          </w:p>
        </w:tc>
        <w:tc>
          <w:tcPr>
            <w:tcW w:type="dxa" w:w="5189"/>
            <w:tcMar>
              <w:top w:type="dxa" w:w="60"/>
              <w:left w:type="dxa" w:w="100"/>
              <w:bottom w:type="dxa" w:w="60"/>
              <w:right w:type="dxa" w:w="100"/>
            </w:tcMar>
          </w:tcPr>
          <w:p>
            <w:pPr>
              <w:spacing w:after="0" w:line="260"/>
              <w:jc w:val="left"/>
            </w:pPr>
            <w:r>
              <w:rPr>
                <w:rFonts w:ascii="Times New Roman" w:cs="Times New Roman" w:eastAsia="Times New Roman" w:hAnsi="Times New Roman"/>
                <w:b w:val="false"/>
                <w:bCs w:val="false"/>
                <w:sz w:val="22"/>
                <w:szCs w:val="22"/>
              </w:rPr>
              <w:t xml:space="preserve">Имеет место лишь при условии предложения 1</w:t>
            </w:r>
          </w:p>
        </w:tc>
      </w:tr>
    </w:tbl>
    <w:p>
      <w:pPr>
        <w:spacing w:after="120"/>
      </w:pPr>
    </w:p>
    <w:p>
      <w:pPr>
        <w:spacing w:after="120" w:before="0" w:line="300"/>
        <w:ind w:firstLine="567"/>
        <w:jc w:val="both"/>
      </w:pPr>
      <w:r>
        <w:rPr>
          <w:rFonts w:ascii="Times New Roman" w:cs="Times New Roman" w:eastAsia="Times New Roman" w:hAnsi="Times New Roman"/>
          <w:sz w:val="24"/>
          <w:szCs w:val="24"/>
        </w:rPr>
        <w:t xml:space="preserve">К этому добавляется ограничение, общее для всей многомерно-матричной модели и теперь измеренное количественно (§4.4): время свёртки определяется числом ячеек гиперкуба, а не числом фактов, поэтому подход выгоден, лишь пока на ячейку приходится порядка одного факта и более. При 0.25 факта на ячейку преимущество на простых агрегациях теряется, а поскольку число ячеек есть произведение мощностей измерений, требование к схеме получается жёстким: измерения должны быть достаточно грубыми. Это, а не разреженность как таковая, и есть настоящая граница применимости подхода.</w:t>
      </w:r>
    </w:p>
    <w:p>
      <w:pPr>
        <w:pStyle w:val="Heading1"/>
        <w:spacing w:after="160" w:before="320"/>
      </w:pPr>
      <w:r>
        <w:rPr>
          <w:rFonts w:ascii="Times New Roman" w:cs="Times New Roman" w:eastAsia="Times New Roman" w:hAnsi="Times New Roman"/>
          <w:b/>
          <w:bCs/>
          <w:sz w:val="26"/>
          <w:szCs w:val="26"/>
        </w:rPr>
        <w:t xml:space="preserve">Заключение</w:t>
      </w:r>
    </w:p>
    <w:p>
      <w:pPr>
        <w:spacing w:after="120" w:before="0" w:line="300"/>
        <w:ind w:firstLine="567"/>
        <w:jc w:val="both"/>
      </w:pPr>
      <w:r>
        <w:rPr>
          <w:rFonts w:ascii="Times New Roman" w:cs="Times New Roman" w:eastAsia="Times New Roman" w:hAnsi="Times New Roman"/>
          <w:sz w:val="24"/>
          <w:szCs w:val="24"/>
        </w:rPr>
        <w:t xml:space="preserve">Построена и измерена программная реализация алгебраической машины баз данных на (λ, μ)-свёрнутом произведении многомерных матриц.</w:t>
      </w:r>
    </w:p>
    <w:p>
      <w:pPr>
        <w:spacing w:after="120" w:before="0" w:line="300"/>
        <w:ind w:firstLine="567"/>
        <w:jc w:val="both"/>
      </w:pPr>
      <w:r>
        <w:rPr>
          <w:rFonts w:ascii="Times New Roman" w:cs="Times New Roman" w:eastAsia="Times New Roman" w:hAnsi="Times New Roman"/>
          <w:sz w:val="24"/>
          <w:szCs w:val="24"/>
        </w:rPr>
        <w:t xml:space="preserve">1. Реализуемая операция сверена с опубликованной задачей о построении маршрутов в графе [7], где ответ известен независимо: (1, 0)-степени матрицы смежности совпали с полным перебором маршрутов на пяти шагах подряд. Сверка фиксирует порядок параметров в обозначении (λ, μ), который никаким замером производительности не проверяется.</w:t>
      </w:r>
    </w:p>
    <w:p>
      <w:pPr>
        <w:spacing w:after="80" w:line="280"/>
        <w:ind w:left="340" w:hanging="340"/>
        <w:jc w:val="both"/>
      </w:pPr>
      <w:r>
        <w:rPr>
          <w:rFonts w:ascii="Times New Roman" w:cs="Times New Roman" w:eastAsia="Times New Roman" w:hAnsi="Times New Roman"/>
          <w:sz w:val="22"/>
          <w:szCs w:val="22"/>
        </w:rPr>
        <w:t xml:space="preserve">2. Установлено соответствие ролей индексов свёрнутого произведения конструкциям языка запросов: λ-индексы отвечают соединению с сохранением ключа группировки, μ-индексы — соединению с последующей агрегацией. Условие отбора, свёртка по иерархии, оконная функция и ограничение доступа выражаются добавлением операнда в ту же свёртку, а не отдельными проходами по данным.</w:t>
      </w:r>
    </w:p>
    <w:p>
      <w:pPr>
        <w:spacing w:after="120" w:before="0" w:line="300"/>
        <w:ind w:firstLine="567"/>
        <w:jc w:val="both"/>
      </w:pPr>
      <w:r>
        <w:rPr>
          <w:rFonts w:ascii="Times New Roman" w:cs="Times New Roman" w:eastAsia="Times New Roman" w:hAnsi="Times New Roman"/>
          <w:sz w:val="24"/>
          <w:szCs w:val="24"/>
        </w:rPr>
        <w:t xml:space="preserve">3. Доказана теорема о разложении многооперандного стягивания в композицию бинарных свёрнутых произведений; из неё следует независимость результата от порядка свёрток и корректность оптимизации плана. Выигрыш от выбора порядка достигает сорока раз на типовом запросе.</w:t>
      </w:r>
    </w:p>
    <w:p>
      <w:pPr>
        <w:spacing w:after="80" w:line="280"/>
        <w:ind w:left="340" w:hanging="340"/>
        <w:jc w:val="both"/>
      </w:pPr>
      <w:r>
        <w:rPr>
          <w:rFonts w:ascii="Times New Roman" w:cs="Times New Roman" w:eastAsia="Times New Roman" w:hAnsi="Times New Roman"/>
          <w:sz w:val="22"/>
          <w:szCs w:val="22"/>
        </w:rPr>
        <w:t xml:space="preserve">4. Найдено точное условие обратимости отображения отношения в гиперкуб — набор измерений должен быть ключом отношения фактов. Отсюда следует, что соответствие реляционной и многомерно-матричной моделей в общем случае является гомоморфизмом, но не изоморфизмом, и объясняется различие гранулярности агрегатов MIN и MAX.</w:t>
      </w:r>
    </w:p>
    <w:p>
      <w:pPr>
        <w:spacing w:after="80" w:line="280"/>
        <w:ind w:left="340" w:hanging="340"/>
        <w:jc w:val="both"/>
      </w:pPr>
      <w:r>
        <w:rPr>
          <w:rFonts w:ascii="Times New Roman" w:cs="Times New Roman" w:eastAsia="Times New Roman" w:hAnsi="Times New Roman"/>
          <w:sz w:val="22"/>
          <w:szCs w:val="22"/>
        </w:rPr>
        <w:t xml:space="preserve">5. Доказана непредставимость MIN и MAX над полем действительных чисел и показано, что они, а также COUNT DISTINCT по измерению, выражаются над другими полукольцами — соответственно (max, ·) и ({0,1}, ∨, ∧). Для (max, ·) установлено ограничение области определения, без соблюдения которого теряется корректность переписывания плана.</w:t>
      </w:r>
    </w:p>
    <w:p>
      <w:pPr>
        <w:spacing w:after="120" w:before="0" w:line="300"/>
        <w:ind w:firstLine="567"/>
        <w:jc w:val="both"/>
      </w:pPr>
      <w:r>
        <w:rPr>
          <w:rFonts w:ascii="Times New Roman" w:cs="Times New Roman" w:eastAsia="Times New Roman" w:hAnsi="Times New Roman"/>
          <w:sz w:val="24"/>
          <w:szCs w:val="24"/>
        </w:rPr>
        <w:t xml:space="preserve">6. Схема распараллеливания сопоставлена с алгоритмом [6]. Разбиение по скоттовым индексам, обоснованное там, не требует репликации сомножителей, тогда как разбиение по свободным осям реплицирует один из них; реализация исправлена соответственно. Правило подтверждено измерением: при четырёх узлах разбиение по свободной оси увеличивает объём пересылок в 2.5 раза при неизменном результате.</w:t>
      </w:r>
    </w:p>
    <w:p>
      <w:pPr>
        <w:spacing w:after="120" w:before="0" w:line="300"/>
        <w:ind w:firstLine="567"/>
        <w:jc w:val="both"/>
      </w:pPr>
      <w:r>
        <w:rPr>
          <w:rFonts w:ascii="Times New Roman" w:cs="Times New Roman" w:eastAsia="Times New Roman" w:hAnsi="Times New Roman"/>
          <w:sz w:val="24"/>
          <w:szCs w:val="24"/>
        </w:rPr>
        <w:t xml:space="preserve">7. Обнаружено, что стандартная реализация соглашения Эйнштейна не отправляет в BLAS свёртку с ненулевым числом скоттовых индексов: сведение к tensordot не допускает пакетного измерения, и операция уходит в непакетный цикл. Разложение на сечения, обоснованное в [6], позволяет записать такую свёртку пакетным матричным умножением и ускоряет её в 8–27 раз. Потеря происходила ровно на той конструкции, которая отличает свёрнутое произведение Соколова от тензорной свёртки.</w:t>
      </w:r>
    </w:p>
    <w:p>
      <w:pPr>
        <w:spacing w:after="80" w:line="280"/>
        <w:ind w:left="340" w:hanging="340"/>
        <w:jc w:val="both"/>
      </w:pPr>
      <w:r>
        <w:rPr>
          <w:rFonts w:ascii="Times New Roman" w:cs="Times New Roman" w:eastAsia="Times New Roman" w:hAnsi="Times New Roman"/>
          <w:sz w:val="22"/>
          <w:szCs w:val="22"/>
        </w:rPr>
        <w:t xml:space="preserve">8. Проведено сравнение с колоночной СУБД DuckDB на одиннадцати запросах с построчной сверкой результатов; преимущество составило от 1.4 до 9.0 раза. В симметричном сравнении, где обе системы стартуют из предпосчитанной сводки одинаковой гранулярности, преимущество на простых агрегациях исчезает (до 0.67×), но на запросах с соединением и свёрткой по иерархии сохраняется до 10.2 раза, что отделяет вклад алгебры от вклада предварительной агрегации. Развёртки по трём параметрам дали правило: время свёртки определяется числом ячеек гиперкуба, время колоночной СУБД — числом строк, поэтому отношение времён есть функция числа фактов на ячейку. Преимущество растёт с объёмом фактов (до 33 раз при 5 млн строк) и теряется, когда на ячейку приходится менее примерно 0.3 факта. Однократное построение гиперкуба окупается начиная с 45–774 запросов в зависимости от их типа.</w:t>
      </w:r>
    </w:p>
    <w:p>
      <w:pPr>
        <w:spacing w:after="120" w:before="0" w:line="300"/>
        <w:ind w:firstLine="567"/>
        <w:jc w:val="both"/>
      </w:pPr>
      <w:r>
        <w:rPr>
          <w:rFonts w:ascii="Times New Roman" w:cs="Times New Roman" w:eastAsia="Times New Roman" w:hAnsi="Times New Roman"/>
          <w:sz w:val="24"/>
          <w:szCs w:val="24"/>
        </w:rPr>
        <w:t xml:space="preserve">Направления дальнейшей работы: реализация распределённого умножения на внутреннем уровне — обобщение алгоритма Кэннона по схеме [6], которого в настоящей работе нет; расширение класса представимых запросов за счёт полукольца множеств.</w:t>
      </w:r>
    </w:p>
    <w:p>
      <w:pPr>
        <w:pStyle w:val="Heading1"/>
        <w:spacing w:after="160" w:before="320"/>
      </w:pPr>
      <w:r>
        <w:rPr>
          <w:rFonts w:ascii="Times New Roman" w:cs="Times New Roman" w:eastAsia="Times New Roman" w:hAnsi="Times New Roman"/>
          <w:b/>
          <w:bCs/>
          <w:sz w:val="26"/>
          <w:szCs w:val="26"/>
        </w:rPr>
        <w:t xml:space="preserve">Приложение. Минимальный пример трансляции</w:t>
      </w:r>
    </w:p>
    <w:p>
      <w:pPr>
        <w:spacing w:after="120" w:before="0" w:line="300"/>
        <w:ind w:firstLine="567"/>
        <w:jc w:val="both"/>
      </w:pPr>
      <w:r>
        <w:rPr>
          <w:rFonts w:ascii="Times New Roman" w:cs="Times New Roman" w:eastAsia="Times New Roman" w:hAnsi="Times New Roman"/>
          <w:sz w:val="24"/>
          <w:szCs w:val="24"/>
        </w:rPr>
        <w:t xml:space="preserve">Пример показывает весь путь от запроса до элементарной операции ядра. Схема: гиперкуб продаж по измерениям (клиент, товар, дата) мощностей 100 × 100 × 120, справочник товаров с атрибутом «категория» и мерой «цена», иерархия дата → месяц.</w:t>
      </w:r>
    </w:p>
    <w:p>
      <w:pPr>
        <w:spacing w:after="0" w:line="260"/>
        <w:ind w:left="567"/>
      </w:pPr>
      <w:r>
        <w:rPr>
          <w:rFonts w:ascii="Courier New" w:cs="Courier New" w:eastAsia="Courier New" w:hAnsi="Courier New"/>
          <w:sz w:val="20"/>
          <w:szCs w:val="20"/>
        </w:rPr>
        <w:t xml:space="preserve">from amdb import Database</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db = Database()</w:t>
      </w:r>
    </w:p>
    <w:p>
      <w:pPr>
        <w:spacing w:after="0" w:line="260"/>
        <w:ind w:left="567"/>
      </w:pPr>
      <w:r>
        <w:rPr>
          <w:rFonts w:ascii="Courier New" w:cs="Courier New" w:eastAsia="Courier New" w:hAnsi="Courier New"/>
          <w:sz w:val="20"/>
          <w:szCs w:val="20"/>
        </w:rPr>
        <w:t xml:space="preserve">db.load_frame(sales, ["customer", "product", "date"], "quantity", "sales")</w:t>
      </w:r>
    </w:p>
    <w:p>
      <w:pPr>
        <w:spacing w:after="0" w:line="260"/>
        <w:ind w:left="567"/>
      </w:pPr>
      <w:r>
        <w:rPr>
          <w:rFonts w:ascii="Courier New" w:cs="Courier New" w:eastAsia="Courier New" w:hAnsi="Courier New"/>
          <w:sz w:val="20"/>
          <w:szCs w:val="20"/>
        </w:rPr>
        <w:t xml:space="preserve">db.load_dimension(products, "product",</w:t>
      </w:r>
    </w:p>
    <w:p>
      <w:pPr>
        <w:spacing w:after="0" w:line="260"/>
        <w:ind w:left="567"/>
      </w:pPr>
      <w:r>
        <w:rPr>
          <w:rFonts w:ascii="Courier New" w:cs="Courier New" w:eastAsia="Courier New" w:hAnsi="Courier New"/>
          <w:sz w:val="20"/>
          <w:szCs w:val="20"/>
        </w:rPr>
        <w:t xml:space="preserve">                  attributes=["category"], measures=["price"])</w:t>
      </w:r>
    </w:p>
    <w:p>
      <w:pPr>
        <w:spacing w:after="0" w:line="260"/>
        <w:ind w:left="567"/>
      </w:pPr>
      <w:r>
        <w:rPr>
          <w:rFonts w:ascii="Courier New" w:cs="Courier New" w:eastAsia="Courier New" w:hAnsi="Courier New"/>
          <w:sz w:val="20"/>
          <w:szCs w:val="20"/>
        </w:rPr>
        <w:t xml:space="preserve">db.add_hierarchy("date", "month", {i: f"M{i // 10}" for i in range(120)})</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print(db.explain(</w:t>
      </w:r>
    </w:p>
    <w:p>
      <w:pPr>
        <w:spacing w:after="0" w:line="260"/>
        <w:ind w:left="567"/>
      </w:pPr>
      <w:r>
        <w:rPr>
          <w:rFonts w:ascii="Courier New" w:cs="Courier New" w:eastAsia="Courier New" w:hAnsi="Courier New"/>
          <w:sz w:val="20"/>
          <w:szCs w:val="20"/>
        </w:rPr>
        <w:t xml:space="preserve">    "SELECT customer, month, SUM(sales.quantity * product.price) AS revenue "</w:t>
      </w:r>
    </w:p>
    <w:p>
      <w:pPr>
        <w:spacing w:after="0" w:line="260"/>
        <w:ind w:left="567"/>
      </w:pPr>
      <w:r>
        <w:rPr>
          <w:rFonts w:ascii="Courier New" w:cs="Courier New" w:eastAsia="Courier New" w:hAnsi="Courier New"/>
          <w:sz w:val="20"/>
          <w:szCs w:val="20"/>
        </w:rPr>
        <w:t xml:space="preserve">    "FROM sales JOIN product "</w:t>
      </w:r>
    </w:p>
    <w:p>
      <w:pPr>
        <w:spacing w:after="0" w:line="260"/>
        <w:ind w:left="567"/>
      </w:pPr>
      <w:r>
        <w:rPr>
          <w:rFonts w:ascii="Courier New" w:cs="Courier New" w:eastAsia="Courier New" w:hAnsi="Courier New"/>
          <w:sz w:val="20"/>
          <w:szCs w:val="20"/>
        </w:rPr>
        <w:t xml:space="preserve">    "WHERE product.category = 'A' "</w:t>
      </w:r>
    </w:p>
    <w:p>
      <w:pPr>
        <w:spacing w:after="0" w:line="260"/>
        <w:ind w:left="567"/>
      </w:pPr>
      <w:r>
        <w:rPr>
          <w:rFonts w:ascii="Courier New" w:cs="Courier New" w:eastAsia="Courier New" w:hAnsi="Courier New"/>
          <w:sz w:val="20"/>
          <w:szCs w:val="20"/>
        </w:rPr>
        <w:t xml:space="preserve">    "GROUP BY customer, month"))</w:t>
      </w:r>
    </w:p>
    <w:p>
      <w:pPr>
        <w:spacing w:after="120" w:before="0" w:line="300"/>
        <w:ind w:firstLine="567"/>
        <w:jc w:val="both"/>
      </w:pPr>
      <w:r>
        <w:rPr>
          <w:rFonts w:ascii="Times New Roman" w:cs="Times New Roman" w:eastAsia="Times New Roman" w:hAnsi="Times New Roman"/>
          <w:sz w:val="24"/>
          <w:szCs w:val="24"/>
        </w:rPr>
        <w:t xml:space="preserve">Вывод плана:</w:t>
      </w:r>
    </w:p>
    <w:p>
      <w:pPr>
        <w:spacing w:after="0" w:line="260"/>
        <w:ind w:left="567"/>
      </w:pPr>
      <w:r>
        <w:rPr>
          <w:rFonts w:ascii="Courier New" w:cs="Courier New" w:eastAsia="Courier New" w:hAnsi="Courier New"/>
          <w:sz w:val="20"/>
          <w:szCs w:val="20"/>
        </w:rPr>
        <w:t xml:space="preserve">источники: sales, product</w:t>
      </w:r>
    </w:p>
    <w:p>
      <w:pPr>
        <w:spacing w:after="0" w:line="260"/>
        <w:ind w:left="567"/>
      </w:pPr>
      <w:r>
        <w:rPr>
          <w:rFonts w:ascii="Courier New" w:cs="Courier New" w:eastAsia="Courier New" w:hAnsi="Courier New"/>
          <w:sz w:val="20"/>
          <w:szCs w:val="20"/>
        </w:rPr>
        <w:t xml:space="preserve">GROUP BY: customer, month</w:t>
      </w:r>
    </w:p>
    <w:p>
      <w:pPr>
        <w:spacing w:after="0" w:line="260"/>
        <w:ind w:left="567"/>
      </w:pPr>
      <w:r>
        <w:rPr>
          <w:rFonts w:ascii="Courier New" w:cs="Courier New" w:eastAsia="Courier New" w:hAnsi="Courier New"/>
          <w:sz w:val="20"/>
          <w:szCs w:val="20"/>
        </w:rPr>
        <w:t xml:space="preserve">фильтр: Mask('product',) selected=50/100</w:t>
      </w:r>
    </w:p>
    <w:p>
      <w:pPr>
        <w:spacing w:after="0" w:line="260"/>
        <w:ind w:left="567"/>
      </w:pPr>
      <w:r>
        <w:rPr>
          <w:rFonts w:ascii="Courier New" w:cs="Courier New" w:eastAsia="Courier New" w:hAnsi="Courier New"/>
          <w:sz w:val="20"/>
          <w:szCs w:val="20"/>
        </w:rPr>
        <w:t xml:space="preserve">агрегат: SUM(quantity * price) AS revenue</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План выполнения:</w:t>
      </w:r>
    </w:p>
    <w:p>
      <w:pPr>
        <w:spacing w:after="0" w:line="260"/>
        <w:ind w:left="567"/>
      </w:pPr>
      <w:r>
        <w:rPr>
          <w:rFonts w:ascii="Courier New" w:cs="Courier New" w:eastAsia="Courier New" w:hAnsi="Courier New"/>
          <w:sz w:val="20"/>
          <w:szCs w:val="20"/>
        </w:rPr>
        <w:t xml:space="preserve">  GROUP BY: ['customer', 'month']</w:t>
      </w:r>
    </w:p>
    <w:p>
      <w:pPr>
        <w:spacing w:after="0" w:line="260"/>
        <w:ind w:left="567"/>
      </w:pPr>
      <w:r>
        <w:rPr>
          <w:rFonts w:ascii="Courier New" w:cs="Courier New" w:eastAsia="Courier New" w:hAnsi="Courier New"/>
          <w:sz w:val="20"/>
          <w:szCs w:val="20"/>
        </w:rPr>
        <w:t xml:space="preserve">  revenue: SUM</w:t>
      </w:r>
    </w:p>
    <w:p>
      <w:pPr>
        <w:spacing w:after="0" w:line="260"/>
        <w:ind w:left="567"/>
      </w:pPr>
      <w:r>
        <w:rPr>
          <w:rFonts w:ascii="Courier New" w:cs="Courier New" w:eastAsia="Courier New" w:hAnsi="Courier New"/>
          <w:sz w:val="20"/>
          <w:szCs w:val="20"/>
        </w:rPr>
        <w:t xml:space="preserve">      +1 x einsum('abc,b,cd,b-&gt;ad')  (0,2)-свёртка</w:t>
      </w:r>
    </w:p>
    <w:p>
      <w:pPr>
        <w:spacing w:after="0" w:line="260"/>
        <w:ind w:left="567"/>
      </w:pPr>
      <w:r>
        <w:rPr>
          <w:rFonts w:ascii="Courier New" w:cs="Courier New" w:eastAsia="Courier New" w:hAnsi="Courier New"/>
          <w:sz w:val="20"/>
          <w:szCs w:val="20"/>
        </w:rPr>
        <w:t xml:space="preserve">          [ sales['customer', 'product', 'date'],</w:t>
      </w:r>
    </w:p>
    <w:p>
      <w:pPr>
        <w:spacing w:after="0" w:line="260"/>
        <w:ind w:left="567"/>
      </w:pPr>
      <w:r>
        <w:rPr>
          <w:rFonts w:ascii="Courier New" w:cs="Courier New" w:eastAsia="Courier New" w:hAnsi="Courier New"/>
          <w:sz w:val="20"/>
          <w:szCs w:val="20"/>
        </w:rPr>
        <w:t xml:space="preserve">            price['product'],</w:t>
      </w:r>
    </w:p>
    <w:p>
      <w:pPr>
        <w:spacing w:after="0" w:line="260"/>
        <w:ind w:left="567"/>
      </w:pPr>
      <w:r>
        <w:rPr>
          <w:rFonts w:ascii="Courier New" w:cs="Courier New" w:eastAsia="Courier New" w:hAnsi="Courier New"/>
          <w:sz w:val="20"/>
          <w:szCs w:val="20"/>
        </w:rPr>
        <w:t xml:space="preserve">            rollup:date-&gt;month['date', 'month'],</w:t>
      </w:r>
    </w:p>
    <w:p>
      <w:pPr>
        <w:spacing w:after="0" w:line="260"/>
        <w:ind w:left="567"/>
      </w:pPr>
      <w:r>
        <w:rPr>
          <w:rFonts w:ascii="Courier New" w:cs="Courier New" w:eastAsia="Courier New" w:hAnsi="Courier New"/>
          <w:sz w:val="20"/>
          <w:szCs w:val="20"/>
        </w:rPr>
        <w:t xml:space="preserve">            mask:product['product'] ]</w:t>
      </w:r>
    </w:p>
    <w:p>
      <w:pPr>
        <w:spacing w:after="0" w:line="260"/>
        <w:ind w:left="567"/>
      </w:pPr>
      <w:r>
        <w:rPr>
          <w:rFonts w:ascii="Courier New" w:cs="Courier New" w:eastAsia="Courier New" w:hAnsi="Courier New"/>
          <w:sz w:val="20"/>
          <w:szCs w:val="20"/>
        </w:rPr>
        <w:t xml:space="preserve">  наличие групп: einsum('abc,cd,b-&gt;ad')  (0,2)-свёртка</w:t>
      </w:r>
    </w:p>
    <w:p>
      <w:pPr>
        <w:spacing w:after="0" w:line="260"/>
        <w:ind w:left="567"/>
      </w:pPr>
      <w:r>
        <w:rPr>
          <w:rFonts w:ascii="Courier New" w:cs="Courier New" w:eastAsia="Courier New" w:hAnsi="Courier New"/>
          <w:sz w:val="20"/>
          <w:szCs w:val="20"/>
        </w:rPr>
        <w:t xml:space="preserve">          [ sales__count['customer', 'product', 'date'],</w:t>
      </w:r>
    </w:p>
    <w:p>
      <w:pPr>
        <w:spacing w:after="0" w:line="260"/>
        <w:ind w:left="567"/>
      </w:pPr>
      <w:r>
        <w:rPr>
          <w:rFonts w:ascii="Courier New" w:cs="Courier New" w:eastAsia="Courier New" w:hAnsi="Courier New"/>
          <w:sz w:val="20"/>
          <w:szCs w:val="20"/>
        </w:rPr>
        <w:t xml:space="preserve">            rollup:date-&gt;month['date', 'month'],</w:t>
      </w:r>
    </w:p>
    <w:p>
      <w:pPr>
        <w:spacing w:after="0" w:line="260"/>
        <w:ind w:left="567"/>
      </w:pPr>
      <w:r>
        <w:rPr>
          <w:rFonts w:ascii="Courier New" w:cs="Courier New" w:eastAsia="Courier New" w:hAnsi="Courier New"/>
          <w:sz w:val="20"/>
          <w:szCs w:val="20"/>
        </w:rPr>
        <w:t xml:space="preserve">            mask:product['product'] ]</w:t>
      </w:r>
    </w:p>
    <w:p>
      <w:pPr>
        <w:spacing w:after="0" w:line="260"/>
        <w:ind w:left="567"/>
      </w:pPr>
      <w:r>
        <w:rPr>
          <w:rFonts w:ascii="Courier New" w:cs="Courier New" w:eastAsia="Courier New" w:hAnsi="Courier New"/>
          <w:sz w:val="20"/>
          <w:szCs w:val="20"/>
        </w:rPr>
        <w:t xml:space="preserve"/>
      </w:r>
    </w:p>
    <w:p>
      <w:pPr>
        <w:spacing w:after="0" w:line="260"/>
        <w:ind w:left="567"/>
      </w:pPr>
      <w:r>
        <w:rPr>
          <w:rFonts w:ascii="Courier New" w:cs="Courier New" w:eastAsia="Courier New" w:hAnsi="Courier New"/>
          <w:sz w:val="20"/>
          <w:szCs w:val="20"/>
        </w:rPr>
        <w:t xml:space="preserve">Оценки:</w:t>
      </w:r>
    </w:p>
    <w:p>
      <w:pPr>
        <w:spacing w:after="0" w:line="260"/>
        <w:ind w:left="567"/>
      </w:pPr>
      <w:r>
        <w:rPr>
          <w:rFonts w:ascii="Courier New" w:cs="Courier New" w:eastAsia="Courier New" w:hAnsi="Courier New"/>
          <w:sz w:val="20"/>
          <w:szCs w:val="20"/>
        </w:rPr>
        <w:t xml:space="preserve">  revenue#0: ~1.34e+06 операций, макс. промежуточный 12 000 ячеек</w:t>
      </w:r>
    </w:p>
    <w:p>
      <w:pPr>
        <w:spacing w:after="120" w:before="0" w:line="300"/>
        <w:ind w:firstLine="567"/>
        <w:jc w:val="both"/>
      </w:pPr>
      <w:r>
        <w:rPr>
          <w:rFonts w:ascii="Times New Roman" w:cs="Times New Roman" w:eastAsia="Times New Roman" w:hAnsi="Times New Roman"/>
          <w:sz w:val="24"/>
          <w:szCs w:val="24"/>
        </w:rPr>
        <w:t xml:space="preserve">В спецификации `abc,b,cd,b-&gt;ad` буквы отвечают измерениям: a — клиент, b — товар, c — дата, d — месяц. Она читается по правилам §2. Индексы b и c общие и в результате отсутствуют — это кэлиевы индексы, μ = 2: по товару свёртка выполняет соединение со справочником цен и последующую агрегацию, по дате — свёртку в месяцы. Индекс a свободен и сохраняется, индекс d вносится матрицей перехода иерархии. Четыре операнда — гиперкуб факта, вектор цен, матрица перехода дата → месяц и индикатор условия отбора по категории — стягиваются </w:t>
      </w:r>
      <w:r>
        <w:rPr>
          <w:rFonts w:ascii="Times New Roman" w:cs="Times New Roman" w:eastAsia="Times New Roman" w:hAnsi="Times New Roman"/>
          <w:sz w:val="24"/>
          <w:szCs w:val="24"/>
        </w:rPr>
        <w:t xml:space="preserve">одной</w:t>
      </w:r>
      <w:r>
        <w:rPr>
          <w:rFonts w:ascii="Times New Roman" w:cs="Times New Roman" w:eastAsia="Times New Roman" w:hAnsi="Times New Roman"/>
          <w:sz w:val="24"/>
          <w:szCs w:val="24"/>
        </w:rPr>
        <w:t xml:space="preserve"> операцией: соединение, фильтр, свёртка по иерархии и агрегация не образуют последовательности проходов по данным, а являются сомножителями одного (0, 2)-свёрнутого произведения. Второй строкой плана идёт та же свёртка над спутниковым счётным гиперкубом: она отличает группу с нулевой суммой от отсутствующей группы (см. оговорку к предложению 1).</w:t>
      </w:r>
    </w:p>
    <w:p>
      <w:pPr>
        <w:spacing w:after="120" w:before="0" w:line="300"/>
        <w:ind w:firstLine="567"/>
        <w:jc w:val="both"/>
      </w:pPr>
      <w:r>
        <w:rPr>
          <w:rFonts w:ascii="Times New Roman" w:cs="Times New Roman" w:eastAsia="Times New Roman" w:hAnsi="Times New Roman"/>
          <w:sz w:val="24"/>
          <w:szCs w:val="24"/>
        </w:rPr>
        <w:t xml:space="preserve">Запрос возвращает 1200 строк. Пример воспроизводится командой `python examples/appendix.py`; приведённый выше вывод плана получен этой командой.</w:t>
      </w:r>
    </w:p>
    <w:p>
      <w:pPr>
        <w:pStyle w:val="Heading1"/>
        <w:spacing w:after="160" w:before="320"/>
      </w:pPr>
      <w:r>
        <w:rPr>
          <w:rFonts w:ascii="Times New Roman" w:cs="Times New Roman" w:eastAsia="Times New Roman" w:hAnsi="Times New Roman"/>
          <w:b/>
          <w:bCs/>
          <w:sz w:val="26"/>
          <w:szCs w:val="26"/>
        </w:rPr>
        <w:t xml:space="preserve">Литература</w:t>
      </w:r>
    </w:p>
    <w:p>
      <w:pPr>
        <w:spacing w:after="80" w:line="280"/>
        <w:ind w:left="340" w:hanging="340"/>
        <w:jc w:val="both"/>
      </w:pPr>
      <w:r>
        <w:rPr>
          <w:rFonts w:ascii="Times New Roman" w:cs="Times New Roman" w:eastAsia="Times New Roman" w:hAnsi="Times New Roman"/>
          <w:sz w:val="22"/>
          <w:szCs w:val="22"/>
        </w:rPr>
        <w:t xml:space="preserve">1. Соколов Н.П. Введение в теорию многомерных матриц. — Киев: Наукова думка, 1972. — 176 с.</w:t>
      </w:r>
    </w:p>
    <w:p>
      <w:pPr>
        <w:spacing w:after="80" w:line="280"/>
        <w:ind w:left="340" w:hanging="340"/>
        <w:jc w:val="both"/>
      </w:pPr>
      <w:r>
        <w:rPr>
          <w:rFonts w:ascii="Times New Roman" w:cs="Times New Roman" w:eastAsia="Times New Roman" w:hAnsi="Times New Roman"/>
          <w:sz w:val="22"/>
          <w:szCs w:val="22"/>
        </w:rPr>
        <w:t xml:space="preserve">2. Симаков В.А. Применение соглашения Эйнштейна для эффективной реализации (λ, μ)-свёрнутого произведения многомерных матриц. — 2026.</w:t>
      </w:r>
    </w:p>
    <w:p>
      <w:pPr>
        <w:spacing w:after="80" w:line="280"/>
        <w:ind w:left="340" w:hanging="340"/>
        <w:jc w:val="both"/>
      </w:pPr>
      <w:r>
        <w:rPr>
          <w:rFonts w:ascii="Times New Roman" w:cs="Times New Roman" w:eastAsia="Times New Roman" w:hAnsi="Times New Roman"/>
          <w:sz w:val="22"/>
          <w:szCs w:val="22"/>
        </w:rPr>
        <w:t xml:space="preserve">3. Емельченков Е.П., Левин Н.А., Мунерман В.И. Алгебраический подход к оптимизации разработки и эксплуатации систем управления базами данных // Системы и средства информатики. — 2009. — С. 114–137.</w:t>
      </w:r>
    </w:p>
    <w:p>
      <w:pPr>
        <w:spacing w:after="80" w:line="280"/>
        <w:ind w:left="340" w:hanging="340"/>
        <w:jc w:val="both"/>
      </w:pPr>
      <w:r>
        <w:rPr>
          <w:rFonts w:ascii="Times New Roman" w:cs="Times New Roman" w:eastAsia="Times New Roman" w:hAnsi="Times New Roman"/>
          <w:sz w:val="22"/>
          <w:szCs w:val="22"/>
        </w:rPr>
        <w:t xml:space="preserve">4. Мунерман В.И., Мунерман Д.В. Алгебраический подход к построению программно-аппаратных комплексов для повышения эффективности массовой обработки данных. — 2015.</w:t>
      </w:r>
    </w:p>
    <w:p>
      <w:pPr>
        <w:spacing w:after="80" w:line="280"/>
        <w:ind w:left="340" w:hanging="340"/>
        <w:jc w:val="both"/>
      </w:pPr>
      <w:r>
        <w:rPr>
          <w:rFonts w:ascii="Times New Roman" w:cs="Times New Roman" w:eastAsia="Times New Roman" w:hAnsi="Times New Roman"/>
          <w:sz w:val="22"/>
          <w:szCs w:val="22"/>
        </w:rPr>
        <w:t xml:space="preserve">5. Гончаров Е.И., Мунерман В.И., Синицын И.Н. Современные технологические средства создания многомерно-матричных машин баз данных // Системы высокой доступности. — 2024. — Т. 20, № 1. — С. 5–15.</w:t>
      </w:r>
    </w:p>
    <w:p>
      <w:pPr>
        <w:spacing w:after="80" w:line="280"/>
        <w:ind w:left="340" w:hanging="340"/>
        <w:jc w:val="both"/>
      </w:pPr>
      <w:r>
        <w:rPr>
          <w:rFonts w:ascii="Times New Roman" w:cs="Times New Roman" w:eastAsia="Times New Roman" w:hAnsi="Times New Roman"/>
          <w:sz w:val="22"/>
          <w:szCs w:val="22"/>
        </w:rPr>
        <w:t xml:space="preserve">6. Мунерман В.И., Мунерман Д.В. Обобщение одного алгоритма параллельного умножения матриц в алгебре многомерных матриц // Современные информационные технологии и ИТ-образование. — 2022. — Т. 18, № 3. — С. 566–577. DOI: 10.25559/SITITO.18.202203.566-577.</w:t>
      </w:r>
    </w:p>
    <w:p>
      <w:pPr>
        <w:spacing w:after="80" w:line="280"/>
        <w:ind w:left="340" w:hanging="340"/>
        <w:jc w:val="both"/>
      </w:pPr>
      <w:r>
        <w:rPr>
          <w:rFonts w:ascii="Times New Roman" w:cs="Times New Roman" w:eastAsia="Times New Roman" w:hAnsi="Times New Roman"/>
          <w:sz w:val="22"/>
          <w:szCs w:val="22"/>
        </w:rPr>
        <w:t xml:space="preserve">7. Морозов С.А., Мунерман В.И., Симаков В.А. Экспериментальный анализ многомерно-матричного подхода к построению маршрутов в графе // Известия вузов. Электроника. — 2022. — Т. 27, № 5. — С. 676–686. DOI: 10.24151/1561-5405-2022-27-5-676-686.</w:t>
      </w:r>
    </w:p>
    <w:p>
      <w:pPr>
        <w:spacing w:after="80" w:line="280"/>
        <w:ind w:left="340" w:hanging="340"/>
        <w:jc w:val="both"/>
      </w:pPr>
      <w:r>
        <w:rPr>
          <w:rFonts w:ascii="Times New Roman" w:cs="Times New Roman" w:eastAsia="Times New Roman" w:hAnsi="Times New Roman"/>
          <w:sz w:val="22"/>
          <w:szCs w:val="22"/>
        </w:rPr>
        <w:t xml:space="preserve">8. Муха В.С. Анализ многомерных данных. — Минск: Технопринт, 2004.</w:t>
      </w:r>
    </w:p>
    <w:p>
      <w:pPr>
        <w:spacing w:after="80" w:line="280"/>
        <w:ind w:left="340" w:hanging="340"/>
        <w:jc w:val="both"/>
      </w:pPr>
      <w:r>
        <w:rPr>
          <w:rFonts w:ascii="Times New Roman" w:cs="Times New Roman" w:eastAsia="Times New Roman" w:hAnsi="Times New Roman"/>
          <w:sz w:val="22"/>
          <w:szCs w:val="22"/>
        </w:rPr>
        <w:t xml:space="preserve">9. NumPy Developers. NumPy Documentation: numpy.einsum. URL: https://numpy.org/doc/stable/reference/generated/numpy.einsum.html (дата обращения: 27.08.2026).</w:t>
      </w:r>
    </w:p>
    <w:p>
      <w:pPr>
        <w:spacing w:after="80" w:line="280"/>
        <w:ind w:left="340" w:hanging="340"/>
        <w:jc w:val="both"/>
      </w:pPr>
      <w:r>
        <w:rPr>
          <w:rFonts w:ascii="Times New Roman" w:cs="Times New Roman" w:eastAsia="Times New Roman" w:hAnsi="Times New Roman"/>
          <w:sz w:val="22"/>
          <w:szCs w:val="22"/>
        </w:rPr>
        <w:t xml:space="preserve">10. Smith D.G.A., Gray J. opt_einsum — A Python package for optimizing contraction order for einsum-like expressions // Journal of Open Source Software. — 2018. — Vol. 3, № 26. — P. 753.</w:t>
      </w:r>
    </w:p>
    <w:p>
      <w:pPr>
        <w:spacing w:after="80" w:line="280"/>
        <w:ind w:left="340" w:hanging="340"/>
        <w:jc w:val="both"/>
      </w:pPr>
      <w:r>
        <w:rPr>
          <w:rFonts w:ascii="Times New Roman" w:cs="Times New Roman" w:eastAsia="Times New Roman" w:hAnsi="Times New Roman"/>
          <w:sz w:val="22"/>
          <w:szCs w:val="22"/>
        </w:rPr>
        <w:t xml:space="preserve">11. Raasveldt M., Mühleisen H. DuckDB: an Embeddable Analytical Database // Proceedings of the 2019 International Conference on Management of Data (SIGMOD). — 2019. — P. 1981–1984.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Статья Симаков — алгебраическая машина БД</dc:title>
  <dc:creator>Симаков В.А.</dc:creator>
  <cp:lastModifiedBy>Un-named</cp:lastModifiedBy>
  <cp:revision>1</cp:revision>
  <dcterms:created xsi:type="dcterms:W3CDTF">2026-08-28T18:06:03.211Z</dcterms:created>
  <dcterms:modified xsi:type="dcterms:W3CDTF">2026-08-28T18:06:03.211Z</dcterms:modified>
</cp:coreProperties>
</file>

<file path=docProps/custom.xml><?xml version="1.0" encoding="utf-8"?>
<Properties xmlns="http://schemas.openxmlformats.org/officeDocument/2006/custom-properties" xmlns:vt="http://schemas.openxmlformats.org/officeDocument/2006/docPropsVTypes"/>
</file>