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FE4BA" w14:textId="6D6EAA8B" w:rsidR="00E90E6A" w:rsidRDefault="00E90E6A" w:rsidP="00E90E6A">
      <w:pPr>
        <w:jc w:val="center"/>
        <w:rPr>
          <w:rFonts w:ascii="Times New Roman" w:hAnsi="Times New Roman" w:cs="Times New Roman"/>
          <w:b/>
          <w:bCs/>
          <w:sz w:val="28"/>
          <w:szCs w:val="28"/>
        </w:rPr>
      </w:pPr>
      <w:r>
        <w:rPr>
          <w:noProof/>
        </w:rPr>
        <w:drawing>
          <wp:inline distT="0" distB="0" distL="0" distR="0" wp14:anchorId="630B4CE2" wp14:editId="499178CD">
            <wp:extent cx="3600000" cy="3600000"/>
            <wp:effectExtent l="0" t="0" r="635" b="635"/>
            <wp:docPr id="252203291" name="Imagen 1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03291" name="Imagen 11" descr="Logotipo, nombre de la empresa&#10;&#10;El contenido generado por IA puede ser incorrec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00000" cy="3600000"/>
                    </a:xfrm>
                    <a:prstGeom prst="rect">
                      <a:avLst/>
                    </a:prstGeom>
                    <a:noFill/>
                    <a:ln>
                      <a:noFill/>
                    </a:ln>
                  </pic:spPr>
                </pic:pic>
              </a:graphicData>
            </a:graphic>
          </wp:inline>
        </w:drawing>
      </w:r>
    </w:p>
    <w:p w14:paraId="07F903CA" w14:textId="33526DED" w:rsidR="00E61AAF" w:rsidRPr="00E61AAF" w:rsidRDefault="00E61AAF" w:rsidP="00E61AAF">
      <w:pPr>
        <w:jc w:val="center"/>
        <w:rPr>
          <w:rFonts w:ascii="Times New Roman" w:hAnsi="Times New Roman" w:cs="Times New Roman"/>
          <w:b/>
          <w:bCs/>
          <w:sz w:val="28"/>
          <w:szCs w:val="28"/>
        </w:rPr>
      </w:pPr>
      <w:r w:rsidRPr="00E61AAF">
        <w:rPr>
          <w:rFonts w:ascii="Times New Roman" w:hAnsi="Times New Roman" w:cs="Times New Roman"/>
          <w:b/>
          <w:bCs/>
          <w:sz w:val="28"/>
          <w:szCs w:val="28"/>
        </w:rPr>
        <w:t>Materia:</w:t>
      </w:r>
    </w:p>
    <w:p w14:paraId="7C26A6C7" w14:textId="22734ACC" w:rsidR="00E61AAF" w:rsidRPr="00E61AAF" w:rsidRDefault="00E61AAF" w:rsidP="00E61AAF">
      <w:pPr>
        <w:jc w:val="center"/>
        <w:rPr>
          <w:rFonts w:ascii="Times New Roman" w:hAnsi="Times New Roman" w:cs="Times New Roman"/>
        </w:rPr>
      </w:pPr>
      <w:r w:rsidRPr="00E61AAF">
        <w:rPr>
          <w:rFonts w:ascii="Times New Roman" w:hAnsi="Times New Roman" w:cs="Times New Roman"/>
        </w:rPr>
        <w:t>Electiva I</w:t>
      </w:r>
    </w:p>
    <w:p w14:paraId="043B7B8B" w14:textId="6C42166C" w:rsidR="00E61AAF" w:rsidRPr="00E61AAF" w:rsidRDefault="00E61AAF" w:rsidP="00E61AAF">
      <w:pPr>
        <w:jc w:val="center"/>
        <w:rPr>
          <w:rFonts w:ascii="Times New Roman" w:hAnsi="Times New Roman" w:cs="Times New Roman"/>
          <w:b/>
          <w:bCs/>
          <w:sz w:val="28"/>
          <w:szCs w:val="28"/>
        </w:rPr>
      </w:pPr>
      <w:r w:rsidRPr="00E61AAF">
        <w:rPr>
          <w:rFonts w:ascii="Times New Roman" w:hAnsi="Times New Roman" w:cs="Times New Roman"/>
          <w:b/>
          <w:bCs/>
          <w:sz w:val="28"/>
          <w:szCs w:val="28"/>
        </w:rPr>
        <w:t>Maestro:</w:t>
      </w:r>
    </w:p>
    <w:p w14:paraId="4B0EBFD0" w14:textId="41C437E6" w:rsidR="00E61AAF" w:rsidRPr="00E61AAF" w:rsidRDefault="00E61AAF" w:rsidP="00E61AAF">
      <w:pPr>
        <w:jc w:val="center"/>
        <w:rPr>
          <w:rFonts w:ascii="Times New Roman" w:hAnsi="Times New Roman" w:cs="Times New Roman"/>
        </w:rPr>
      </w:pPr>
      <w:r w:rsidRPr="00E61AAF">
        <w:rPr>
          <w:rFonts w:ascii="Times New Roman" w:hAnsi="Times New Roman" w:cs="Times New Roman"/>
        </w:rPr>
        <w:t>Carlos Pichardo Viuque</w:t>
      </w:r>
    </w:p>
    <w:p w14:paraId="12EA27EE" w14:textId="6E5C85C2" w:rsidR="00E61AAF" w:rsidRPr="00E61AAF" w:rsidRDefault="00E61AAF" w:rsidP="00E61AAF">
      <w:pPr>
        <w:jc w:val="center"/>
        <w:rPr>
          <w:rFonts w:ascii="Times New Roman" w:hAnsi="Times New Roman" w:cs="Times New Roman"/>
          <w:b/>
          <w:bCs/>
          <w:sz w:val="28"/>
          <w:szCs w:val="28"/>
        </w:rPr>
      </w:pPr>
      <w:r w:rsidRPr="00E61AAF">
        <w:rPr>
          <w:rFonts w:ascii="Times New Roman" w:hAnsi="Times New Roman" w:cs="Times New Roman"/>
          <w:b/>
          <w:bCs/>
          <w:sz w:val="28"/>
          <w:szCs w:val="28"/>
        </w:rPr>
        <w:t>Nombre:</w:t>
      </w:r>
    </w:p>
    <w:p w14:paraId="0C18F80E" w14:textId="16D7C083" w:rsidR="00E61AAF" w:rsidRPr="00E61AAF" w:rsidRDefault="00E61AAF" w:rsidP="00E61AAF">
      <w:pPr>
        <w:jc w:val="center"/>
        <w:rPr>
          <w:rFonts w:ascii="Times New Roman" w:hAnsi="Times New Roman" w:cs="Times New Roman"/>
        </w:rPr>
      </w:pPr>
      <w:r w:rsidRPr="00E61AAF">
        <w:rPr>
          <w:rFonts w:ascii="Times New Roman" w:hAnsi="Times New Roman" w:cs="Times New Roman"/>
        </w:rPr>
        <w:t>Omar Junior Ramos Rivera</w:t>
      </w:r>
    </w:p>
    <w:p w14:paraId="4E482E29" w14:textId="69F0938B" w:rsidR="00E61AAF" w:rsidRPr="00E61AAF" w:rsidRDefault="00E61AAF" w:rsidP="00E61AAF">
      <w:pPr>
        <w:jc w:val="center"/>
        <w:rPr>
          <w:rFonts w:ascii="Times New Roman" w:hAnsi="Times New Roman" w:cs="Times New Roman"/>
          <w:sz w:val="28"/>
          <w:szCs w:val="28"/>
        </w:rPr>
      </w:pPr>
      <w:r w:rsidRPr="00E90E6A">
        <w:rPr>
          <w:rFonts w:ascii="Times New Roman" w:hAnsi="Times New Roman" w:cs="Times New Roman"/>
          <w:b/>
          <w:bCs/>
          <w:sz w:val="28"/>
          <w:szCs w:val="28"/>
        </w:rPr>
        <w:t>Matricula</w:t>
      </w:r>
      <w:r w:rsidRPr="00E61AAF">
        <w:rPr>
          <w:rFonts w:ascii="Times New Roman" w:hAnsi="Times New Roman" w:cs="Times New Roman"/>
          <w:sz w:val="28"/>
          <w:szCs w:val="28"/>
        </w:rPr>
        <w:t>:</w:t>
      </w:r>
    </w:p>
    <w:p w14:paraId="3E57D365" w14:textId="4F4AAF78" w:rsidR="00E61AAF" w:rsidRPr="00E61AAF" w:rsidRDefault="00E61AAF" w:rsidP="00E61AAF">
      <w:pPr>
        <w:jc w:val="center"/>
        <w:rPr>
          <w:rFonts w:ascii="Times New Roman" w:hAnsi="Times New Roman" w:cs="Times New Roman"/>
        </w:rPr>
      </w:pPr>
      <w:r w:rsidRPr="00E61AAF">
        <w:rPr>
          <w:rFonts w:ascii="Times New Roman" w:hAnsi="Times New Roman" w:cs="Times New Roman"/>
        </w:rPr>
        <w:t>2023-0846</w:t>
      </w:r>
    </w:p>
    <w:p w14:paraId="6E85CB0C" w14:textId="489A0C85" w:rsidR="00E61AAF" w:rsidRPr="00E90E6A" w:rsidRDefault="00E61AAF" w:rsidP="00E61AAF">
      <w:pPr>
        <w:jc w:val="center"/>
        <w:rPr>
          <w:rFonts w:ascii="Times New Roman" w:hAnsi="Times New Roman" w:cs="Times New Roman"/>
          <w:b/>
          <w:bCs/>
          <w:sz w:val="28"/>
          <w:szCs w:val="28"/>
        </w:rPr>
      </w:pPr>
      <w:r w:rsidRPr="00E90E6A">
        <w:rPr>
          <w:rFonts w:ascii="Times New Roman" w:hAnsi="Times New Roman" w:cs="Times New Roman"/>
          <w:b/>
          <w:bCs/>
          <w:sz w:val="28"/>
          <w:szCs w:val="28"/>
        </w:rPr>
        <w:t>Fecha:</w:t>
      </w:r>
    </w:p>
    <w:p w14:paraId="7E4F614C" w14:textId="7AB63FB5" w:rsidR="003F625C" w:rsidRDefault="00E61AAF" w:rsidP="00E61AAF">
      <w:pPr>
        <w:jc w:val="center"/>
        <w:rPr>
          <w:rFonts w:ascii="Times New Roman" w:hAnsi="Times New Roman" w:cs="Times New Roman"/>
        </w:rPr>
      </w:pPr>
      <w:r w:rsidRPr="00E61AAF">
        <w:rPr>
          <w:rFonts w:ascii="Times New Roman" w:hAnsi="Times New Roman" w:cs="Times New Roman"/>
        </w:rPr>
        <w:t>9-10-25</w:t>
      </w:r>
    </w:p>
    <w:p w14:paraId="3CB6FD0A" w14:textId="77777777" w:rsidR="003F625C" w:rsidRDefault="003F625C">
      <w:pPr>
        <w:rPr>
          <w:rFonts w:ascii="Times New Roman" w:hAnsi="Times New Roman" w:cs="Times New Roman"/>
        </w:rPr>
      </w:pPr>
      <w:r>
        <w:rPr>
          <w:rFonts w:ascii="Times New Roman" w:hAnsi="Times New Roman" w:cs="Times New Roman"/>
        </w:rPr>
        <w:br w:type="page"/>
      </w:r>
    </w:p>
    <w:p w14:paraId="25DC380D" w14:textId="6F5FEAC6" w:rsidR="003F625C" w:rsidRPr="003F625C" w:rsidRDefault="003F625C" w:rsidP="003F625C">
      <w:pPr>
        <w:rPr>
          <w:rFonts w:ascii="Times New Roman" w:hAnsi="Times New Roman" w:cs="Times New Roman"/>
          <w:b/>
          <w:bCs/>
          <w:sz w:val="28"/>
          <w:szCs w:val="28"/>
        </w:rPr>
      </w:pPr>
      <w:r w:rsidRPr="003F625C">
        <w:rPr>
          <w:rFonts w:ascii="Times New Roman" w:hAnsi="Times New Roman" w:cs="Times New Roman"/>
          <w:b/>
          <w:bCs/>
          <w:sz w:val="28"/>
          <w:szCs w:val="28"/>
        </w:rPr>
        <w:lastRenderedPageBreak/>
        <w:t xml:space="preserve">Filtro Antialiasing </w:t>
      </w:r>
      <w:r>
        <w:rPr>
          <w:rFonts w:ascii="Times New Roman" w:hAnsi="Times New Roman" w:cs="Times New Roman"/>
          <w:b/>
          <w:bCs/>
          <w:sz w:val="28"/>
          <w:szCs w:val="28"/>
        </w:rPr>
        <w:t>(</w:t>
      </w:r>
      <w:r w:rsidRPr="003F625C">
        <w:rPr>
          <w:rFonts w:ascii="Times New Roman" w:hAnsi="Times New Roman" w:cs="Times New Roman"/>
          <w:b/>
          <w:bCs/>
          <w:sz w:val="28"/>
          <w:szCs w:val="28"/>
        </w:rPr>
        <w:t>Teoría del Muestreo</w:t>
      </w:r>
      <w:r>
        <w:rPr>
          <w:rFonts w:ascii="Times New Roman" w:hAnsi="Times New Roman" w:cs="Times New Roman"/>
          <w:b/>
          <w:bCs/>
          <w:sz w:val="28"/>
          <w:szCs w:val="28"/>
        </w:rPr>
        <w:t>)</w:t>
      </w:r>
    </w:p>
    <w:p w14:paraId="0C5F1A13" w14:textId="77777777" w:rsidR="003F625C" w:rsidRPr="003F625C" w:rsidRDefault="003F625C" w:rsidP="003F625C">
      <w:pPr>
        <w:rPr>
          <w:rFonts w:ascii="Times New Roman" w:hAnsi="Times New Roman" w:cs="Times New Roman"/>
        </w:rPr>
      </w:pPr>
      <w:r w:rsidRPr="003F625C">
        <w:rPr>
          <w:rFonts w:ascii="Times New Roman" w:hAnsi="Times New Roman" w:cs="Times New Roman"/>
        </w:rPr>
        <w:t xml:space="preserve">El Teorema de Muestreo de Nyquist-Shannon establece </w:t>
      </w:r>
      <w:proofErr w:type="gramStart"/>
      <w:r w:rsidRPr="003F625C">
        <w:rPr>
          <w:rFonts w:ascii="Times New Roman" w:hAnsi="Times New Roman" w:cs="Times New Roman"/>
        </w:rPr>
        <w:t>que</w:t>
      </w:r>
      <w:proofErr w:type="gramEnd"/>
      <w:r w:rsidRPr="003F625C">
        <w:rPr>
          <w:rFonts w:ascii="Times New Roman" w:hAnsi="Times New Roman" w:cs="Times New Roman"/>
        </w:rPr>
        <w:t xml:space="preserve"> para poder reconstruir una señal analógica a partir de sus muestras sin pérdida de información, la frecuencia de muestreo (</w:t>
      </w:r>
      <w:proofErr w:type="spellStart"/>
      <w:r w:rsidRPr="003F625C">
        <w:rPr>
          <w:rFonts w:ascii="Times New Roman" w:hAnsi="Times New Roman" w:cs="Times New Roman"/>
        </w:rPr>
        <w:t>fs</w:t>
      </w:r>
      <w:proofErr w:type="spellEnd"/>
      <w:r w:rsidRPr="003F625C">
        <w:rPr>
          <w:rFonts w:ascii="Times New Roman" w:hAnsi="Times New Roman" w:cs="Times New Roman"/>
        </w:rPr>
        <w:t>) debe ser al menos el doble de la frecuencia máxima (</w:t>
      </w:r>
      <w:proofErr w:type="spellStart"/>
      <w:r w:rsidRPr="003F625C">
        <w:rPr>
          <w:rFonts w:ascii="Times New Roman" w:hAnsi="Times New Roman" w:cs="Times New Roman"/>
        </w:rPr>
        <w:t>fmax</w:t>
      </w:r>
      <w:proofErr w:type="spellEnd"/>
      <w:r w:rsidRPr="003F625C">
        <w:rPr>
          <w:rFonts w:ascii="Times New Roman" w:hAnsi="Times New Roman" w:cs="Times New Roman"/>
        </w:rPr>
        <w:t>) presente en la señal. A esta frecuencia máxima se le conoce como la frecuencia de Nyquist (</w:t>
      </w:r>
      <w:proofErr w:type="spellStart"/>
      <w:r w:rsidRPr="003F625C">
        <w:rPr>
          <w:rFonts w:ascii="Times New Roman" w:hAnsi="Times New Roman" w:cs="Times New Roman"/>
        </w:rPr>
        <w:t>fs</w:t>
      </w:r>
      <w:proofErr w:type="spellEnd"/>
      <w:r w:rsidRPr="003F625C">
        <w:rPr>
          <w:rFonts w:ascii="Times New Roman" w:hAnsi="Times New Roman" w:cs="Times New Roman"/>
        </w:rPr>
        <w:t>/2).</w:t>
      </w:r>
    </w:p>
    <w:p w14:paraId="37780C17" w14:textId="77777777" w:rsidR="003F625C" w:rsidRPr="003F625C" w:rsidRDefault="003F625C" w:rsidP="003F625C">
      <w:pPr>
        <w:rPr>
          <w:rFonts w:ascii="Times New Roman" w:hAnsi="Times New Roman" w:cs="Times New Roman"/>
        </w:rPr>
      </w:pPr>
      <w:r w:rsidRPr="003F625C">
        <w:rPr>
          <w:rFonts w:ascii="Times New Roman" w:hAnsi="Times New Roman" w:cs="Times New Roman"/>
        </w:rPr>
        <w:t>El fenómeno de aliasing ocurre cuando se muestrea una señal a una frecuencia inferior a la requerida por el teorema de Nyquist. Esto provoca que las componentes de frecuencia de la señal por encima de la frecuencia de Nyquist se "doblen" y aparezcan como frecuencias más bajas en la señal muestreada, distorsionando la información original.</w:t>
      </w:r>
    </w:p>
    <w:p w14:paraId="1374A93F" w14:textId="77777777" w:rsidR="003F625C" w:rsidRPr="003F625C" w:rsidRDefault="003F625C" w:rsidP="003F625C">
      <w:pPr>
        <w:rPr>
          <w:rFonts w:ascii="Times New Roman" w:hAnsi="Times New Roman" w:cs="Times New Roman"/>
        </w:rPr>
      </w:pPr>
      <w:r w:rsidRPr="003F625C">
        <w:rPr>
          <w:rFonts w:ascii="Times New Roman" w:hAnsi="Times New Roman" w:cs="Times New Roman"/>
        </w:rPr>
        <w:t>Para evitar el aliasing, se utiliza un filtro antialiasing, que es un filtro paso bajo analógico que se coloca antes del convertidor analógico-digital (ADC). La función de este filtro es atenuar o eliminar todas las frecuencias superiores a la frecuencia de Nyquist antes de que la señal sea muestreada.</w:t>
      </w:r>
    </w:p>
    <w:p w14:paraId="7D8D9606" w14:textId="52A91110" w:rsidR="003F625C" w:rsidRPr="003F625C" w:rsidRDefault="003F625C" w:rsidP="003F625C">
      <w:pPr>
        <w:rPr>
          <w:rFonts w:ascii="Times New Roman" w:hAnsi="Times New Roman" w:cs="Times New Roman"/>
          <w:b/>
          <w:bCs/>
        </w:rPr>
      </w:pPr>
      <w:r w:rsidRPr="003F625C">
        <w:rPr>
          <w:rFonts w:ascii="Times New Roman" w:hAnsi="Times New Roman" w:cs="Times New Roman"/>
          <w:b/>
          <w:bCs/>
        </w:rPr>
        <w:t>Esta</w:t>
      </w:r>
      <w:r>
        <w:rPr>
          <w:rFonts w:ascii="Times New Roman" w:hAnsi="Times New Roman" w:cs="Times New Roman"/>
          <w:b/>
          <w:bCs/>
        </w:rPr>
        <w:t>s</w:t>
      </w:r>
      <w:r w:rsidRPr="003F625C">
        <w:rPr>
          <w:rFonts w:ascii="Times New Roman" w:hAnsi="Times New Roman" w:cs="Times New Roman"/>
          <w:b/>
          <w:bCs/>
        </w:rPr>
        <w:t xml:space="preserve"> </w:t>
      </w:r>
      <w:r w:rsidRPr="003F625C">
        <w:rPr>
          <w:rFonts w:ascii="Times New Roman" w:hAnsi="Times New Roman" w:cs="Times New Roman"/>
          <w:b/>
          <w:bCs/>
        </w:rPr>
        <w:t>imágen</w:t>
      </w:r>
      <w:r>
        <w:rPr>
          <w:rFonts w:ascii="Times New Roman" w:hAnsi="Times New Roman" w:cs="Times New Roman"/>
          <w:b/>
          <w:bCs/>
        </w:rPr>
        <w:t>es</w:t>
      </w:r>
      <w:r w:rsidRPr="003F625C">
        <w:rPr>
          <w:rFonts w:ascii="Times New Roman" w:hAnsi="Times New Roman" w:cs="Times New Roman"/>
          <w:b/>
          <w:bCs/>
        </w:rPr>
        <w:t xml:space="preserve"> ilustra</w:t>
      </w:r>
      <w:r>
        <w:rPr>
          <w:rFonts w:ascii="Times New Roman" w:hAnsi="Times New Roman" w:cs="Times New Roman"/>
          <w:b/>
          <w:bCs/>
        </w:rPr>
        <w:t>n</w:t>
      </w:r>
      <w:r w:rsidRPr="003F625C">
        <w:rPr>
          <w:rFonts w:ascii="Times New Roman" w:hAnsi="Times New Roman" w:cs="Times New Roman"/>
          <w:b/>
          <w:bCs/>
        </w:rPr>
        <w:t xml:space="preserve"> el concepto: </w:t>
      </w:r>
    </w:p>
    <w:p w14:paraId="3BC1509A" w14:textId="59EBDB33" w:rsidR="003F625C" w:rsidRDefault="003F625C" w:rsidP="003F625C">
      <w:pPr>
        <w:jc w:val="center"/>
        <w:rPr>
          <w:rFonts w:ascii="Times New Roman" w:hAnsi="Times New Roman" w:cs="Times New Roman"/>
        </w:rPr>
      </w:pPr>
      <w:hyperlink r:id="rId6" w:tgtFrame="_blank" w:history="1">
        <w:r w:rsidRPr="003F625C">
          <w:drawing>
            <wp:inline distT="0" distB="0" distL="0" distR="0" wp14:anchorId="1F6D2054" wp14:editId="749AD1D0">
              <wp:extent cx="2880000" cy="2304000"/>
              <wp:effectExtent l="0" t="0" r="0" b="1270"/>
              <wp:docPr id="1583252607" name="Imagen 4" descr="Imagen de diagrama del teorema de muestreo de NyquistShan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n de diagrama del teorema de muestreo de NyquistShann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80000" cy="2304000"/>
                      </a:xfrm>
                      <a:prstGeom prst="rect">
                        <a:avLst/>
                      </a:prstGeom>
                      <a:noFill/>
                      <a:ln>
                        <a:noFill/>
                      </a:ln>
                    </pic:spPr>
                  </pic:pic>
                </a:graphicData>
              </a:graphic>
            </wp:inline>
          </w:drawing>
        </w:r>
      </w:hyperlink>
    </w:p>
    <w:p w14:paraId="6C7DE89F" w14:textId="074F2B8D" w:rsidR="003F625C" w:rsidRPr="003F625C" w:rsidRDefault="003F625C" w:rsidP="003F625C">
      <w:pPr>
        <w:jc w:val="center"/>
        <w:rPr>
          <w:rFonts w:ascii="Times New Roman" w:hAnsi="Times New Roman" w:cs="Times New Roman"/>
        </w:rPr>
      </w:pPr>
      <w:r>
        <w:rPr>
          <w:noProof/>
        </w:rPr>
        <w:drawing>
          <wp:inline distT="0" distB="0" distL="0" distR="0" wp14:anchorId="37782417" wp14:editId="03466F95">
            <wp:extent cx="2880000" cy="2142000"/>
            <wp:effectExtent l="0" t="0" r="0" b="0"/>
            <wp:docPr id="812421316" name="Imagen 6" descr="Filtro antialiasing para la entrada analógica del DSC. |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iltro antialiasing para la entrada analógica del DSC. | Download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0000" cy="2142000"/>
                    </a:xfrm>
                    <a:prstGeom prst="rect">
                      <a:avLst/>
                    </a:prstGeom>
                    <a:noFill/>
                    <a:ln>
                      <a:noFill/>
                    </a:ln>
                  </pic:spPr>
                </pic:pic>
              </a:graphicData>
            </a:graphic>
          </wp:inline>
        </w:drawing>
      </w:r>
    </w:p>
    <w:p w14:paraId="023DF77F" w14:textId="6E7E9424" w:rsidR="003F625C" w:rsidRPr="003F625C" w:rsidRDefault="003F625C" w:rsidP="003F625C">
      <w:pPr>
        <w:rPr>
          <w:rFonts w:ascii="Times New Roman" w:hAnsi="Times New Roman" w:cs="Times New Roman"/>
        </w:rPr>
      </w:pPr>
    </w:p>
    <w:p w14:paraId="1E4C648F" w14:textId="77777777" w:rsidR="003F625C" w:rsidRPr="003F625C" w:rsidRDefault="003F625C" w:rsidP="003F625C">
      <w:pPr>
        <w:rPr>
          <w:rFonts w:ascii="Times New Roman" w:hAnsi="Times New Roman" w:cs="Times New Roman"/>
          <w:b/>
          <w:bCs/>
        </w:rPr>
      </w:pPr>
      <w:r w:rsidRPr="003F625C">
        <w:rPr>
          <w:rFonts w:ascii="Times New Roman" w:hAnsi="Times New Roman" w:cs="Times New Roman"/>
          <w:b/>
          <w:bCs/>
        </w:rPr>
        <w:t>Esquemáticos para Entradas y Salidas del PLC</w:t>
      </w:r>
    </w:p>
    <w:p w14:paraId="73BA75E0" w14:textId="2CFCAD8D" w:rsidR="003F625C" w:rsidRPr="003F625C" w:rsidRDefault="003F625C" w:rsidP="003F625C">
      <w:pPr>
        <w:rPr>
          <w:rFonts w:ascii="Times New Roman" w:hAnsi="Times New Roman" w:cs="Times New Roman"/>
        </w:rPr>
      </w:pPr>
      <w:r w:rsidRPr="003F625C">
        <w:rPr>
          <w:rFonts w:ascii="Times New Roman" w:hAnsi="Times New Roman" w:cs="Times New Roman"/>
        </w:rPr>
        <w:t xml:space="preserve">A </w:t>
      </w:r>
      <w:r w:rsidRPr="003F625C">
        <w:rPr>
          <w:rFonts w:ascii="Times New Roman" w:hAnsi="Times New Roman" w:cs="Times New Roman"/>
        </w:rPr>
        <w:t>continuación,</w:t>
      </w:r>
      <w:r w:rsidRPr="003F625C">
        <w:rPr>
          <w:rFonts w:ascii="Times New Roman" w:hAnsi="Times New Roman" w:cs="Times New Roman"/>
        </w:rPr>
        <w:t xml:space="preserve"> se describen los circuitos típicos para las diferentes interfaces de entrada y salida de un PLC.</w:t>
      </w:r>
    </w:p>
    <w:p w14:paraId="5348FE7F" w14:textId="77777777" w:rsidR="003F625C" w:rsidRPr="003F625C" w:rsidRDefault="003F625C" w:rsidP="003F625C">
      <w:pPr>
        <w:rPr>
          <w:rFonts w:ascii="Times New Roman" w:hAnsi="Times New Roman" w:cs="Times New Roman"/>
          <w:b/>
          <w:bCs/>
          <w:sz w:val="28"/>
          <w:szCs w:val="28"/>
        </w:rPr>
      </w:pPr>
      <w:r w:rsidRPr="003F625C">
        <w:rPr>
          <w:rFonts w:ascii="Times New Roman" w:hAnsi="Times New Roman" w:cs="Times New Roman"/>
          <w:b/>
          <w:bCs/>
          <w:sz w:val="28"/>
          <w:szCs w:val="28"/>
        </w:rPr>
        <w:t>Entradas y Salidas PNP y NPN</w:t>
      </w:r>
    </w:p>
    <w:p w14:paraId="32582C2C" w14:textId="77777777" w:rsidR="003F625C" w:rsidRPr="003F625C" w:rsidRDefault="003F625C" w:rsidP="003F625C">
      <w:pPr>
        <w:rPr>
          <w:rFonts w:ascii="Times New Roman" w:hAnsi="Times New Roman" w:cs="Times New Roman"/>
        </w:rPr>
      </w:pPr>
      <w:r w:rsidRPr="003F625C">
        <w:rPr>
          <w:rFonts w:ascii="Times New Roman" w:hAnsi="Times New Roman" w:cs="Times New Roman"/>
        </w:rPr>
        <w:t xml:space="preserve">Tanto las entradas como las salidas digitales en los </w:t>
      </w:r>
      <w:proofErr w:type="spellStart"/>
      <w:r w:rsidRPr="003F625C">
        <w:rPr>
          <w:rFonts w:ascii="Times New Roman" w:hAnsi="Times New Roman" w:cs="Times New Roman"/>
        </w:rPr>
        <w:t>PLCs</w:t>
      </w:r>
      <w:proofErr w:type="spellEnd"/>
      <w:r w:rsidRPr="003F625C">
        <w:rPr>
          <w:rFonts w:ascii="Times New Roman" w:hAnsi="Times New Roman" w:cs="Times New Roman"/>
        </w:rPr>
        <w:t xml:space="preserve"> pueden ser de tipo PNP o NPN. La principal diferencia radica en la forma en que se conmuta la carga.</w:t>
      </w:r>
    </w:p>
    <w:p w14:paraId="7BA36C3F" w14:textId="77777777" w:rsidR="003F625C" w:rsidRPr="003F625C" w:rsidRDefault="003F625C" w:rsidP="003F625C">
      <w:pPr>
        <w:numPr>
          <w:ilvl w:val="0"/>
          <w:numId w:val="1"/>
        </w:numPr>
        <w:rPr>
          <w:rFonts w:ascii="Times New Roman" w:hAnsi="Times New Roman" w:cs="Times New Roman"/>
        </w:rPr>
      </w:pPr>
      <w:r w:rsidRPr="003F625C">
        <w:rPr>
          <w:rFonts w:ascii="Times New Roman" w:hAnsi="Times New Roman" w:cs="Times New Roman"/>
        </w:rPr>
        <w:t>PNP (Sourcing): En una configuración PNP, la carga se conecta entre la salida y el común (0V). La salida del PLC suministra la corriente (fuente) para activar la carga. Los sensores PNP proporcionan una salida positiva.</w:t>
      </w:r>
    </w:p>
    <w:p w14:paraId="477CAC0A" w14:textId="77777777" w:rsidR="003F625C" w:rsidRDefault="003F625C" w:rsidP="003F625C">
      <w:pPr>
        <w:numPr>
          <w:ilvl w:val="0"/>
          <w:numId w:val="1"/>
        </w:numPr>
        <w:rPr>
          <w:rFonts w:ascii="Times New Roman" w:hAnsi="Times New Roman" w:cs="Times New Roman"/>
        </w:rPr>
      </w:pPr>
      <w:r w:rsidRPr="003F625C">
        <w:rPr>
          <w:rFonts w:ascii="Times New Roman" w:hAnsi="Times New Roman" w:cs="Times New Roman"/>
        </w:rPr>
        <w:t>NPN (Sinking): En una configuración NPN, la carga se conecta entre la salida y el positivo de la fuente de alimentación. La salida del PLC drena la corriente (sumidero) desde la carga hacia el común. Los sensores NPN proporcionan una salida negativa.</w:t>
      </w:r>
    </w:p>
    <w:p w14:paraId="5A43DA85" w14:textId="25201488" w:rsidR="003F625C" w:rsidRPr="003F625C" w:rsidRDefault="003F625C" w:rsidP="003F625C">
      <w:pPr>
        <w:ind w:left="720"/>
        <w:jc w:val="center"/>
        <w:rPr>
          <w:rFonts w:ascii="Times New Roman" w:hAnsi="Times New Roman" w:cs="Times New Roman"/>
          <w:b/>
          <w:bCs/>
        </w:rPr>
      </w:pPr>
      <w:r w:rsidRPr="003F625C">
        <w:rPr>
          <w:rFonts w:ascii="Times New Roman" w:hAnsi="Times New Roman" w:cs="Times New Roman"/>
          <w:b/>
          <w:bCs/>
        </w:rPr>
        <w:t>Representación de las entradas/salidas PNP Y NPN</w:t>
      </w:r>
    </w:p>
    <w:p w14:paraId="6F147682" w14:textId="0721D6FB" w:rsidR="003F625C" w:rsidRDefault="003F625C" w:rsidP="003F625C">
      <w:pPr>
        <w:ind w:left="720"/>
        <w:jc w:val="center"/>
        <w:rPr>
          <w:rFonts w:ascii="Times New Roman" w:hAnsi="Times New Roman" w:cs="Times New Roman"/>
        </w:rPr>
      </w:pPr>
      <w:r>
        <w:rPr>
          <w:noProof/>
        </w:rPr>
        <w:drawing>
          <wp:inline distT="0" distB="0" distL="0" distR="0" wp14:anchorId="6BBDBCB7" wp14:editId="200C40A1">
            <wp:extent cx="2880000" cy="1360800"/>
            <wp:effectExtent l="0" t="0" r="0" b="0"/>
            <wp:docPr id="671170695" name="Imagen 7" descr="Diferencias entre PNP y NPN en cableado de PL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Diferencias entre PNP y NPN en cableado de PLC'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80000" cy="1360800"/>
                    </a:xfrm>
                    <a:prstGeom prst="rect">
                      <a:avLst/>
                    </a:prstGeom>
                    <a:noFill/>
                    <a:ln>
                      <a:noFill/>
                    </a:ln>
                  </pic:spPr>
                </pic:pic>
              </a:graphicData>
            </a:graphic>
          </wp:inline>
        </w:drawing>
      </w:r>
    </w:p>
    <w:p w14:paraId="5A85512D" w14:textId="77777777" w:rsidR="00475F9B" w:rsidRPr="003F625C" w:rsidRDefault="00475F9B" w:rsidP="003F625C">
      <w:pPr>
        <w:ind w:left="720"/>
        <w:jc w:val="center"/>
        <w:rPr>
          <w:rFonts w:ascii="Times New Roman" w:hAnsi="Times New Roman" w:cs="Times New Roman"/>
        </w:rPr>
      </w:pPr>
    </w:p>
    <w:p w14:paraId="14E0DEEA" w14:textId="77777777" w:rsidR="003F625C" w:rsidRPr="003F625C" w:rsidRDefault="003F625C" w:rsidP="003F625C">
      <w:pPr>
        <w:rPr>
          <w:rFonts w:ascii="Times New Roman" w:hAnsi="Times New Roman" w:cs="Times New Roman"/>
          <w:b/>
          <w:bCs/>
          <w:sz w:val="28"/>
          <w:szCs w:val="28"/>
        </w:rPr>
      </w:pPr>
      <w:r w:rsidRPr="003F625C">
        <w:rPr>
          <w:rFonts w:ascii="Times New Roman" w:hAnsi="Times New Roman" w:cs="Times New Roman"/>
          <w:b/>
          <w:bCs/>
          <w:sz w:val="28"/>
          <w:szCs w:val="28"/>
        </w:rPr>
        <w:t>Entrada Analógica 0-10V</w:t>
      </w:r>
    </w:p>
    <w:p w14:paraId="11D48456" w14:textId="77777777" w:rsidR="003F625C" w:rsidRPr="003F625C" w:rsidRDefault="003F625C" w:rsidP="003F625C">
      <w:pPr>
        <w:rPr>
          <w:rFonts w:ascii="Times New Roman" w:hAnsi="Times New Roman" w:cs="Times New Roman"/>
        </w:rPr>
      </w:pPr>
      <w:r w:rsidRPr="003F625C">
        <w:rPr>
          <w:rFonts w:ascii="Times New Roman" w:hAnsi="Times New Roman" w:cs="Times New Roman"/>
        </w:rPr>
        <w:t>Una entrada analógica de 0-10V se utiliza para medir una señal de voltaje variable. El circuito de acondicionamiento de señal generalmente incluye un divisor de tensión para adaptar el rango de voltaje a la entrada del ADC del microcontrolador. También puede incluir un amplificador operacional en configuración de seguidor de tensión para proporcionar una alta impedancia de entrada.</w:t>
      </w:r>
    </w:p>
    <w:p w14:paraId="20E59C1A" w14:textId="77777777" w:rsidR="003F625C" w:rsidRPr="003F625C" w:rsidRDefault="003F625C" w:rsidP="003F625C">
      <w:pPr>
        <w:rPr>
          <w:rFonts w:ascii="Times New Roman" w:hAnsi="Times New Roman" w:cs="Times New Roman"/>
          <w:b/>
          <w:bCs/>
          <w:sz w:val="28"/>
          <w:szCs w:val="28"/>
        </w:rPr>
      </w:pPr>
      <w:r w:rsidRPr="003F625C">
        <w:rPr>
          <w:rFonts w:ascii="Times New Roman" w:hAnsi="Times New Roman" w:cs="Times New Roman"/>
          <w:b/>
          <w:bCs/>
          <w:sz w:val="28"/>
          <w:szCs w:val="28"/>
        </w:rPr>
        <w:t>Salida Analógica 0-10V</w:t>
      </w:r>
    </w:p>
    <w:p w14:paraId="23A26884" w14:textId="77777777" w:rsidR="003F625C" w:rsidRPr="003F625C" w:rsidRDefault="003F625C" w:rsidP="003F625C">
      <w:pPr>
        <w:rPr>
          <w:rFonts w:ascii="Times New Roman" w:hAnsi="Times New Roman" w:cs="Times New Roman"/>
        </w:rPr>
      </w:pPr>
      <w:r w:rsidRPr="003F625C">
        <w:rPr>
          <w:rFonts w:ascii="Times New Roman" w:hAnsi="Times New Roman" w:cs="Times New Roman"/>
        </w:rPr>
        <w:t xml:space="preserve">Para generar una señal de 0-10V, se puede utilizar un convertidor digital-analógico (DAC) seguido de un amplificador operacional para proporcionar la corriente necesaria. Otra </w:t>
      </w:r>
      <w:r w:rsidRPr="003F625C">
        <w:rPr>
          <w:rFonts w:ascii="Times New Roman" w:hAnsi="Times New Roman" w:cs="Times New Roman"/>
        </w:rPr>
        <w:lastRenderedPageBreak/>
        <w:t>técnica común, especialmente con microcontroladores, es utilizar una salida de modulación por ancho de pulso (PWM) y filtrarla con un circuito RC para obtener un voltaje analógico.</w:t>
      </w:r>
    </w:p>
    <w:p w14:paraId="289045FA" w14:textId="77777777" w:rsidR="003F625C" w:rsidRPr="003F625C" w:rsidRDefault="003F625C" w:rsidP="003F625C">
      <w:pPr>
        <w:rPr>
          <w:rFonts w:ascii="Times New Roman" w:hAnsi="Times New Roman" w:cs="Times New Roman"/>
          <w:b/>
          <w:bCs/>
          <w:sz w:val="28"/>
          <w:szCs w:val="28"/>
        </w:rPr>
      </w:pPr>
      <w:r w:rsidRPr="003F625C">
        <w:rPr>
          <w:rFonts w:ascii="Times New Roman" w:hAnsi="Times New Roman" w:cs="Times New Roman"/>
          <w:b/>
          <w:bCs/>
          <w:sz w:val="28"/>
          <w:szCs w:val="28"/>
        </w:rPr>
        <w:t>Entrada Analógica 4-20mA</w:t>
      </w:r>
    </w:p>
    <w:p w14:paraId="41D9603C" w14:textId="77777777" w:rsidR="003F625C" w:rsidRPr="003F625C" w:rsidRDefault="003F625C" w:rsidP="003F625C">
      <w:pPr>
        <w:rPr>
          <w:rFonts w:ascii="Times New Roman" w:hAnsi="Times New Roman" w:cs="Times New Roman"/>
        </w:rPr>
      </w:pPr>
      <w:r w:rsidRPr="003F625C">
        <w:rPr>
          <w:rFonts w:ascii="Times New Roman" w:hAnsi="Times New Roman" w:cs="Times New Roman"/>
        </w:rPr>
        <w:t>La señal de 4-20mA es un estándar industrial muy común para la transmisión de señales analógicas. Para leer esta señal, se utiliza una resistencia de precisión (shunt) para convertir la corriente en un voltaje proporcional, que luego se mide con un ADC. Por ejemplo, una resistencia de 250 ohmios convertirá una señal de 4-20mA en un rango de voltaje de 1-5V.</w:t>
      </w:r>
    </w:p>
    <w:p w14:paraId="4B4DC486" w14:textId="77777777" w:rsidR="003F625C" w:rsidRPr="003F625C" w:rsidRDefault="003F625C" w:rsidP="003F625C">
      <w:pPr>
        <w:rPr>
          <w:rFonts w:ascii="Times New Roman" w:hAnsi="Times New Roman" w:cs="Times New Roman"/>
          <w:b/>
          <w:bCs/>
          <w:sz w:val="28"/>
          <w:szCs w:val="28"/>
        </w:rPr>
      </w:pPr>
      <w:r w:rsidRPr="003F625C">
        <w:rPr>
          <w:rFonts w:ascii="Times New Roman" w:hAnsi="Times New Roman" w:cs="Times New Roman"/>
          <w:b/>
          <w:bCs/>
          <w:sz w:val="28"/>
          <w:szCs w:val="28"/>
        </w:rPr>
        <w:t>Salida Analógica 4-20mA</w:t>
      </w:r>
    </w:p>
    <w:p w14:paraId="017923A6" w14:textId="77777777" w:rsidR="003F625C" w:rsidRPr="003F625C" w:rsidRDefault="003F625C" w:rsidP="003F625C">
      <w:pPr>
        <w:rPr>
          <w:rFonts w:ascii="Times New Roman" w:hAnsi="Times New Roman" w:cs="Times New Roman"/>
        </w:rPr>
      </w:pPr>
      <w:r w:rsidRPr="003F625C">
        <w:rPr>
          <w:rFonts w:ascii="Times New Roman" w:hAnsi="Times New Roman" w:cs="Times New Roman"/>
        </w:rPr>
        <w:t>Para generar una salida de 4-20mA, se utiliza un convertidor de voltaje a corriente, a menudo implementado con amplificadores operacionales y transistores. Este circuito toma una señal de voltaje de un DAC y la convierte en una corriente de salida constante en el rango de 4-20mA.</w:t>
      </w:r>
    </w:p>
    <w:p w14:paraId="1F59380D" w14:textId="77777777" w:rsidR="003F625C" w:rsidRPr="003F625C" w:rsidRDefault="003F625C" w:rsidP="003F625C">
      <w:pPr>
        <w:rPr>
          <w:rFonts w:ascii="Times New Roman" w:hAnsi="Times New Roman" w:cs="Times New Roman"/>
          <w:b/>
          <w:bCs/>
          <w:sz w:val="28"/>
          <w:szCs w:val="28"/>
        </w:rPr>
      </w:pPr>
      <w:r w:rsidRPr="003F625C">
        <w:rPr>
          <w:rFonts w:ascii="Times New Roman" w:hAnsi="Times New Roman" w:cs="Times New Roman"/>
          <w:b/>
          <w:bCs/>
          <w:sz w:val="28"/>
          <w:szCs w:val="28"/>
        </w:rPr>
        <w:t>Driver para Relé</w:t>
      </w:r>
    </w:p>
    <w:p w14:paraId="3CC80CA9" w14:textId="77777777" w:rsidR="003F625C" w:rsidRDefault="003F625C" w:rsidP="003F625C">
      <w:pPr>
        <w:rPr>
          <w:rFonts w:ascii="Times New Roman" w:hAnsi="Times New Roman" w:cs="Times New Roman"/>
        </w:rPr>
      </w:pPr>
      <w:r w:rsidRPr="003F625C">
        <w:rPr>
          <w:rFonts w:ascii="Times New Roman" w:hAnsi="Times New Roman" w:cs="Times New Roman"/>
        </w:rPr>
        <w:t>Un relé es un interruptor electromecánico que permite controlar una carga de alta potencia con una señal de baja potencia. Para activar un relé con un microcontrolador, se necesita un circuito "</w:t>
      </w:r>
      <w:proofErr w:type="gramStart"/>
      <w:r w:rsidRPr="003F625C">
        <w:rPr>
          <w:rFonts w:ascii="Times New Roman" w:hAnsi="Times New Roman" w:cs="Times New Roman"/>
        </w:rPr>
        <w:t>driver</w:t>
      </w:r>
      <w:proofErr w:type="gramEnd"/>
      <w:r w:rsidRPr="003F625C">
        <w:rPr>
          <w:rFonts w:ascii="Times New Roman" w:hAnsi="Times New Roman" w:cs="Times New Roman"/>
        </w:rPr>
        <w:t>" que generalmente consiste en un transistor (como un NPN) que actúa como un interruptor para la bobina del relé. Es crucial incluir un diodo de protección ("flyback diode") en paralelo con la bobina del relé para proteger el transistor de los picos de voltaje inductivos que se generan cuando la bobina se desenergiza.</w:t>
      </w:r>
    </w:p>
    <w:p w14:paraId="2FCEC6FB" w14:textId="7DE6EB06" w:rsidR="00495CC8" w:rsidRPr="003F625C" w:rsidRDefault="00495CC8" w:rsidP="00495CC8">
      <w:pPr>
        <w:jc w:val="center"/>
        <w:rPr>
          <w:rFonts w:ascii="Times New Roman" w:hAnsi="Times New Roman" w:cs="Times New Roman"/>
        </w:rPr>
      </w:pPr>
      <w:r>
        <w:rPr>
          <w:noProof/>
        </w:rPr>
        <w:drawing>
          <wp:inline distT="0" distB="0" distL="0" distR="0" wp14:anchorId="63EC91BC" wp14:editId="3BE01ED9">
            <wp:extent cx="2880000" cy="1533600"/>
            <wp:effectExtent l="0" t="0" r="0" b="0"/>
            <wp:docPr id="1906503198" name="Imagen 10" descr="ELETRÔNICA GERAL: Driver de Relé com 2 Transi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ELETRÔNICA GERAL: Driver de Relé com 2 Transistor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0000" cy="1533600"/>
                    </a:xfrm>
                    <a:prstGeom prst="rect">
                      <a:avLst/>
                    </a:prstGeom>
                    <a:noFill/>
                    <a:ln>
                      <a:noFill/>
                    </a:ln>
                  </pic:spPr>
                </pic:pic>
              </a:graphicData>
            </a:graphic>
          </wp:inline>
        </w:drawing>
      </w:r>
    </w:p>
    <w:p w14:paraId="619A8EBD" w14:textId="77777777" w:rsidR="003F625C" w:rsidRPr="003F625C" w:rsidRDefault="003F625C" w:rsidP="003F625C">
      <w:pPr>
        <w:rPr>
          <w:rFonts w:ascii="Times New Roman" w:hAnsi="Times New Roman" w:cs="Times New Roman"/>
          <w:b/>
          <w:bCs/>
          <w:sz w:val="28"/>
          <w:szCs w:val="28"/>
        </w:rPr>
      </w:pPr>
      <w:r w:rsidRPr="003F625C">
        <w:rPr>
          <w:rFonts w:ascii="Times New Roman" w:hAnsi="Times New Roman" w:cs="Times New Roman"/>
          <w:b/>
          <w:bCs/>
          <w:sz w:val="28"/>
          <w:szCs w:val="28"/>
        </w:rPr>
        <w:t>Entrada Digital con Optoacoplador</w:t>
      </w:r>
    </w:p>
    <w:p w14:paraId="0162DB01" w14:textId="77777777" w:rsidR="003F625C" w:rsidRPr="003F625C" w:rsidRDefault="003F625C" w:rsidP="003F625C">
      <w:pPr>
        <w:rPr>
          <w:rFonts w:ascii="Times New Roman" w:hAnsi="Times New Roman" w:cs="Times New Roman"/>
        </w:rPr>
      </w:pPr>
      <w:r w:rsidRPr="003F625C">
        <w:rPr>
          <w:rFonts w:ascii="Times New Roman" w:hAnsi="Times New Roman" w:cs="Times New Roman"/>
        </w:rPr>
        <w:t>Los optoacopladores se utilizan para proporcionar aislamiento galvánico entre el circuito de entrada del PLC y el microcontrolador. Un optoacoplador consta de un LED y un fototransistor en un solo encapsulado. Cuando la señal de entrada activa el LED, la luz emitida por este activa el fototransistor, transmitiendo la señal sin una conexión eléctrica directa.</w:t>
      </w:r>
    </w:p>
    <w:p w14:paraId="27888842" w14:textId="77777777" w:rsidR="00495CC8" w:rsidRDefault="00495CC8" w:rsidP="003F625C">
      <w:pPr>
        <w:rPr>
          <w:rFonts w:ascii="Times New Roman" w:hAnsi="Times New Roman" w:cs="Times New Roman"/>
          <w:b/>
          <w:bCs/>
          <w:sz w:val="28"/>
          <w:szCs w:val="28"/>
        </w:rPr>
      </w:pPr>
    </w:p>
    <w:p w14:paraId="48786FE2" w14:textId="679A5A56" w:rsidR="003F625C" w:rsidRPr="003F625C" w:rsidRDefault="003F625C" w:rsidP="003F625C">
      <w:pPr>
        <w:rPr>
          <w:rFonts w:ascii="Times New Roman" w:hAnsi="Times New Roman" w:cs="Times New Roman"/>
          <w:b/>
          <w:bCs/>
          <w:sz w:val="28"/>
          <w:szCs w:val="28"/>
        </w:rPr>
      </w:pPr>
      <w:r w:rsidRPr="003F625C">
        <w:rPr>
          <w:rFonts w:ascii="Times New Roman" w:hAnsi="Times New Roman" w:cs="Times New Roman"/>
          <w:b/>
          <w:bCs/>
          <w:sz w:val="28"/>
          <w:szCs w:val="28"/>
        </w:rPr>
        <w:lastRenderedPageBreak/>
        <w:t>Interfaz RS-485</w:t>
      </w:r>
    </w:p>
    <w:p w14:paraId="0B0985DF" w14:textId="20B36C0F" w:rsidR="003F625C" w:rsidRPr="003F625C" w:rsidRDefault="003F625C" w:rsidP="003F625C">
      <w:pPr>
        <w:rPr>
          <w:rFonts w:ascii="Times New Roman" w:hAnsi="Times New Roman" w:cs="Times New Roman"/>
        </w:rPr>
      </w:pPr>
      <w:r w:rsidRPr="003F625C">
        <w:rPr>
          <w:rFonts w:ascii="Times New Roman" w:hAnsi="Times New Roman" w:cs="Times New Roman"/>
        </w:rPr>
        <w:t>El estándar RS-485 es un protocolo de comunicación en serie que permite la comunicación de múltiples dispositivos en un solo bus a largas distancias. La implementación física requiere un transceptor RS-485, como el MAX485, que convierte los niveles de voltaje TTL del microcontrolador (UART) a los niveles de voltaje diferenciales requeridos por el bus RS-485.</w:t>
      </w:r>
    </w:p>
    <w:p w14:paraId="07617F14" w14:textId="77777777" w:rsidR="003F625C" w:rsidRPr="003F625C" w:rsidRDefault="003F625C" w:rsidP="003F625C">
      <w:pPr>
        <w:rPr>
          <w:rFonts w:ascii="Times New Roman" w:hAnsi="Times New Roman" w:cs="Times New Roman"/>
          <w:b/>
          <w:bCs/>
          <w:sz w:val="28"/>
          <w:szCs w:val="28"/>
        </w:rPr>
      </w:pPr>
      <w:r w:rsidRPr="003F625C">
        <w:rPr>
          <w:rFonts w:ascii="Times New Roman" w:hAnsi="Times New Roman" w:cs="Times New Roman"/>
          <w:b/>
          <w:bCs/>
          <w:sz w:val="28"/>
          <w:szCs w:val="28"/>
        </w:rPr>
        <w:t>Protocolo Modbus en ESP32</w:t>
      </w:r>
    </w:p>
    <w:p w14:paraId="491D6847" w14:textId="6011C12A" w:rsidR="003F625C" w:rsidRPr="003F625C" w:rsidRDefault="003F625C" w:rsidP="003F625C">
      <w:pPr>
        <w:rPr>
          <w:rFonts w:ascii="Times New Roman" w:hAnsi="Times New Roman" w:cs="Times New Roman"/>
        </w:rPr>
      </w:pPr>
      <w:r w:rsidRPr="003F625C">
        <w:rPr>
          <w:rFonts w:ascii="Times New Roman" w:hAnsi="Times New Roman" w:cs="Times New Roman"/>
        </w:rPr>
        <w:t xml:space="preserve">El protocolo Modbus es un protocolo de comunicación maestro-esclavo ampliamente utilizado en la automatización industrial. Para implementarlo en un ESP32, se pueden utilizar bibliotecas de Modbus disponibles para el entorno de desarrollo de Arduino o ESP-IDF. Estas bibliotecas facilitan la implementación de las funciones de Modbus RTU (a través de RS-485) o Modbus TCP/IP (a través de </w:t>
      </w:r>
      <w:proofErr w:type="spellStart"/>
      <w:r w:rsidRPr="003F625C">
        <w:rPr>
          <w:rFonts w:ascii="Times New Roman" w:hAnsi="Times New Roman" w:cs="Times New Roman"/>
        </w:rPr>
        <w:t>Wi</w:t>
      </w:r>
      <w:proofErr w:type="spellEnd"/>
      <w:r w:rsidRPr="003F625C">
        <w:rPr>
          <w:rFonts w:ascii="Times New Roman" w:hAnsi="Times New Roman" w:cs="Times New Roman"/>
        </w:rPr>
        <w:t>-Fi o Ethernet).</w:t>
      </w:r>
    </w:p>
    <w:p w14:paraId="08363B38" w14:textId="77777777" w:rsidR="003F625C" w:rsidRPr="003F625C" w:rsidRDefault="003F625C" w:rsidP="003F625C">
      <w:pPr>
        <w:rPr>
          <w:rFonts w:ascii="Times New Roman" w:hAnsi="Times New Roman" w:cs="Times New Roman"/>
          <w:b/>
          <w:bCs/>
          <w:sz w:val="28"/>
          <w:szCs w:val="28"/>
        </w:rPr>
      </w:pPr>
      <w:r w:rsidRPr="003F625C">
        <w:rPr>
          <w:rFonts w:ascii="Times New Roman" w:hAnsi="Times New Roman" w:cs="Times New Roman"/>
          <w:b/>
          <w:bCs/>
          <w:sz w:val="28"/>
          <w:szCs w:val="28"/>
        </w:rPr>
        <w:t>Medición de Corriente Alterna (AC) y Transformadores de Corriente (CT)</w:t>
      </w:r>
    </w:p>
    <w:p w14:paraId="238A9B80" w14:textId="77777777" w:rsidR="003F625C" w:rsidRPr="003F625C" w:rsidRDefault="003F625C" w:rsidP="003F625C">
      <w:pPr>
        <w:rPr>
          <w:rFonts w:ascii="Times New Roman" w:hAnsi="Times New Roman" w:cs="Times New Roman"/>
        </w:rPr>
      </w:pPr>
      <w:r w:rsidRPr="003F625C">
        <w:rPr>
          <w:rFonts w:ascii="Times New Roman" w:hAnsi="Times New Roman" w:cs="Times New Roman"/>
        </w:rPr>
        <w:t xml:space="preserve">Para la medición de energía en corriente alterna, se pueden utilizar circuitos integrados especializados en medición de energía. Estos </w:t>
      </w:r>
      <w:proofErr w:type="spellStart"/>
      <w:r w:rsidRPr="003F625C">
        <w:rPr>
          <w:rFonts w:ascii="Times New Roman" w:hAnsi="Times New Roman" w:cs="Times New Roman"/>
        </w:rPr>
        <w:t>ICs</w:t>
      </w:r>
      <w:proofErr w:type="spellEnd"/>
      <w:r w:rsidRPr="003F625C">
        <w:rPr>
          <w:rFonts w:ascii="Times New Roman" w:hAnsi="Times New Roman" w:cs="Times New Roman"/>
        </w:rPr>
        <w:t xml:space="preserve"> suelen incluir uno o más </w:t>
      </w:r>
      <w:proofErr w:type="spellStart"/>
      <w:r w:rsidRPr="003F625C">
        <w:rPr>
          <w:rFonts w:ascii="Times New Roman" w:hAnsi="Times New Roman" w:cs="Times New Roman"/>
        </w:rPr>
        <w:t>ADCs</w:t>
      </w:r>
      <w:proofErr w:type="spellEnd"/>
      <w:r w:rsidRPr="003F625C">
        <w:rPr>
          <w:rFonts w:ascii="Times New Roman" w:hAnsi="Times New Roman" w:cs="Times New Roman"/>
        </w:rPr>
        <w:t xml:space="preserve"> para medir el voltaje y la corriente simultáneamente, y un procesador de señales digitales (DSP) para calcular parámetros como la potencia activa, reactiva, aparente, el factor de potencia y la energía.</w:t>
      </w:r>
    </w:p>
    <w:p w14:paraId="177C5445" w14:textId="5855F571" w:rsidR="003F625C" w:rsidRPr="003F625C" w:rsidRDefault="003F625C" w:rsidP="003F625C">
      <w:pPr>
        <w:rPr>
          <w:rFonts w:ascii="Times New Roman" w:hAnsi="Times New Roman" w:cs="Times New Roman"/>
          <w:b/>
          <w:bCs/>
        </w:rPr>
      </w:pPr>
      <w:r w:rsidRPr="003F625C">
        <w:rPr>
          <w:rFonts w:ascii="Times New Roman" w:hAnsi="Times New Roman" w:cs="Times New Roman"/>
          <w:b/>
          <w:bCs/>
        </w:rPr>
        <w:t>A</w:t>
      </w:r>
      <w:r w:rsidRPr="003F625C">
        <w:rPr>
          <w:rFonts w:ascii="Times New Roman" w:hAnsi="Times New Roman" w:cs="Times New Roman"/>
          <w:b/>
          <w:bCs/>
        </w:rPr>
        <w:t xml:space="preserve">lgunas recomendaciones de </w:t>
      </w:r>
      <w:proofErr w:type="spellStart"/>
      <w:r w:rsidRPr="003F625C">
        <w:rPr>
          <w:rFonts w:ascii="Times New Roman" w:hAnsi="Times New Roman" w:cs="Times New Roman"/>
          <w:b/>
          <w:bCs/>
        </w:rPr>
        <w:t>ICs</w:t>
      </w:r>
      <w:proofErr w:type="spellEnd"/>
      <w:r w:rsidRPr="003F625C">
        <w:rPr>
          <w:rFonts w:ascii="Times New Roman" w:hAnsi="Times New Roman" w:cs="Times New Roman"/>
          <w:b/>
          <w:bCs/>
        </w:rPr>
        <w:t xml:space="preserve"> para la medición de energía:</w:t>
      </w:r>
    </w:p>
    <w:p w14:paraId="17B99B95" w14:textId="77777777" w:rsidR="003F625C" w:rsidRPr="003F625C" w:rsidRDefault="003F625C" w:rsidP="003F625C">
      <w:pPr>
        <w:numPr>
          <w:ilvl w:val="0"/>
          <w:numId w:val="2"/>
        </w:numPr>
        <w:rPr>
          <w:rFonts w:ascii="Times New Roman" w:hAnsi="Times New Roman" w:cs="Times New Roman"/>
        </w:rPr>
      </w:pPr>
      <w:r w:rsidRPr="003F625C">
        <w:rPr>
          <w:rFonts w:ascii="Times New Roman" w:hAnsi="Times New Roman" w:cs="Times New Roman"/>
        </w:rPr>
        <w:t>Con interfaz I2C:</w:t>
      </w:r>
    </w:p>
    <w:p w14:paraId="469265AA" w14:textId="77777777" w:rsidR="003F625C" w:rsidRPr="003F625C" w:rsidRDefault="003F625C" w:rsidP="003F625C">
      <w:pPr>
        <w:numPr>
          <w:ilvl w:val="1"/>
          <w:numId w:val="2"/>
        </w:numPr>
        <w:rPr>
          <w:rFonts w:ascii="Times New Roman" w:hAnsi="Times New Roman" w:cs="Times New Roman"/>
        </w:rPr>
      </w:pPr>
      <w:r w:rsidRPr="003F625C">
        <w:rPr>
          <w:rFonts w:ascii="Times New Roman" w:hAnsi="Times New Roman" w:cs="Times New Roman"/>
        </w:rPr>
        <w:t>INA219: Aunque está diseñado para corriente continua, se puede adaptar para mediciones de AC de baja frecuencia. Es una opción sencilla y de bajo costo.</w:t>
      </w:r>
    </w:p>
    <w:p w14:paraId="79530FFC" w14:textId="77777777" w:rsidR="003F625C" w:rsidRPr="003F625C" w:rsidRDefault="003F625C" w:rsidP="003F625C">
      <w:pPr>
        <w:numPr>
          <w:ilvl w:val="0"/>
          <w:numId w:val="2"/>
        </w:numPr>
        <w:rPr>
          <w:rFonts w:ascii="Times New Roman" w:hAnsi="Times New Roman" w:cs="Times New Roman"/>
        </w:rPr>
      </w:pPr>
      <w:r w:rsidRPr="003F625C">
        <w:rPr>
          <w:rFonts w:ascii="Times New Roman" w:hAnsi="Times New Roman" w:cs="Times New Roman"/>
        </w:rPr>
        <w:t>Con interfaz SPI:</w:t>
      </w:r>
    </w:p>
    <w:p w14:paraId="02991F9A" w14:textId="77777777" w:rsidR="003F625C" w:rsidRPr="003F625C" w:rsidRDefault="003F625C" w:rsidP="003F625C">
      <w:pPr>
        <w:numPr>
          <w:ilvl w:val="1"/>
          <w:numId w:val="2"/>
        </w:numPr>
        <w:rPr>
          <w:rFonts w:ascii="Times New Roman" w:hAnsi="Times New Roman" w:cs="Times New Roman"/>
        </w:rPr>
      </w:pPr>
      <w:r w:rsidRPr="003F625C">
        <w:rPr>
          <w:rFonts w:ascii="Times New Roman" w:hAnsi="Times New Roman" w:cs="Times New Roman"/>
        </w:rPr>
        <w:t>MCP39F511: Un IC de monitoreo de energía de alta precisión que proporciona una amplia gama de mediciones.</w:t>
      </w:r>
    </w:p>
    <w:p w14:paraId="475DFD89" w14:textId="77777777" w:rsidR="003F625C" w:rsidRPr="003F625C" w:rsidRDefault="003F625C" w:rsidP="003F625C">
      <w:pPr>
        <w:numPr>
          <w:ilvl w:val="1"/>
          <w:numId w:val="2"/>
        </w:numPr>
        <w:rPr>
          <w:rFonts w:ascii="Times New Roman" w:hAnsi="Times New Roman" w:cs="Times New Roman"/>
        </w:rPr>
      </w:pPr>
      <w:r w:rsidRPr="003F625C">
        <w:rPr>
          <w:rFonts w:ascii="Times New Roman" w:hAnsi="Times New Roman" w:cs="Times New Roman"/>
        </w:rPr>
        <w:t>ADE7753: Un IC popular para medidores de energía que puede medir potencia activa y aparente.</w:t>
      </w:r>
    </w:p>
    <w:p w14:paraId="3EF93D6C" w14:textId="245552A4" w:rsidR="00E61AAF" w:rsidRPr="00E61AAF" w:rsidRDefault="003F625C" w:rsidP="00E90E6A">
      <w:pPr>
        <w:rPr>
          <w:rFonts w:ascii="Times New Roman" w:hAnsi="Times New Roman" w:cs="Times New Roman"/>
        </w:rPr>
      </w:pPr>
      <w:r w:rsidRPr="003F625C">
        <w:rPr>
          <w:rFonts w:ascii="Times New Roman" w:hAnsi="Times New Roman" w:cs="Times New Roman"/>
        </w:rPr>
        <w:t>Para medir la corriente AC de forma no invasiva, se utilizan transformadores de corriente (</w:t>
      </w:r>
      <w:proofErr w:type="spellStart"/>
      <w:r w:rsidRPr="003F625C">
        <w:rPr>
          <w:rFonts w:ascii="Times New Roman" w:hAnsi="Times New Roman" w:cs="Times New Roman"/>
        </w:rPr>
        <w:t>CTs</w:t>
      </w:r>
      <w:proofErr w:type="spellEnd"/>
      <w:r w:rsidRPr="003F625C">
        <w:rPr>
          <w:rFonts w:ascii="Times New Roman" w:hAnsi="Times New Roman" w:cs="Times New Roman"/>
        </w:rPr>
        <w:t>). Un CT se coloca alrededor de un conductor de corriente y produce una corriente secundaria proporcional a la corriente primaria. Esta corriente secundaria se convierte en un voltaje utilizando una resistencia de carga y luego se mide con un ADC.</w:t>
      </w:r>
    </w:p>
    <w:sectPr w:rsidR="00E61AAF" w:rsidRPr="00E61AAF">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06737"/>
    <w:multiLevelType w:val="multilevel"/>
    <w:tmpl w:val="DEC2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6C5C0B"/>
    <w:multiLevelType w:val="multilevel"/>
    <w:tmpl w:val="A1105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937297">
    <w:abstractNumId w:val="0"/>
  </w:num>
  <w:num w:numId="2" w16cid:durableId="1809858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AAF"/>
    <w:rsid w:val="00107E51"/>
    <w:rsid w:val="003F625C"/>
    <w:rsid w:val="00475F9B"/>
    <w:rsid w:val="00495CC8"/>
    <w:rsid w:val="00596F2A"/>
    <w:rsid w:val="00E61AAF"/>
    <w:rsid w:val="00E90E6A"/>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C3A42"/>
  <w15:chartTrackingRefBased/>
  <w15:docId w15:val="{C7C47879-7942-4ABB-8B05-F462655B4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1A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61A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61A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1A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1A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1A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1A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1A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1AA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1A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61A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1A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1A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1AA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1A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1A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1A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1AAF"/>
    <w:rPr>
      <w:rFonts w:eastAsiaTheme="majorEastAsia" w:cstheme="majorBidi"/>
      <w:color w:val="272727" w:themeColor="text1" w:themeTint="D8"/>
    </w:rPr>
  </w:style>
  <w:style w:type="paragraph" w:styleId="Ttulo">
    <w:name w:val="Title"/>
    <w:basedOn w:val="Normal"/>
    <w:next w:val="Normal"/>
    <w:link w:val="TtuloCar"/>
    <w:uiPriority w:val="10"/>
    <w:qFormat/>
    <w:rsid w:val="00E61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1A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1AA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1A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1AAF"/>
    <w:pPr>
      <w:spacing w:before="160"/>
      <w:jc w:val="center"/>
    </w:pPr>
    <w:rPr>
      <w:i/>
      <w:iCs/>
      <w:color w:val="404040" w:themeColor="text1" w:themeTint="BF"/>
    </w:rPr>
  </w:style>
  <w:style w:type="character" w:customStyle="1" w:styleId="CitaCar">
    <w:name w:val="Cita Car"/>
    <w:basedOn w:val="Fuentedeprrafopredeter"/>
    <w:link w:val="Cita"/>
    <w:uiPriority w:val="29"/>
    <w:rsid w:val="00E61AAF"/>
    <w:rPr>
      <w:i/>
      <w:iCs/>
      <w:color w:val="404040" w:themeColor="text1" w:themeTint="BF"/>
    </w:rPr>
  </w:style>
  <w:style w:type="paragraph" w:styleId="Prrafodelista">
    <w:name w:val="List Paragraph"/>
    <w:basedOn w:val="Normal"/>
    <w:uiPriority w:val="34"/>
    <w:qFormat/>
    <w:rsid w:val="00E61AAF"/>
    <w:pPr>
      <w:ind w:left="720"/>
      <w:contextualSpacing/>
    </w:pPr>
  </w:style>
  <w:style w:type="character" w:styleId="nfasisintenso">
    <w:name w:val="Intense Emphasis"/>
    <w:basedOn w:val="Fuentedeprrafopredeter"/>
    <w:uiPriority w:val="21"/>
    <w:qFormat/>
    <w:rsid w:val="00E61AAF"/>
    <w:rPr>
      <w:i/>
      <w:iCs/>
      <w:color w:val="0F4761" w:themeColor="accent1" w:themeShade="BF"/>
    </w:rPr>
  </w:style>
  <w:style w:type="paragraph" w:styleId="Citadestacada">
    <w:name w:val="Intense Quote"/>
    <w:basedOn w:val="Normal"/>
    <w:next w:val="Normal"/>
    <w:link w:val="CitadestacadaCar"/>
    <w:uiPriority w:val="30"/>
    <w:qFormat/>
    <w:rsid w:val="00E61A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1AAF"/>
    <w:rPr>
      <w:i/>
      <w:iCs/>
      <w:color w:val="0F4761" w:themeColor="accent1" w:themeShade="BF"/>
    </w:rPr>
  </w:style>
  <w:style w:type="character" w:styleId="Referenciaintensa">
    <w:name w:val="Intense Reference"/>
    <w:basedOn w:val="Fuentedeprrafopredeter"/>
    <w:uiPriority w:val="32"/>
    <w:qFormat/>
    <w:rsid w:val="00E61AAF"/>
    <w:rPr>
      <w:b/>
      <w:bCs/>
      <w:smallCaps/>
      <w:color w:val="0F4761" w:themeColor="accent1" w:themeShade="BF"/>
      <w:spacing w:val="5"/>
    </w:rPr>
  </w:style>
  <w:style w:type="character" w:styleId="Hipervnculo">
    <w:name w:val="Hyperlink"/>
    <w:basedOn w:val="Fuentedeprrafopredeter"/>
    <w:uiPriority w:val="99"/>
    <w:unhideWhenUsed/>
    <w:rsid w:val="003F625C"/>
    <w:rPr>
      <w:color w:val="467886" w:themeColor="hyperlink"/>
      <w:u w:val="single"/>
    </w:rPr>
  </w:style>
  <w:style w:type="character" w:styleId="Mencinsinresolver">
    <w:name w:val="Unresolved Mention"/>
    <w:basedOn w:val="Fuentedeprrafopredeter"/>
    <w:uiPriority w:val="99"/>
    <w:semiHidden/>
    <w:unhideWhenUsed/>
    <w:rsid w:val="003F62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s.wikipedia.org/wiki/Teorema_de_muestreo_de_Nyquist-Shannon"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1017</Words>
  <Characters>5598</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Junior Rivera</dc:creator>
  <cp:keywords/>
  <dc:description/>
  <cp:lastModifiedBy>Junior Rivera</cp:lastModifiedBy>
  <cp:revision>2</cp:revision>
  <dcterms:created xsi:type="dcterms:W3CDTF">2025-10-09T12:33:00Z</dcterms:created>
  <dcterms:modified xsi:type="dcterms:W3CDTF">2025-10-09T12:33:00Z</dcterms:modified>
</cp:coreProperties>
</file>