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accuracy (best validation epoch)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pPr>
      <w:r>
        <w:rPr>
          <w:b/>
          <w:color w:val="808080"/>
        </w:rPr>
        <w:t>[FIGURE 1 HERE]</w:t>
      </w:r>
    </w:p>
    <w:p>
      <w:pPr>
        <w:spacing w:before="80" w:after="240"/>
      </w:pPr>
      <w:r>
        <w:rPr>
          <w:i/>
          <w:sz w:val="20"/>
        </w:rPr>
        <w:t>Fig. 1. System architecture of AgroOnto-VLM. The frozen CLIP ViT-B/32 image encoder is adapted via LoRA modules (rank r = 8) inserted into the query and value projections of the final four transformer blocks. During training, ontology-derived soft targets s_y and a prototype regulariser L_proto are computed from the multi-faceted agricultural ontology and combined with the hard label e_y and uniform smoothing term u to form the composite target q. At inference, the model is a standard image classifier.</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(best val.)</w:t>
            </w:r>
          </w:p>
        </w:tc>
        <w:tc>
          <w:tcPr>
            <w:tcW w:type="dxa" w:w="1337"/>
          </w:tcPr>
          <w:p>
            <w:r/>
            <w:r>
              <w:rPr>
                <w:sz w:val="18"/>
              </w:rPr>
              <w:t>99.61</w:t>
            </w:r>
          </w:p>
        </w:tc>
        <w:tc>
          <w:tcPr>
            <w:tcW w:type="dxa" w:w="1337"/>
          </w:tcPr>
          <w:p>
            <w:r/>
            <w:r>
              <w:rPr>
                <w:sz w:val="18"/>
              </w:rPr>
              <w:t>—</w:t>
            </w:r>
          </w:p>
        </w:tc>
        <w:tc>
          <w:tcPr>
            <w:tcW w:type="dxa" w:w="1337"/>
          </w:tcPr>
          <w:p>
            <w:r/>
            <w:r>
              <w:rPr>
                <w:sz w:val="18"/>
              </w:rPr>
              <w:t>—</w:t>
            </w:r>
          </w:p>
        </w:tc>
        <w:tc>
          <w:tcPr>
            <w:tcW w:type="dxa" w:w="1337"/>
          </w:tcPr>
          <w:p>
            <w:r/>
            <w:r>
              <w:rPr>
                <w:sz w:val="18"/>
              </w:rPr>
              <w:t>96.89</w:t>
            </w:r>
          </w:p>
        </w:tc>
        <w:tc>
          <w:tcPr>
            <w:tcW w:type="dxa" w:w="1337"/>
          </w:tcPr>
          <w:p>
            <w:r/>
            <w:r>
              <w:rPr>
                <w:sz w:val="18"/>
              </w:rPr>
              <w:t>75.22</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0" w:after="120" w:line="480" w:lineRule="auto"/>
      </w:pPr>
      <w:r>
        <w:rPr>
          <w:sz w:val="22"/>
        </w:rPr>
        <w:t>On PlantVillage tomato, AgroOnto-VLM achieves 99.55% accuracy (best validation; three-seed test mean 98.69 ± 0.26%,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97.02% accuracy (best validation; three-seed test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accuracy (best validation; three-seed test 71.66 ± 0.29%).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spacing w:before="240"/>
      </w:pPr>
      <w:r>
        <w:rPr>
          <w:b/>
          <w:color w:val="808080"/>
        </w:rPr>
        <w:t>[FIGURE 2 HERE]</w:t>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13.9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3 HERE]</w:t>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4 HERE]</w:t>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spacing w:before="240"/>
      </w:pPr>
      <w:r>
        <w:rPr>
          <w:b/>
          <w:color w:val="808080"/>
        </w:rPr>
        <w:t>[FIGURE 5 HERE]</w:t>
      </w:r>
    </w:p>
    <w:p>
      <w:pPr>
        <w:spacing w:before="80" w:after="240"/>
      </w:pPr>
      <w:r>
        <w:rPr>
          <w:i/>
          <w:sz w:val="20"/>
        </w:rPr>
        <w:t>Fig. 5.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accuracy (best validation epoch)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