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Ontology-Guided Adaptation of Vision–Language Models for Agricultural Disease, Weed, and Pest Recognition</w:t>
      </w:r>
    </w:p>
    <w:p>
      <w:pPr>
        <w:pStyle w:val="Heading1"/>
      </w:pPr>
      <w:r>
        <w:t>Abstract</w:t>
      </w:r>
    </w:p>
    <w:p>
      <w:pPr>
        <w:spacing w:before="0" w:after="120"/>
      </w:pPr>
      <w:r>
        <w:t>Accurate identification of crop diseases, weeds, and insect pests is essential for precision agriculture, yet existing deep learning methods treat class labels as a flat, unordered set and ignore the taxonomic and agronomic relationships that structure the agricultural domain. We present AgroOnto-VLM, a method that addresses this gap by integrating a multi-faceted domain ontology into the fine-tuning of a CLIP ViT-B/32 backbone via low-rank adaptation (LoRA). The ontology assigns each class a position along seven facets—host crop, plant organ, pathogen type, taxonomic order, family, genus, and symptom—and converts these annotations into soft training targets that assign non-zero probability mass to semantically similar classes. Adaptation uses only 0.33%–0.43% of backbone parameters. We evaluate on three public benchmarks that span disease, weed, and pest recognition: PlantVillage tomato (10 classes), DeepWeeds (9 classes), and IP102 (102 classes). On PlantVillage tomato, AgroOnto-VLM achieves 98.84% test accuracy (98.69 ± 0.26% across three seeds); on DeepWeeds, 92.23% (92.91 ± 0.14%); and on IP102, 70.88% (71.66 ± 0.29%). Ablation experiments confirm that both the ontological supervision and the LoRA adapters are necessary: removing either one degrades accuracy on at least two of the three benchmarks. Beyond accuracy, the ontology supervision reduces the semantic severity of misclassifications compared with a flat-supervision LoRA baseline. Code and ontology files are available at [repository URL].</w:t>
      </w:r>
    </w:p>
    <w:p>
      <w:pPr>
        <w:spacing w:before="0" w:after="120"/>
      </w:pPr>
      <w:r>
        <w:t>Keywords: vision–language model; CLIP; LoRA; agricultural ontology; plant disease; weed recognition; insect pest; fine-tuning.</w:t>
      </w:r>
    </w:p>
    <w:p>
      <w:pPr>
        <w:pStyle w:val="Heading1"/>
      </w:pPr>
      <w:r>
        <w:t>1. Introduction</w:t>
      </w:r>
    </w:p>
    <w:p>
      <w:pPr>
        <w:spacing w:before="0" w:after="120"/>
      </w:pPr>
      <w:r>
        <w:t>Crop losses attributed to diseases, weed competition, and insect pests account for an estimated 20–40% of global agricultural production annually (FAO, 2021). Early and accurate identification of the causal agent is a prerequisite for targeted intervention, yet the task remains challenging in practice: trained agronomists are unevenly distributed, and visual symptoms often overlap across causative agents at early stages. Automated image-based recognition systems offer a scalable complement to human expertise.</w:t>
      </w:r>
    </w:p>
    <w:p>
      <w:pPr>
        <w:spacing w:before="0" w:after="120"/>
      </w:pPr>
      <w:r>
        <w:t>Deep convolutional networks trained on large annotated datasets have demonstrated strong performance on agricultural recognition benchmarks. The PlantVillage dataset [1] established tomato leaf disease classification as a standard task; the IP102 benchmark [2] extended evaluation to 102 insect pest species across multiple crop hosts; and DeepWeeds [3] provided a geographically grounded weed recognition challenge. Convolutional architectures trained on these datasets routinely achieve over 95% accuracy on PlantVillage tomato and IP102 subsets, and recent vision transformer configurations push performance higher still [4].</w:t>
      </w:r>
    </w:p>
    <w:p>
      <w:pPr>
        <w:spacing w:before="0" w:after="120"/>
      </w:pPr>
      <w:r>
        <w:t>The introduction of large self-supervised and vision–language foundation models has shifted the dominant approach from training task-specific networks from scratch toward adapting pre-trained representations to new domains. CLIP [5] and DINOv2 [6] offer feature representations that generalize broadly with minimal task-specific data, and parameter-efficient fine-tuning (PEFT) methods—most notably LoRA [7]—reduce the trainable parameter count by orders of magnitude while preserving or improving accuracy. Espejo-Garcia et al. [8] demonstrate this paradigm directly in agriculture, showing that DINOv2 features adapted with LoRA outperform fully supervised convolutional baselines on disease and weed datasets. Liu et al. [9] extend the paradigm to pest recognition using a cross-modal CLIP-based framework with PEFT.</w:t>
      </w:r>
    </w:p>
    <w:p>
      <w:pPr>
        <w:spacing w:before="0" w:after="120"/>
      </w:pPr>
      <w:r>
        <w:t>A characteristic shared by all of this work, however, is that the supervision signal remains flat. Whether the classifier is a convolutional network trained from scratch or a foundation model adapted with LoRA, class labels are represented as one-hot vectors in which every incorrect prediction is penalized identically. This is a poor match for the agricultural domain, where classes are organized by well-established taxonomic and agronomic relationships. Misidentifying a fungal disease as a bacterial one is meaningfully less severe than misidentifying it as a healthy leaf, because the two errors imply different management decisions. A classifier that cannot distinguish these error types will appear equally wrong in both cases under standard accuracy metrics.</w:t>
      </w:r>
    </w:p>
    <w:p>
      <w:pPr>
        <w:spacing w:before="0" w:after="120"/>
      </w:pPr>
      <w:r>
        <w:t>Hierarchy-aware learning methods address this limitation in general computer vision. Bertinetto et al. [10] formalize the notion of mistake severity and propose training objectives that minimize it. Subsequent work introduces soft labels derived from class hierarchies [11], tree-based logit structures [12], and test-time coarse-classifier amendments [13]. These methods are developed almost exclusively on general-purpose benchmarks (ImageNet, CIFAR-100, iNaturalist) and use single-axis hierarchies (WordNet or phylogenetic trees). Agricultural classes, by contrast, span multiple independent facets—a single disease class is simultaneously characterized by its host crop, the plant organ affected, the causal pathogen type, and the taxonomic lineage of that pathogen. No single-axis hierarchy captures this structure.</w:t>
      </w:r>
    </w:p>
    <w:p>
      <w:pPr>
        <w:spacing w:before="0" w:after="120"/>
      </w:pPr>
      <w:r>
        <w:t>We close this gap with AgroOnto-VLM. The method constructs a multi-faceted domain ontology and uses it to derive soft training targets that encode semantic similarity directly into the adaptation objective of a LoRA-adapted CLIP model. The result is a system that is simultaneously parameter-efficient, semantically aware, and applicable across disease, weed, and pest recognition tasks under a unified framework.</w:t>
      </w:r>
    </w:p>
    <w:p>
      <w:pPr>
        <w:pStyle w:val="Heading2"/>
      </w:pPr>
      <w:r>
        <w:t>1.1. Contributions</w:t>
      </w:r>
    </w:p>
    <w:p>
      <w:pPr>
        <w:spacing w:before="0" w:after="120"/>
      </w:pPr>
      <w:r>
        <w:t>The specific contributions of this work are:</w:t>
      </w:r>
    </w:p>
    <w:p>
      <w:pPr>
        <w:pStyle w:val="ListBullet"/>
        <w:spacing w:after="60"/>
      </w:pPr>
      <w:r>
        <w:t>A multi-faceted agricultural ontology covering seven independent facets per class (host crop, plant organ, pathogen type, taxonomic order, family, genus, symptom). The ontology spans all three benchmark datasets—10 disease classes, 9 weed species, and 102 insect pest species—and is released with the code.</w:t>
      </w:r>
    </w:p>
    <w:p>
      <w:pPr>
        <w:pStyle w:val="ListBullet"/>
        <w:spacing w:after="60"/>
      </w:pPr>
      <w:r>
        <w:t>An ontology-guided training objective that integrates facet-derived soft targets into LoRA fine-tuning of CLIP ViT-B/32. The method adds no inference-time overhead: the ontology is used only during training.</w:t>
      </w:r>
    </w:p>
    <w:p>
      <w:pPr>
        <w:pStyle w:val="ListBullet"/>
        <w:spacing w:after="60"/>
      </w:pPr>
      <w:r>
        <w:t>A controlled cross-benchmark evaluation on PlantVillage tomato, DeepWeeds, and IP102 under a fixed training protocol with three-seed robustness confirmation.</w:t>
      </w:r>
    </w:p>
    <w:p>
      <w:pPr>
        <w:pStyle w:val="ListBullet"/>
        <w:spacing w:after="60"/>
      </w:pPr>
      <w:r>
        <w:t>An analysis of misclassification severity showing that ontological supervision reduces the average semantic distance of errors relative to flat-label LoRA, independent of accuracy differences.</w:t>
      </w:r>
    </w:p>
    <w:p>
      <w:pPr>
        <w:spacing w:before="0" w:after="120"/>
      </w:pPr>
      <w:r>
        <w:t>The remainder of this paper is organized as follows. Section 2 reviews related work. Section 3 describes the proposed method. Section 4 presents experimental setup. Section 5 reports and discusses results. Section 6 concludes.</w:t>
      </w:r>
    </w:p>
    <w:p>
      <w:pPr>
        <w:pStyle w:val="Heading1"/>
      </w:pPr>
      <w:r>
        <w:t>2. Related Work</w:t>
      </w:r>
    </w:p>
    <w:p>
      <w:pPr>
        <w:pStyle w:val="Heading2"/>
      </w:pPr>
      <w:r>
        <w:t>2.1. Deep Learning for Agricultural Image Recognition</w:t>
      </w:r>
    </w:p>
    <w:p>
      <w:pPr>
        <w:spacing w:before="0" w:after="120"/>
      </w:pPr>
      <w:r>
        <w:t>Automated recognition of crop diseases, weeds, and pests has been studied extensively with convolutional neural networks trained on public benchmarks. The PlantVillage dataset [1] catalyzed early work on leaf disease classification. The IP102 benchmark [2] extended the field to 102 insect pest species across 14 host crops. Olsen et al. [3] introduced DeepWeeds, a dataset of 17,509 images covering nine weed species in northern Australia, and reported cross-validation accuracy of 95.7% with an Inception V3 baseline.</w:t>
      </w:r>
    </w:p>
    <w:p>
      <w:pPr>
        <w:spacing w:before="0" w:after="120"/>
      </w:pPr>
      <w:r>
        <w:t>Subsequent improvements address architecture choices. Ouamane et al. [4] systematically optimize vision transformer configurations for plant disease detection. Rahman et al. [14] propose an adaptive deep learning framework for weed species classification. Asghar et al. [15] introduce a lightweight hybrid model for plant disease classification, reporting accuracy improvements over convolutional baselines on PlantVillage. Venkateswara and Padmanabhan [16] focus on agricultural pest monitoring using deep classifiers.</w:t>
      </w:r>
    </w:p>
    <w:p>
      <w:pPr>
        <w:spacing w:before="0" w:after="120"/>
      </w:pPr>
      <w:r>
        <w:t>All of these methods retain flat one-hot supervision. The label space is treated as an unordered set, and all misclassifications are penalized identically at training time.</w:t>
      </w:r>
    </w:p>
    <w:p>
      <w:pPr>
        <w:pStyle w:val="Heading2"/>
      </w:pPr>
      <w:r>
        <w:t>2.2. Foundation Models and Parameter-Efficient Fine-Tuning</w:t>
      </w:r>
    </w:p>
    <w:p>
      <w:pPr>
        <w:spacing w:before="0" w:after="120"/>
      </w:pPr>
      <w:r>
        <w:t>Large self-supervised and vision–language foundation models provide feature representations that transfer broadly across visual tasks without task-specific pretraining. CLIP [5] aligns image and text features through contrastive learning on 400 million image–text pairs; DINOv2 [6] learns visual representations through self-distillation without labels. Both models produce features that often outperform supervised convolutional baselines on new tasks with minimal adaptation.</w:t>
      </w:r>
    </w:p>
    <w:p>
      <w:pPr>
        <w:spacing w:before="0" w:after="120"/>
      </w:pPr>
      <w:r>
        <w:t>LoRA [7] has become the dominant PEFT method for transformer-based models. It injects trainable low-rank decomposition matrices—parameterized as BA where B ∈ ℝ^(d×r) and A ∈ ℝ^(r×k), with rank r ≪ min(d, k)—into frozen attention weight matrices. This reduces trainable parameters by 99% or more while maintaining downstream accuracy. CLIP-Adapter [17] and Tip-Adapter [18] take complementary approaches, adding small learned projection modules on top of frozen CLIP features.</w:t>
      </w:r>
    </w:p>
    <w:p>
      <w:pPr>
        <w:spacing w:before="0" w:after="120"/>
      </w:pPr>
      <w:r>
        <w:t>In agriculture, Espejo-Garcia et al. [8] provide the most directly relevant study: they show that DINOv2 features with LoRA adaptation outperform supervised convolutional networks on disease and weed identification tasks. Liu et al. [9] demonstrate that CLIP with cross-modal PEFT achieves competitive accuracy on IP102 with substantially fewer trainable parameters than full fine-tuning. These studies establish that parameter-efficient adaptation of foundation models is viable in agriculture. They do not address the structure of the supervision signal itself.</w:t>
      </w:r>
    </w:p>
    <w:p>
      <w:pPr>
        <w:pStyle w:val="Heading2"/>
      </w:pPr>
      <w:r>
        <w:t>2.3. Agricultural Vision–Language Models</w:t>
      </w:r>
    </w:p>
    <w:p>
      <w:pPr>
        <w:spacing w:before="0" w:after="120"/>
      </w:pPr>
      <w:r>
        <w:t>Vision–language models are particularly attractive in agriculture because the text encoder admits natural-language class descriptions, offering a route to zero-shot transfer. Nguyen Quoc et al. [19] develop a vision–language foundation model for leaf disease identification. Zhang et al. [20] propose lightweight CLIP adaptation for few-shot plant disease recognition. Shafay et al. [21] combine vision–language features with LLM-based reasoning for decision-oriented tomato disease classification.</w:t>
      </w:r>
    </w:p>
    <w:p>
      <w:pPr>
        <w:spacing w:before="0" w:after="120"/>
      </w:pPr>
      <w:r>
        <w:t>In all of these approaches, the text encoder is used to generate per-class prompt embeddings matched against image features. The relational structure among classes—that two pathogen types from the same taxonomic order are semantically closer than two from different kingdoms—is not used in the training objective.</w:t>
      </w:r>
    </w:p>
    <w:p>
      <w:pPr>
        <w:pStyle w:val="Heading2"/>
      </w:pPr>
      <w:r>
        <w:t>2.4. Hierarchy-Aware and Ontology-Guided Learning</w:t>
      </w:r>
    </w:p>
    <w:p>
      <w:pPr>
        <w:spacing w:before="0" w:after="120"/>
      </w:pPr>
      <w:r>
        <w:t>A parallel line of work in general computer vision addresses the flat-label limitation directly. Bertinetto et al. [10] formalize mistake severity using a class hierarchy and propose objectives that penalize semantically distant errors more heavily. Garg et al. [11] show that hierarchy-aware features can simultaneously maintain top-1 accuracy while reducing mistake severity. Chan et al. [22] propose hierarchy-aware cross-entropy that distributes label mass among semantically related classes. Lu et al. [12] introduce bidirectional logit trees for fine-grained classification. Jain et al. [13] use a coarse classifier at test time to amend fine-grained predictions.</w:t>
      </w:r>
    </w:p>
    <w:p>
      <w:pPr>
        <w:spacing w:before="0" w:after="120"/>
      </w:pPr>
      <w:r>
        <w:t>This literature is developed almost exclusively on general-purpose benchmarks with single-axis hierarchies. Agricultural classes require multi-faceted representation: a disease class is simultaneously characterized by its host, organ, pathogen type, and taxonomic lineage. No prior work integrates a multi-faceted agricultural ontology into the fine-tuning of a vision–language foundation model.</w:t>
      </w:r>
    </w:p>
    <w:p>
      <w:pPr>
        <w:pStyle w:val="Heading1"/>
      </w:pPr>
      <w:r>
        <w:t>3. Methodology</w:t>
      </w:r>
    </w:p>
    <w:p>
      <w:pPr>
        <w:pStyle w:val="Heading2"/>
      </w:pPr>
      <w:r>
        <w:t>3.1. Overview</w:t>
      </w:r>
    </w:p>
    <w:p>
      <w:pPr>
        <w:spacing w:before="0" w:after="120"/>
      </w:pPr>
      <w:r>
        <w:t>AgroOnto-VLM adapts a frozen CLIP ViT-B/32 backbone to an agricultural classification task using low-rank adapters, and supervises adaptation with soft targets derived from a multi-faceted domain ontology rather than one-hot labels. Fig. 1 shows the overall architecture. At training time, each ground-truth class label is converted to a distribution over the class set using the ontology-derived similarity matrix. This distribution is combined with a standard hard label and a uniform smoothing term to form the composite training target. At inference, the adapted image encoder produces a feature vector that is compared against a frozen set of class text embeddings using cosine similarity, and the class with the highest similarity score is returned. No ontology access is required at inference time.</w:t>
      </w:r>
    </w:p>
    <w:p>
      <w:pPr>
        <w:spacing w:before="120" w:after="80"/>
        <w:jc w:val="center"/>
      </w:pPr>
      <w:r>
        <w:rPr>
          <w:b/>
          <w:color w:val="999999"/>
        </w:rPr>
        <w:t>[FIGURE 1 HERE]</w:t>
      </w:r>
    </w:p>
    <w:p>
      <w:pPr>
        <w:spacing w:after="200"/>
        <w:jc w:val="center"/>
      </w:pPr>
      <w:r>
        <w:rPr>
          <w:b w:val="0"/>
          <w:i w:val="0"/>
          <w:sz w:val="18"/>
        </w:rPr>
        <w:t>Fig. 1. System architecture of AgroOnto-VLM. The frozen CLIP backbone is adapted using LoRA modules (rank r=8) inserted into the final four transformer blocks. At training time, the ontology-derived soft target distribution q is computed from the ground-truth class and used in the composite loss L. At inference, only the image encoder and class text embeddings are used.</w:t>
      </w:r>
    </w:p>
    <w:p>
      <w:pPr>
        <w:pStyle w:val="Heading2"/>
      </w:pPr>
      <w:r>
        <w:t>3.2. Multi-Faceted Ontology Construction</w:t>
      </w:r>
    </w:p>
    <w:p>
      <w:pPr>
        <w:spacing w:before="0" w:after="120"/>
      </w:pPr>
      <w:r>
        <w:t>Let C = {c₁, …, c_K} denote the class set of a given dataset. Each class is annotated along seven facets: host crop, plant organ, pathogen type, taxonomic order, family, genus, and symptom. Formally, each class c_i is represented by a facet vector:</w:t>
      </w:r>
    </w:p>
    <w:p>
      <w:pPr>
        <w:spacing w:before="60" w:after="60"/>
        <w:ind w:left="720"/>
      </w:pPr>
      <w:r>
        <w:t xml:space="preserve">    f(cᵢ) = [f₁(cᵢ), f₂(cᵢ), …, f₇(cᵢ)]</w:t>
        <w:tab/>
        <w:t>(1)</w:t>
      </w:r>
    </w:p>
    <w:p>
      <w:pPr>
        <w:spacing w:before="0" w:after="120"/>
      </w:pPr>
      <w:r>
        <w:t>where f_m(c_i) is the value of class c_i on facet m. A facet may be undefined for a given class—a weed species has no pathogen type, for example. The ontology is maintained as a curated annotation workbook with one row per class and one column per facet, and is released with the code.</w:t>
      </w:r>
    </w:p>
    <w:p>
      <w:pPr>
        <w:spacing w:before="0" w:after="120"/>
      </w:pPr>
      <w:r>
        <w:t>For PlantVillage tomato (K=10), host crop has one value (tomato), plant organ one (leaf), pathogen type four, taxonomic order four, family five, genus six, and symptom seven. For DeepWeeds (K=9), the weed-species facets (crop host, order, family, genus) are populated while pathogen-type and symptom facets are undefined. For IP102 (K=102), crop groupings follow Wu et al. [2]; classes with ambiguous host assignment are assigned to the most prevalent host in the training set.</w:t>
      </w:r>
    </w:p>
    <w:p>
      <w:pPr>
        <w:pStyle w:val="Heading2"/>
      </w:pPr>
      <w:r>
        <w:t>3.3. Ontology-Derived Soft Targets</w:t>
      </w:r>
    </w:p>
    <w:p>
      <w:pPr>
        <w:spacing w:before="0" w:after="120"/>
      </w:pPr>
      <w:r>
        <w:t>Pairwise class similarity is computed from shared facet membership. For classes c_i and c_j:</w:t>
      </w:r>
    </w:p>
    <w:p>
      <w:pPr>
        <w:spacing w:before="60" w:after="60"/>
        <w:ind w:left="720"/>
      </w:pPr>
      <w:r>
        <w:t xml:space="preserve">    sim(cᵢ, cⱼ) = Σₘ wₘ · 1[fₘ(cᵢ) = fₘ(cⱼ)]</w:t>
        <w:tab/>
        <w:t>(2)</w:t>
      </w:r>
    </w:p>
    <w:p>
      <w:pPr>
        <w:spacing w:before="0" w:after="120"/>
      </w:pPr>
      <w:r>
        <w:t>where w_m = 1 for all facets m. The raw similarity is normalized by a constant NORM_FACTOR = 1.60 (the maximum pairwise similarity observed across training sets) so scores lie in [0, 1]. The similarity row for class i is converted to a distribution by softmax with temperature τ, and the diagonal is masked before renormalization to exclude self-similarity:</w:t>
      </w:r>
    </w:p>
    <w:p>
      <w:pPr>
        <w:spacing w:before="60" w:after="60"/>
        <w:ind w:left="720"/>
      </w:pPr>
      <w:r>
        <w:t xml:space="preserve">    sᵢ = normalise( softmax( sim(cᵢ, ·) / τ ) ⊙ (1 − eᵢ) )</w:t>
        <w:tab/>
        <w:t>(3)</w:t>
      </w:r>
    </w:p>
    <w:p>
      <w:pPr>
        <w:spacing w:before="0" w:after="120"/>
      </w:pPr>
      <w:r>
        <w:t>where e_i is the one-hot vector for class i and ⊙ denotes elementwise multiplication. This produces a row-stochastic matrix S = [s₁, …, s_K]ᵀ that specifies how ontological probability mass should be redistributed among non-target classes for each ground-truth class. Temperature τ = 1.0 is used throughout.</w:t>
      </w:r>
    </w:p>
    <w:p>
      <w:pPr>
        <w:pStyle w:val="Heading2"/>
      </w:pPr>
      <w:r>
        <w:t>3.4. Backbone and LoRA Adaptation</w:t>
      </w:r>
    </w:p>
    <w:p>
      <w:pPr>
        <w:spacing w:before="0" w:after="120"/>
      </w:pPr>
      <w:r>
        <w:t>The backbone is OpenCLIP ViT-B/32 initialized with the original OpenAI weights, with QuickGELU activations to match the checkpoint. LoRA modules with rank r = 8 and scaling α = 16 are inserted into the query and value projection matrices of the attention layers in the final four transformer blocks. All other backbone weights are frozen. This yields 400,000–490,000 trainable parameters depending on the number of output classes, corresponding to 0.33%–0.40% of total backbone parameters.</w:t>
      </w:r>
    </w:p>
    <w:p>
      <w:pPr>
        <w:spacing w:before="0" w:after="120"/>
      </w:pPr>
      <w:r>
        <w:t>Restricting adaptation to the final four blocks reflects the 4 GB VRAM constraint of the experimental hardware (NVIDIA GeForce RTX 3050 Ti Laptop GPU) and is applied identically to every LoRA-based method in the comparison.</w:t>
      </w:r>
    </w:p>
    <w:p>
      <w:pPr>
        <w:pStyle w:val="Heading2"/>
      </w:pPr>
      <w:r>
        <w:t>3.5. Training Objective</w:t>
      </w:r>
    </w:p>
    <w:p>
      <w:pPr>
        <w:spacing w:before="0" w:after="120"/>
      </w:pPr>
      <w:r>
        <w:t>The composite target distribution for a training sample with ground-truth class y is:</w:t>
      </w:r>
    </w:p>
    <w:p>
      <w:pPr>
        <w:spacing w:before="60" w:after="60"/>
        <w:ind w:left="720"/>
      </w:pPr>
      <w:r>
        <w:t xml:space="preserve">    q = λ_hard · e_y + λ_unif · u + λ_onto · s_y</w:t>
        <w:tab/>
        <w:t>(4)</w:t>
      </w:r>
    </w:p>
    <w:p>
      <w:pPr>
        <w:spacing w:before="0" w:after="120"/>
      </w:pPr>
      <w:r>
        <w:t>where u is the uniform distribution over K classes, s_y is the ontology-derived soft target row for class y (Eq. 3), λ_unif = 0.10, and λ_onto is tuned per dataset: 0.05 for PlantVillage tomato, 0.075 for DeepWeeds, and 0.125 for IP102, with λ_hard = 1 − λ_unif − λ_onto. The classification loss is the cross-entropy between the predicted distribution p and q:</w:t>
      </w:r>
    </w:p>
    <w:p>
      <w:pPr>
        <w:spacing w:before="60" w:after="60"/>
        <w:ind w:left="720"/>
      </w:pPr>
      <w:r>
        <w:t xml:space="preserve">    L_cls = −Σₖ qₖ log pₖ</w:t>
        <w:tab/>
        <w:t>(5)</w:t>
      </w:r>
    </w:p>
    <w:p>
      <w:pPr>
        <w:spacing w:before="0" w:after="120"/>
      </w:pPr>
      <w:r>
        <w:t>A prototype regularizer encourages the geometry of learned class representations to reflect ontological structure. Denoting by z_i the normalized mean feature of class i in a training batch, the regularizer penalizes deviations between pairwise cosine similarities and ontological similarities:</w:t>
      </w:r>
    </w:p>
    <w:p>
      <w:pPr>
        <w:spacing w:before="60" w:after="60"/>
        <w:ind w:left="720"/>
      </w:pPr>
      <w:r>
        <w:t xml:space="preserve">    L_proto = Σᵢ,ⱼ ( ⟨zᵢ, zⱼ⟩ − sim(cᵢ, cⱼ) )²</w:t>
        <w:tab/>
        <w:t>(6)</w:t>
      </w:r>
    </w:p>
    <w:p>
      <w:pPr>
        <w:spacing w:before="0" w:after="120"/>
      </w:pPr>
      <w:r>
        <w:t>The total training loss is:</w:t>
      </w:r>
    </w:p>
    <w:p>
      <w:pPr>
        <w:spacing w:before="60" w:after="60"/>
        <w:ind w:left="720"/>
      </w:pPr>
      <w:r>
        <w:t xml:space="preserve">    L = L_cls + λ_proto · L_proto</w:t>
        <w:tab/>
        <w:t>(7)</w:t>
      </w:r>
    </w:p>
    <w:p>
      <w:pPr>
        <w:spacing w:before="0" w:after="120"/>
      </w:pPr>
      <w:r>
        <w:t>with λ_proto = 0.05 held constant across datasets. Setting λ_onto = 0 and λ_proto = 0 recovers a label-smoothed objective; additionally setting λ_unif = 0 recovers standard cross-entropy. These reductions define the ablation conditions described in Section 4.</w:t>
      </w:r>
    </w:p>
    <w:p>
      <w:pPr>
        <w:pStyle w:val="Heading2"/>
      </w:pPr>
      <w:r>
        <w:t>3.6. Prompt Construction</w:t>
      </w:r>
    </w:p>
    <w:p>
      <w:pPr>
        <w:spacing w:before="0" w:after="120"/>
      </w:pPr>
      <w:r>
        <w:t>Class names are converted to natural-language text prompts conditioned on the facet type of the class. Disease classes receive prompts of the form 'a photo of [disease] on [crop]'; weed species receive 'a photo of [species] weed plant'; insect pest classes receive 'a photo of [species] insect pest on [crop]'. This specialization ensures that the text encoder receives contextually appropriate descriptions, rather than generic class-name strings, across the three task types.</w:t>
      </w:r>
    </w:p>
    <w:p>
      <w:pPr>
        <w:pStyle w:val="Heading1"/>
      </w:pPr>
      <w:r>
        <w:t>4. Experimental Setup</w:t>
      </w:r>
    </w:p>
    <w:p>
      <w:pPr>
        <w:pStyle w:val="Heading2"/>
      </w:pPr>
      <w:r>
        <w:t>4.1. Datasets</w:t>
      </w:r>
    </w:p>
    <w:p>
      <w:pPr>
        <w:spacing w:before="0" w:after="120"/>
      </w:pPr>
      <w:r>
        <w:t>Three publicly available benchmarks are used. Table 1 summarizes dataset statistics.</w:t>
      </w:r>
    </w:p>
    <w:p>
      <w:pPr>
        <w:spacing w:before="120" w:after="40"/>
      </w:pPr>
      <w:r>
        <w:rPr>
          <w:b/>
        </w:rPr>
        <w:t>TABLE 1</w:t>
      </w:r>
    </w:p>
    <w:p>
      <w:pPr>
        <w:spacing w:after="40"/>
      </w:pPr>
      <w:r>
        <w:rPr>
          <w:b/>
        </w:rPr>
        <w:t>Dataset statistics. Images shows total count; Train/Val/Test shows split sizes.</w:t>
      </w:r>
    </w:p>
    <w:p>
      <w:pPr>
        <w:spacing w:after="200"/>
      </w:pPr>
      <w:r>
        <w:rPr>
          <w:color w:val="999999"/>
        </w:rPr>
        <w:t>[TABLE DATA HERE]</w:t>
      </w:r>
    </w:p>
    <w:p>
      <w:pPr>
        <w:spacing w:before="0" w:after="120"/>
      </w:pPr>
      <w:r>
        <w:t>PlantVillage [1] is used in its color version restricted to the tomato subset (10 classes: 9 disease categories plus healthy). The official train/test partition is adopted; 15% of the training set is withheld as a stratified validation split.</w:t>
      </w:r>
    </w:p>
    <w:p>
      <w:pPr>
        <w:spacing w:before="0" w:after="120"/>
      </w:pPr>
      <w:r>
        <w:t>DeepWeeds [3] covers nine weed species endemic to northern Australia and one negative class (background/non-weed), totaling 17,509 images. The original benchmark reports results via five-fold cross-validation. We use a single fixed stratified split (70%/15%/15%) generated with seed 42, which differs from the original protocol and makes our DeepWeeds result not directly comparable to the 95.7% figure reported in the original study.</w:t>
      </w:r>
    </w:p>
    <w:p>
      <w:pPr>
        <w:spacing w:before="0" w:after="120"/>
      </w:pPr>
      <w:r>
        <w:t>IP102 [2] contains 75,222 images of 102 insect pest species across 14 crop hosts. The dataset is notable for pronounced class imbalance—the largest class contains 10× more images than the smallest. The official train/test split is used with a stratified 15% validation subset drawn from the training portion.</w:t>
      </w:r>
    </w:p>
    <w:p>
      <w:pPr>
        <w:spacing w:before="0" w:after="120"/>
      </w:pPr>
      <w:r>
        <w:t>All splits are generated with a fixed seed and verified to be disjoint and to cover every image in the dataset.</w:t>
      </w:r>
    </w:p>
    <w:p>
      <w:pPr>
        <w:pStyle w:val="Heading2"/>
      </w:pPr>
      <w:r>
        <w:t>4.2. Compared Methods</w:t>
      </w:r>
    </w:p>
    <w:p>
      <w:pPr>
        <w:spacing w:before="0" w:after="120"/>
      </w:pPr>
      <w:r>
        <w:t>Four methods are evaluated on each dataset under an identical training protocol. Table 2 lists the methods and their configurations.</w:t>
      </w:r>
    </w:p>
    <w:p>
      <w:pPr>
        <w:spacing w:before="120" w:after="40"/>
      </w:pPr>
      <w:r>
        <w:rPr>
          <w:b/>
        </w:rPr>
        <w:t>TABLE 2</w:t>
      </w:r>
    </w:p>
    <w:p>
      <w:pPr>
        <w:spacing w:after="40"/>
      </w:pPr>
      <w:r>
        <w:rPr>
          <w:b/>
        </w:rPr>
        <w:t>Methods evaluated. Proposed and all ablations share the same epoch budget, optimizer, and adapter rank.</w:t>
      </w:r>
    </w:p>
    <w:p>
      <w:pPr>
        <w:spacing w:after="200"/>
      </w:pPr>
      <w:r>
        <w:rPr>
          <w:color w:val="999999"/>
        </w:rPr>
        <w:t>[TABLE DATA HERE]</w:t>
      </w:r>
    </w:p>
    <w:p>
      <w:pPr>
        <w:spacing w:after="60"/>
        <w:ind w:left="360"/>
      </w:pPr>
      <w:r>
        <w:t>• AgroOnto-VLM (Proposed): CLIP ViT-B/32 + LoRA (r=8) + ontology-guided composite loss (Eq. 4–7).</w:t>
      </w:r>
    </w:p>
    <w:p>
      <w:pPr>
        <w:spacing w:after="60"/>
        <w:ind w:left="360"/>
      </w:pPr>
      <w:r>
        <w:t>• CLIP-LoRA Baseline (M2): CLIP ViT-B/32 + LoRA (r=8) + one-hot cross-entropy. Ablates the ontological supervision while retaining LoRA.</w:t>
      </w:r>
    </w:p>
    <w:p>
      <w:pPr>
        <w:spacing w:after="60"/>
        <w:ind w:left="360"/>
      </w:pPr>
      <w:r>
        <w:t>• −Ontology Ablation (M3): CLIP ViT-B/32 + LoRA (r=8) + label-smoothed cross-entropy (λ_onto=0, λ_proto=0). Retains smoothing but removes ontology structure.</w:t>
      </w:r>
    </w:p>
    <w:p>
      <w:pPr>
        <w:spacing w:after="60"/>
        <w:ind w:left="360"/>
      </w:pPr>
      <w:r>
        <w:t>• −LoRA Ablation (M4): CLIP ViT-B/32 + linear probe (no LoRA). Ablates parameter-efficient adaptation while retaining the classification head.</w:t>
      </w:r>
    </w:p>
    <w:p>
      <w:pPr>
        <w:spacing w:before="0" w:after="120"/>
      </w:pPr>
      <w:r>
        <w:t>Two additional comparisons are included: a ResNet-50 linear probe and a ViT-B/16 linear probe, both trained on frozen features. CLIP zero-shot (no training) is reported to establish the out-of-the-box VLM baseline.</w:t>
      </w:r>
    </w:p>
    <w:p>
      <w:pPr>
        <w:pStyle w:val="Heading2"/>
      </w:pPr>
      <w:r>
        <w:t>4.3. Training Protocol</w:t>
      </w:r>
    </w:p>
    <w:p>
      <w:pPr>
        <w:spacing w:before="0" w:after="120"/>
      </w:pPr>
      <w:r>
        <w:t>All trained methods share the following protocol. Training runs for 30 epochs with batch size 16. The AdamW optimizer is used with learning rate 1×10⁻⁴ and weight decay 0.01. A 3-epoch linear warmup schedule is followed by cosine annealing over the remaining 27 epochs. Input images are resized to 224×224 with standard augmentation (random horizontal flip, random resized crop). Training uses mixed-precision arithmetic (float16) throughout. All stochastic components are seeded with seed 42 for the primary run; robustness is assessed over seeds {42, 123, 456}.</w:t>
      </w:r>
    </w:p>
    <w:p>
      <w:pPr>
        <w:spacing w:before="0" w:after="120"/>
      </w:pPr>
      <w:r>
        <w:t>Experiments were conducted on an NVIDIA GeForce RTX 3050 Ti Laptop GPU (4 GB VRAM). This hardware constraint motivates the restriction of LoRA adaptation to the final four transformer blocks, which is applied identically to all LoRA-based methods. Implementation uses PyTorch 2.1, OpenCLIP 2.24, and Python 3.10.</w:t>
      </w:r>
    </w:p>
    <w:p>
      <w:pPr>
        <w:pStyle w:val="Heading2"/>
      </w:pPr>
      <w:r>
        <w:t>4.4. Evaluation Metrics</w:t>
      </w:r>
    </w:p>
    <w:p>
      <w:pPr>
        <w:spacing w:before="0" w:after="120"/>
      </w:pPr>
      <w:r>
        <w:t>For every method and dataset, we report top-1 accuracy and macro-averaged precision, recall, and F1 score. Macro averaging is necessary given the pronounced class imbalance of IP102; on PlantVillage tomato and DeepWeeds, weighted F1 is also reported.</w:t>
      </w:r>
    </w:p>
    <w:p>
      <w:pPr>
        <w:spacing w:before="0" w:after="120"/>
      </w:pPr>
      <w:r>
        <w:t>In addition to classification metrics, we report a semantic misclassification severity score for each method on PlantVillage tomato and DeepWeeds. For each misclassified test sample, severity is defined as:</w:t>
      </w:r>
    </w:p>
    <w:p>
      <w:pPr>
        <w:spacing w:before="60" w:after="60"/>
        <w:ind w:left="720"/>
      </w:pPr>
      <w:r>
        <w:t xml:space="preserve">    severity(ŷ, y) = 1 − sim(cŷ, cy)</w:t>
        <w:tab/>
        <w:t>(8)</w:t>
      </w:r>
    </w:p>
    <w:p>
      <w:pPr>
        <w:spacing w:before="0" w:after="120"/>
      </w:pPr>
      <w:r>
        <w:t>where sim is the ontological similarity from Eq. (2), normalized to [0, 1]. A lower average severity indicates that errors tend to occur between semantically close classes, which is preferable to errors between semantically distant ones. This metric is independent of whether the prediction is correct, so changes in severity may occur with no change in accuracy.</w:t>
      </w:r>
    </w:p>
    <w:p>
      <w:pPr>
        <w:pStyle w:val="Heading1"/>
      </w:pPr>
      <w:r>
        <w:t>5. Results and Discussion</w:t>
      </w:r>
    </w:p>
    <w:p>
      <w:pPr>
        <w:pStyle w:val="Heading2"/>
      </w:pPr>
      <w:r>
        <w:t>5.1. Classification Performance</w:t>
      </w:r>
    </w:p>
    <w:p>
      <w:pPr>
        <w:spacing w:before="0" w:after="120"/>
      </w:pPr>
      <w:r>
        <w:t>Table 3 reports classification accuracy, macro-F1, and weighted-F1 for all methods on all three datasets. Results for the proposed method are the seed-42 single-run values; three-seed mean and standard deviation are reported separately in Table 4.</w:t>
      </w:r>
    </w:p>
    <w:p>
      <w:pPr>
        <w:spacing w:before="120" w:after="40"/>
      </w:pPr>
      <w:r>
        <w:rPr>
          <w:b/>
        </w:rPr>
        <w:t>TABLE 3</w:t>
      </w:r>
    </w:p>
    <w:p>
      <w:pPr>
        <w:spacing w:after="40"/>
      </w:pPr>
      <w:r>
        <w:rPr>
          <w:b/>
        </w:rPr>
        <w:t>Classification results for all methods across three datasets. Bold: best result per dataset. Test accuracy (%), macro-F1 (%), weighted-F1 (%).</w:t>
      </w:r>
    </w:p>
    <w:p>
      <w:pPr>
        <w:spacing w:after="200"/>
      </w:pPr>
      <w:r>
        <w:rPr>
          <w:color w:val="999999"/>
        </w:rPr>
        <w:t>[TABLE DATA HERE]</w:t>
      </w:r>
    </w:p>
    <w:p>
      <w:pPr>
        <w:spacing w:before="120" w:after="40"/>
      </w:pPr>
      <w:r>
        <w:rPr>
          <w:b/>
        </w:rPr>
        <w:t>TABLE 4</w:t>
      </w:r>
    </w:p>
    <w:p>
      <w:pPr>
        <w:spacing w:after="40"/>
      </w:pPr>
      <w:r>
        <w:rPr>
          <w:b/>
        </w:rPr>
        <w:t>Three-seed reproducibility for AgroOnto-VLM (Proposed). Mean ± std across seeds {42, 123, 456}.</w:t>
      </w:r>
    </w:p>
    <w:p>
      <w:pPr>
        <w:spacing w:after="200"/>
      </w:pPr>
      <w:r>
        <w:rPr>
          <w:color w:val="999999"/>
        </w:rPr>
        <w:t>[TABLE DATA HERE]</w:t>
      </w:r>
    </w:p>
    <w:p>
      <w:pPr>
        <w:spacing w:before="0" w:after="120"/>
      </w:pPr>
      <w:r>
        <w:t>On PlantVillage tomato, AgroOnto-VLM achieves 98.84% test accuracy (macro-F1 98.68%, weighted-F1 98.84%). The CLIP-LoRA baseline achieves 99.61% validation accuracy but comparable test accuracy, with performance within measurement noise between the two methods. The three-seed mean is 98.69 ± 0.26% for the proposed method. The −LoRA ablation (linear probe) drops to 95.89%, confirming that LoRA adaptation is necessary for high accuracy on this benchmark. CLIP zero-shot achieves only 7.13%, which highlights the domain shift from the CLIP pretraining distribution to specialized agricultural images.</w:t>
      </w:r>
    </w:p>
    <w:p>
      <w:pPr>
        <w:spacing w:before="0" w:after="120"/>
      </w:pPr>
      <w:r>
        <w:t>On DeepWeeds, AgroOnto-VLM achieves 92.23% test accuracy (three-seed: 92.91 ± 0.14%). The −Ontology ablation achieves 96.07% validation accuracy, suggesting that the ontology supervision on this dataset modestly affects convergence speed rather than final accuracy under a fixed 30-epoch budget. The −LoRA ablation (83.14%) and ResNet-50 linear probe (80.77%) are substantially lower, confirming that CLIP features with LoRA adaptation provide better representations than CNN features for this task.</w:t>
      </w:r>
    </w:p>
    <w:p>
      <w:pPr>
        <w:spacing w:before="0" w:after="120"/>
      </w:pPr>
      <w:r>
        <w:t>On IP102, AgroOnto-VLM achieves 70.88% test accuracy (three-seed: 71.66 ± 0.29%, macro-F1 46.22%). The ontological supervision provides a clearer benefit on IP102 relative to DeepWeeds, consistent with the larger number of ontologically related class pairs in a 102-class pest dataset. The macro-F1 score of 46.22% reflects the severe class imbalance: classes with fewer than 10 test samples have near-zero precision and recall, which dominate the macro average. The weighted-F1 of 68.60% better characterizes overall discrimination. The CLIP zero-shot baseline achieves 0.89% on IP102, far below random chance, confirming that the pest domain falls entirely outside the CLIP pretraining distribution without adaptation.</w:t>
      </w:r>
    </w:p>
    <w:p>
      <w:pPr>
        <w:pStyle w:val="Heading2"/>
      </w:pPr>
      <w:r>
        <w:t>5.2. Ablation Study</w:t>
      </w:r>
    </w:p>
    <w:p>
      <w:pPr>
        <w:spacing w:before="0" w:after="120"/>
      </w:pPr>
      <w:r>
        <w:t>Fig. 2 shows the ablation results across all three datasets as grouped bar charts.</w:t>
      </w:r>
    </w:p>
    <w:p>
      <w:pPr>
        <w:spacing w:before="120" w:after="80"/>
        <w:jc w:val="center"/>
      </w:pPr>
      <w:r>
        <w:rPr>
          <w:b/>
          <w:color w:val="999999"/>
        </w:rPr>
        <w:t>[FIGURE 2 HERE]</w:t>
      </w:r>
    </w:p>
    <w:p>
      <w:pPr>
        <w:spacing w:after="200"/>
        <w:jc w:val="center"/>
      </w:pPr>
      <w:r>
        <w:rPr>
          <w:b w:val="0"/>
          <w:i w:val="0"/>
          <w:sz w:val="18"/>
        </w:rPr>
        <w:t>Fig. 2. Ablation study results. Grouped bars show test accuracy (%) for AgroOnto-VLM (Proposed), CLIP-LoRA Baseline (−Ontology), −Ontology Ablation (label smoothing only), and −LoRA Ablation (linear probe) across three datasets.</w:t>
      </w:r>
    </w:p>
    <w:p>
      <w:pPr>
        <w:spacing w:before="0" w:after="120"/>
      </w:pPr>
      <w:r>
        <w:t>The LoRA adapters provide the largest single contribution to accuracy: removing them (M4 vs M2) reduces accuracy by 3.7 percentage points on PlantVillage, 13.7 points on DeepWeeds, and 6.8 points on IP102. This establishes that parameter-efficient adaptation of CLIP features is necessary across all three task types.</w:t>
      </w:r>
    </w:p>
    <w:p>
      <w:pPr>
        <w:spacing w:before="0" w:after="120"/>
      </w:pPr>
      <w:r>
        <w:t>The ontological supervision provides a consistent, smaller benefit over the label-smoothed baseline on two of three datasets: +0.93 points on DeepWeeds and +1.68 points on IP102. The marginal difference on PlantVillage (−0.01 points) is consistent with the observation that a 10-class dataset with relatively clear inter-class visual boundaries leaves little room for ontological soft targets to improve discrimination.</w:t>
      </w:r>
    </w:p>
    <w:p>
      <w:pPr>
        <w:pStyle w:val="Heading2"/>
      </w:pPr>
      <w:r>
        <w:t>5.3. Training Convergence</w:t>
      </w:r>
    </w:p>
    <w:p>
      <w:pPr>
        <w:spacing w:before="0" w:after="120"/>
      </w:pPr>
      <w:r>
        <w:t>Fig. 3 shows training and validation loss and accuracy curves for the proposed method across all three datasets. Convergence patterns differ substantially across datasets: PlantVillage tomato converges to near-ceiling accuracy within the first 10 epochs (best validation accuracy at epoch 21, 99.55%); DeepWeeds reaches its best validation accuracy at epoch 15 (97.02%); IP102 peaks early at epoch 9 (76.60%) before overfitting, consistent with the severity of class imbalance in that dataset.</w:t>
      </w:r>
    </w:p>
    <w:p>
      <w:pPr>
        <w:spacing w:before="0" w:after="120"/>
      </w:pPr>
      <w:r>
        <w:t>The early convergence on IP102 suggests that a shorter training budget with stronger regularization, or a class-weighted sampling strategy, may improve performance on imbalanced benchmarks.</w:t>
      </w:r>
    </w:p>
    <w:p>
      <w:pPr>
        <w:spacing w:before="120" w:after="80"/>
        <w:jc w:val="center"/>
      </w:pPr>
      <w:r>
        <w:rPr>
          <w:b/>
          <w:color w:val="999999"/>
        </w:rPr>
        <w:t>[FIGURE 3 HERE]</w:t>
      </w:r>
    </w:p>
    <w:p>
      <w:pPr>
        <w:spacing w:after="200"/>
        <w:jc w:val="center"/>
      </w:pPr>
      <w:r>
        <w:rPr>
          <w:b w:val="0"/>
          <w:i w:val="0"/>
          <w:sz w:val="18"/>
        </w:rPr>
        <w:t>Fig. 3. Training convergence curves for AgroOnto-VLM (Proposed). Top row: training loss. Bottom row: training and validation accuracy. Stars mark the epoch with the best validation accuracy. Columns correspond to (a) PlantVillage tomato, (b) DeepWeeds, (c) IP102.</w:t>
      </w:r>
    </w:p>
    <w:p>
      <w:pPr>
        <w:pStyle w:val="Heading2"/>
      </w:pPr>
      <w:r>
        <w:t>5.4. Confusion Matrices</w:t>
      </w:r>
    </w:p>
    <w:p>
      <w:pPr>
        <w:spacing w:before="0" w:after="120"/>
      </w:pPr>
      <w:r>
        <w:t>Fig. 4 shows confusion matrices for AgroOnto-VLM on the three test sets. On PlantVillage tomato, the largest confusion is between Bacterial Spot and Tomato Yellow Leaf Curl Virus (7 samples), which share similar early-stage symptom patterns. On DeepWeeds, the Negative class (background/non-weed) is recognized with 98.74% accuracy; the largest errors occur in the Chinee Apple class (68% recall), whose visual appearance under field conditions overlaps with several other species. On IP102, the normalized confusion matrix (Fig. 4c) reveals that most errors are concentrated along the diagonal region, indicating that misclassifications tend to occur between taxonomically proximate pest species.</w:t>
      </w:r>
    </w:p>
    <w:p>
      <w:pPr>
        <w:spacing w:before="120" w:after="80"/>
        <w:jc w:val="center"/>
      </w:pPr>
      <w:r>
        <w:rPr>
          <w:b/>
          <w:color w:val="999999"/>
        </w:rPr>
        <w:t>[FIGURE 4 HERE]</w:t>
      </w:r>
    </w:p>
    <w:p>
      <w:pPr>
        <w:spacing w:after="200"/>
        <w:jc w:val="center"/>
      </w:pPr>
      <w:r>
        <w:rPr>
          <w:b w:val="0"/>
          <w:i w:val="0"/>
          <w:sz w:val="18"/>
        </w:rPr>
        <w:t>Fig. 4. Confusion matrices for AgroOnto-VLM (Proposed). (a) PlantVillage tomato: raw counts, 10×10. (b) DeepWeeds: raw counts, 9×9. (c) IP102: row-normalized percentages, 102×102. Abbreviations: BS=Bacterial Spot, EB=Early Blight, LB=Late Blight, LM=Leaf Mold, SLS=Septoria Leaf Spot, SM=Spider Mites, TS=Target Spot, YLCV=Yellow Leaf Curl Virus, MV=Mosaic Virus, H=Healthy; CA=Chinee Apple, Lan=Lantana, Par=Parkinsonia, Prt=Parthenium, PA=Prickly Acacia, RV=Rubber Vine, SW=Siam Weed, SnW=Snake Weed, Neg=Negative.</w:t>
      </w:r>
    </w:p>
    <w:p>
      <w:pPr>
        <w:pStyle w:val="Heading2"/>
      </w:pPr>
      <w:r>
        <w:t>5.5. Misclassification Severity</w:t>
      </w:r>
    </w:p>
    <w:p>
      <w:pPr>
        <w:spacing w:before="0" w:after="120"/>
      </w:pPr>
      <w:r>
        <w:t>Fig. 5 reports average misclassification severity (Eq. 8) for AgroOnto-VLM and the CLIP-LoRA baseline across disease severity strata on PlantVillage tomato and weed threat levels on DeepWeeds.</w:t>
      </w:r>
    </w:p>
    <w:p>
      <w:pPr>
        <w:spacing w:before="120" w:after="80"/>
        <w:jc w:val="center"/>
      </w:pPr>
      <w:r>
        <w:rPr>
          <w:b/>
          <w:color w:val="999999"/>
        </w:rPr>
        <w:t>[FIGURE 5 HERE]</w:t>
      </w:r>
    </w:p>
    <w:p>
      <w:pPr>
        <w:spacing w:after="200"/>
        <w:jc w:val="center"/>
      </w:pPr>
      <w:r>
        <w:rPr>
          <w:b w:val="0"/>
          <w:i w:val="0"/>
          <w:sz w:val="18"/>
        </w:rPr>
        <w:t>Fig. 5. Misclassification severity analysis. (a) PlantVillage tomato: accuracy across four disease severity strata (Healthy, Mild, Moderate, Severe). (b) DeepWeeds: accuracy across weed threat levels (Non-invasive, Low Threat, Moderate Threat, High Threat). Error bars show per-stratum accuracy for AgroOnto-VLM (Proposed).</w:t>
      </w:r>
    </w:p>
    <w:p>
      <w:pPr>
        <w:spacing w:before="0" w:after="120"/>
      </w:pPr>
      <w:r>
        <w:t>On PlantVillage tomato, the proposed method achieves 100% accuracy on healthy samples (318 images), 99.45% on moderate disease, 98.30% on severe disease, and 97.77% on mild disease (the most challenging stratum for semantic discrimination). On DeepWeeds, the non-invasive class (background, 1,821 images) achieves 98.74% accuracy; the low-threat weed stratum shows the lowest accuracy (75.93%), consistent with the visual similarity of low-threat species to background vegetation.</w:t>
      </w:r>
    </w:p>
    <w:p>
      <w:pPr>
        <w:spacing w:before="0" w:after="120"/>
      </w:pPr>
      <w:r>
        <w:t>Across both datasets, misclassifications generated by AgroOnto-VLM tend to fall between classes with shared facet values (same host crop, similar pathogen type, or related genus) rather than between semantically distant classes. This pattern is consistent with the expected effect of ontological soft targets: rather than eliminating errors, the method reshapes the error distribution toward semantically less severe mistakes.</w:t>
      </w:r>
    </w:p>
    <w:p>
      <w:pPr>
        <w:pStyle w:val="Heading2"/>
      </w:pPr>
      <w:r>
        <w:t>5.6. Discussion</w:t>
      </w:r>
    </w:p>
    <w:p>
      <w:pPr>
        <w:spacing w:before="0" w:after="120"/>
      </w:pPr>
      <w:r>
        <w:t>The results support three conclusions. First, parameter-efficient adaptation of CLIP with LoRA provides strong performance across disease, weed, and pest benchmarks, confirming and extending the findings of Espejo-Garcia et al. [8] and Liu et al. [9]. The improvement over linear-probe baselines is consistent and substantial (3.7–13.7 percentage points), establishing that LoRA adaptation is the dominant contributor to accuracy in this framework.</w:t>
      </w:r>
    </w:p>
    <w:p>
      <w:pPr>
        <w:spacing w:before="0" w:after="120"/>
      </w:pPr>
      <w:r>
        <w:t>Second, the ontological supervision provides an additional, smaller benefit on two of three datasets. The benefit is largest on IP102 (102 classes, pronounced imbalance), where soft targets derived from taxonomic relationships provide gradient signal even for classes with few training samples. The near-zero effect on PlantVillage tomato is consistent with the dataset's small class count and relatively clear inter-class boundaries: with only 10 classes and high training accuracy, there is limited room for soft targets to add information.</w:t>
      </w:r>
    </w:p>
    <w:p>
      <w:pPr>
        <w:spacing w:before="0" w:after="120"/>
      </w:pPr>
      <w:r>
        <w:t>Third, the severity analysis reveals that the ontological supervision reshapes the error distribution in a semantically meaningful way. Errors on both PlantVillage and DeepWeeds tend to occur between facet-similar classes, which corresponds to errors that agronomists would consider less costly than cross-category mistakes. This property is not captured by top-1 accuracy but has practical implications for decision support systems in precision agriculture.</w:t>
      </w:r>
    </w:p>
    <w:p>
      <w:pPr>
        <w:spacing w:before="0" w:after="120"/>
      </w:pPr>
      <w:r>
        <w:t>Several limitations of the present work deserve mention. The IP102 confusion matrix is generated from the best validation checkpoint at epoch 9; final-epoch accuracy on this dataset is lower (74.41%), reflecting overfitting under the fixed 30-epoch protocol. A class-weighted sampler or a shorter training budget may improve IP102 performance. The hardware constraint (4 GB VRAM) limits LoRA adaptation to the final four transformer blocks; applying LoRA to all blocks would require either model parallelism or gradient checkpointing. The DeepWeeds split differs from the original cross-validation protocol, so direct comparison with the 95.7% figure in Olsen et al. [3] is not valid.</w:t>
      </w:r>
    </w:p>
    <w:p>
      <w:pPr>
        <w:pStyle w:val="Heading1"/>
      </w:pPr>
      <w:r>
        <w:t>6. Conclusions</w:t>
      </w:r>
    </w:p>
    <w:p>
      <w:pPr>
        <w:spacing w:before="0" w:after="120"/>
      </w:pPr>
      <w:r>
        <w:t>We have presented AgroOnto-VLM, a method for agricultural image classification that combines LoRA adaptation of CLIP ViT-B/32 with an ontology-guided training objective. The method constructs a multi-faceted domain ontology covering seven agronomic and taxonomic facets per class, derives soft training targets from pairwise facet similarity, and incorporates these targets into the fine-tuning loss alongside a prototype-alignment regularizer.</w:t>
      </w:r>
    </w:p>
    <w:p>
      <w:pPr>
        <w:spacing w:before="0" w:after="120"/>
      </w:pPr>
      <w:r>
        <w:t>Experiments on PlantVillage tomato (10 classes), DeepWeeds (9 classes), and IP102 (102 classes) show that LoRA adaptation is the dominant contributor to accuracy (95.89–99.55% on PlantVillage, 83.14–92.23% on DeepWeeds, 68.42–70.88% on IP102 depending on method), and that ontological supervision provides an additional consistent benefit on DeepWeeds and IP102. Three-seed reproducibility experiments confirm stability: 98.69 ± 0.26% on PlantVillage, 92.91 ± 0.14% on DeepWeeds, and 71.66 ± 0.29% on IP102. A severity analysis shows that the ontological supervision biases misclassifications toward semantically closer classes, independent of accuracy.</w:t>
      </w:r>
    </w:p>
    <w:p>
      <w:pPr>
        <w:spacing w:before="0" w:after="120"/>
      </w:pPr>
      <w:r>
        <w:t>Future work will extend the ontology to additional crop types and pest taxa, evaluate the method under few-shot conditions where soft targets may provide larger benefits, and investigate class-balanced sampling strategies to address the IP102 imbalance.</w:t>
      </w:r>
    </w:p>
    <w:p>
      <w:pPr>
        <w:pStyle w:val="Heading1"/>
      </w:pPr>
      <w:r>
        <w:t>References</w:t>
      </w:r>
    </w:p>
    <w:p>
      <w:pPr>
        <w:spacing w:after="60"/>
        <w:ind w:hanging="432" w:left="432"/>
      </w:pPr>
      <w:r>
        <w:t>[1] Hughes, D., &amp; Salathé, M. (2015). An open access repository of images on plant health to enable the development of mobile disease diagnostics. arXiv:1511.08060.</w:t>
      </w:r>
    </w:p>
    <w:p>
      <w:pPr>
        <w:spacing w:after="60"/>
        <w:ind w:hanging="432" w:left="432"/>
      </w:pPr>
      <w:r>
        <w:t>[2] Wu, X., Zhan, C., Lai, Y.-K., Cheng, M.-M., &amp; Yang, J. (2019). IP102: A large-scale benchmark dataset for insect pest recognition. In Proc. CVPR (pp. 8787–8796).</w:t>
      </w:r>
    </w:p>
    <w:p>
      <w:pPr>
        <w:spacing w:after="60"/>
        <w:ind w:hanging="432" w:left="432"/>
      </w:pPr>
      <w:r>
        <w:t>[3] Olsen, A., et al. (2019). DeepWeeds: A multiclass weed species image dataset for deep learning. Scientific Reports, 9(1), 2058.</w:t>
      </w:r>
    </w:p>
    <w:p>
      <w:pPr>
        <w:spacing w:after="60"/>
        <w:ind w:hanging="432" w:left="432"/>
      </w:pPr>
      <w:r>
        <w:t>[4] Ouamane, A., Chouchane, A., Himeur, Y., Miniaoui, S., Atalla, S., Mansoor, W., &amp; Al-Ahmad, H. (2025). Optimized vision transformers for superior plant disease detection. IEEE Access.</w:t>
      </w:r>
    </w:p>
    <w:p>
      <w:pPr>
        <w:spacing w:after="60"/>
        <w:ind w:hanging="432" w:left="432"/>
      </w:pPr>
      <w:r>
        <w:t>[5] Radford, A., et al. (2021). Learning transferable visual models from natural language supervision. In Proc. ICML (pp. 8748–8763).</w:t>
      </w:r>
    </w:p>
    <w:p>
      <w:pPr>
        <w:spacing w:after="60"/>
        <w:ind w:hanging="432" w:left="432"/>
      </w:pPr>
      <w:r>
        <w:t>[6] Oquab, M., et al. (2024). DINOv2: Learning robust visual features without supervision. Transactions on Machine Learning Research.</w:t>
      </w:r>
    </w:p>
    <w:p>
      <w:pPr>
        <w:spacing w:after="60"/>
        <w:ind w:hanging="432" w:left="432"/>
      </w:pPr>
      <w:r>
        <w:t>[7] Hu, E. J., et al. (2022). LoRA: Low-rank adaptation of large language models. In Proc. ICLR.</w:t>
      </w:r>
    </w:p>
    <w:p>
      <w:pPr>
        <w:spacing w:after="60"/>
        <w:ind w:hanging="432" w:left="432"/>
      </w:pPr>
      <w:r>
        <w:t>[8] Espejo-Garcia, B., Güldenring, R., Nalpantidis, L., &amp; Fountas, S. (2025). Foundation vision models in agriculture: DINOv2, LoRA and knowledge distillation for disease and weed identification. Computers and Electronics in Agriculture, 239, 110900.</w:t>
      </w:r>
    </w:p>
    <w:p>
      <w:pPr>
        <w:spacing w:after="60"/>
        <w:ind w:hanging="432" w:left="432"/>
      </w:pPr>
      <w:r>
        <w:t>[9] Liu, J., Xing, J., Zhou, G., Wang, J., Sun, L., &amp; Chen, X. (2025). Transfer large models to crop pest recognition—A cross-modal unified framework for parameters efficient fine-tuning. Computers and Electronics in Agriculture, 237, 110661.</w:t>
      </w:r>
    </w:p>
    <w:p>
      <w:pPr>
        <w:spacing w:after="60"/>
        <w:ind w:hanging="432" w:left="432"/>
      </w:pPr>
      <w:r>
        <w:t>[10] Bertinetto, L., Mueller, R., Tertikas, K., Samangooei, S., &amp; Lord, N. A. (2020). Making better mistakes: Leveraging class hierarchies with deep networks. In Proc. CVPR (pp. 12506–12515).</w:t>
      </w:r>
    </w:p>
    <w:p>
      <w:pPr>
        <w:spacing w:after="60"/>
        <w:ind w:hanging="432" w:left="432"/>
      </w:pPr>
      <w:r>
        <w:t>[11] Garg, A., Sani, D., &amp; Anand, S. (2022). Learning hierarchy aware features for reducing mistake severity. In Proc. ECCV, LNCS vol. 13684.</w:t>
      </w:r>
    </w:p>
    <w:p>
      <w:pPr>
        <w:spacing w:after="60"/>
        <w:ind w:hanging="432" w:left="432"/>
      </w:pPr>
      <w:r>
        <w:t>[12] Lu, Z., Xu, Q., Bao, S., Yang, Z., &amp; Huang, Q. (2025). Bidirectional logits tree: Pursuing granularity reconcilement in fine-grained classification. In Proc. AAAI.</w:t>
      </w:r>
    </w:p>
    <w:p>
      <w:pPr>
        <w:spacing w:after="60"/>
        <w:ind w:hanging="432" w:left="432"/>
      </w:pPr>
      <w:r>
        <w:t>[13] Jain, K., Bhat, S. S., &amp; Anand, S. (2023). Test-time amendment with a coarse classifier for fine-grained classification. In Proc. NeurIPS.</w:t>
      </w:r>
    </w:p>
    <w:p>
      <w:pPr>
        <w:spacing w:after="60"/>
        <w:ind w:hanging="432" w:left="432"/>
      </w:pPr>
      <w:r>
        <w:t>[14] Rahman, M. G., Rahman, M. A., Parvez, M. Z., Patwary, M. A. K., Ahamed, T., &amp; Fleming-Muñoz, D. A. (2025). ADeepWeeD: An adaptive deep learning framework for weed species classification. Smart Agriculture Technology.</w:t>
      </w:r>
    </w:p>
    <w:p>
      <w:pPr>
        <w:spacing w:after="60"/>
        <w:ind w:hanging="432" w:left="432"/>
      </w:pPr>
      <w:r>
        <w:t>[15] Asghar, M. Z., et al. (2025). A lightweight hybrid model for scalable and robust plant leaf disease classification. Scientific Reports, 15.</w:t>
      </w:r>
    </w:p>
    <w:p>
      <w:pPr>
        <w:spacing w:after="60"/>
        <w:ind w:hanging="432" w:left="432"/>
      </w:pPr>
      <w:r>
        <w:t>[16] Venkateswara, K., &amp; Padmanabhan, S. (2025). Deep learning based agricultural pest monitoring and classification. Scientific Reports, 15.</w:t>
      </w:r>
    </w:p>
    <w:p>
      <w:pPr>
        <w:spacing w:after="60"/>
        <w:ind w:hanging="432" w:left="432"/>
      </w:pPr>
      <w:r>
        <w:t>[17] Gao, P., et al. (2024). CLIP-Adapter: Better vision-language models with feature adapters. International Journal of Computer Vision, 132, 581–595.</w:t>
      </w:r>
    </w:p>
    <w:p>
      <w:pPr>
        <w:spacing w:after="60"/>
        <w:ind w:hanging="432" w:left="432"/>
      </w:pPr>
      <w:r>
        <w:t>[18] Zhang, R., et al. (2022). Tip-Adapter: Training-free adaption of CLIP for few-shot classification. In Proc. ECCV.</w:t>
      </w:r>
    </w:p>
    <w:p>
      <w:pPr>
        <w:spacing w:after="60"/>
        <w:ind w:hanging="432" w:left="432"/>
      </w:pPr>
      <w:r>
        <w:t>[19] Nguyen Quoc, K., et al. (2025). A vision-language foundation model for leaf disease identification. Expert Systems with Applications. doi:10.1016/j.eswa.2025.130084.</w:t>
      </w:r>
    </w:p>
    <w:p>
      <w:pPr>
        <w:spacing w:after="60"/>
        <w:ind w:hanging="432" w:left="432"/>
      </w:pPr>
      <w:r>
        <w:t>[20] Zhang, J., Chen, X., Yang, Y., Liu, Y., Yin, Z., &amp; Huang, Z. (2026). Lightweight adaptation of CLIP for few-shot plant disease recognition. Multimedia Systems, 32, art. 238.</w:t>
      </w:r>
    </w:p>
    <w:p>
      <w:pPr>
        <w:spacing w:after="60"/>
        <w:ind w:hanging="432" w:left="432"/>
      </w:pPr>
      <w:r>
        <w:t>[21] Shafay, B., Velayudhan, D., Owais, M., Hassan, T., Seneviratne, L., Hussain, I., &amp; Werghi, N. (2025). An end-to-end vision–language framework with LLM-based reasoning for decision-oriented tomato leaf disease management.</w:t>
      </w:r>
    </w:p>
    <w:p>
      <w:pPr>
        <w:spacing w:after="60"/>
        <w:ind w:hanging="432" w:left="432"/>
      </w:pPr>
      <w:r>
        <w:t>[22] Chan, A., D'Ascenzo, D., &amp; Cultrera di Montesano, S. (2025). When labels have structure: Improving image classification with hierarchy-aware cross-entropy. arXiv:2605.06274.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