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99.55%, 97.02%, and 76.60% test accuracy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is poor due to domain shift: we observe 7.13% on PlantVillage and 21.87% on DeepWeeds, confirming that domain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pPr>
      <w:r>
        <w:rPr>
          <w:b/>
          <w:color w:val="808080"/>
        </w:rPr>
        <w:t>[FIGURE 1 HERE]</w:t>
      </w:r>
    </w:p>
    <w:p>
      <w:pPr>
        <w:spacing w:before="80" w:after="240"/>
      </w:pPr>
      <w:r>
        <w:rPr>
          <w:i/>
          <w:sz w:val="20"/>
        </w:rPr>
        <w:t>Fig. 1. System architecture of AgroOnto-VLM. The frozen CLIP ViT-B/32 image encoder is adapted via LoRA modules (rank r = 8) inserted into the query and value projections of the final four transformer blocks. During training, ontology-derived soft targets s_y and a prototype regulariser L_proto are computed from the multi-faceted agricultural ontology and combined with the hard label e_y and uniform smoothing term u to form the composite target q. At inference, the model is a standard image classifier.</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r>
        <w:tc>
          <w:tcPr>
            <w:tcW w:type="dxa" w:w="3120"/>
          </w:tcPr>
          <w:p>
            <w:r/>
            <w:r>
              <w:rPr>
                <w:sz w:val="18"/>
              </w:rPr>
              <w:t>ResNet-50 Linear Probe</w:t>
            </w:r>
          </w:p>
        </w:tc>
        <w:tc>
          <w:tcPr>
            <w:tcW w:type="dxa" w:w="3120"/>
          </w:tcPr>
          <w:p>
            <w:r/>
            <w:r>
              <w:rPr>
                <w:sz w:val="18"/>
              </w:rPr>
              <w:t>ResNet-50 frozen features + linear layer</w:t>
            </w:r>
          </w:p>
        </w:tc>
        <w:tc>
          <w:tcPr>
            <w:tcW w:type="dxa" w:w="3120"/>
          </w:tcPr>
          <w:p>
            <w:r/>
            <w:r>
              <w:rPr>
                <w:sz w:val="18"/>
              </w:rPr>
              <w:t>CNN baseline</w:t>
            </w:r>
          </w:p>
        </w:tc>
      </w:tr>
      <w:tr>
        <w:tc>
          <w:tcPr>
            <w:tcW w:type="dxa" w:w="3120"/>
          </w:tcPr>
          <w:p>
            <w:r/>
            <w:r>
              <w:rPr>
                <w:sz w:val="18"/>
              </w:rPr>
              <w:t>ViT-B/16 Linear Probe</w:t>
            </w:r>
          </w:p>
        </w:tc>
        <w:tc>
          <w:tcPr>
            <w:tcW w:type="dxa" w:w="3120"/>
          </w:tcPr>
          <w:p>
            <w:r/>
            <w:r>
              <w:rPr>
                <w:sz w:val="18"/>
              </w:rPr>
              <w:t>ViT-B/16 frozen features + linear layer</w:t>
            </w:r>
          </w:p>
        </w:tc>
        <w:tc>
          <w:tcPr>
            <w:tcW w:type="dxa" w:w="3120"/>
          </w:tcPr>
          <w:p>
            <w:r/>
            <w:r>
              <w:rPr>
                <w:sz w:val="18"/>
              </w:rPr>
              <w:t>Transformer baseline</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99.55</w:t>
            </w:r>
          </w:p>
        </w:tc>
        <w:tc>
          <w:tcPr>
            <w:tcW w:type="dxa" w:w="1337"/>
          </w:tcPr>
          <w:p>
            <w:r/>
            <w:r>
              <w:rPr>
                <w:sz w:val="18"/>
              </w:rPr>
              <w:t>98.68</w:t>
            </w:r>
          </w:p>
        </w:tc>
        <w:tc>
          <w:tcPr>
            <w:tcW w:type="dxa" w:w="1337"/>
          </w:tcPr>
          <w:p>
            <w:r/>
            <w:r>
              <w:rPr>
                <w:sz w:val="18"/>
              </w:rPr>
              <w:t>99.55</w:t>
            </w:r>
          </w:p>
        </w:tc>
        <w:tc>
          <w:tcPr>
            <w:tcW w:type="dxa" w:w="1337"/>
          </w:tcPr>
          <w:p>
            <w:r/>
            <w:r>
              <w:rPr>
                <w:sz w:val="18"/>
              </w:rPr>
              <w:t>97.02</w:t>
            </w:r>
          </w:p>
        </w:tc>
        <w:tc>
          <w:tcPr>
            <w:tcW w:type="dxa" w:w="1337"/>
          </w:tcPr>
          <w:p>
            <w:r/>
            <w:r>
              <w:rPr>
                <w:sz w:val="18"/>
              </w:rPr>
              <w:t>76.60</w:t>
            </w:r>
          </w:p>
        </w:tc>
        <w:tc>
          <w:tcPr>
            <w:tcW w:type="dxa" w:w="1337"/>
          </w:tcPr>
          <w:p>
            <w:r/>
            <w:r>
              <w:rPr>
                <w:sz w:val="18"/>
              </w:rPr>
              <w:t>46.22</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ResNet-50 LP</w:t>
            </w:r>
          </w:p>
        </w:tc>
        <w:tc>
          <w:tcPr>
            <w:tcW w:type="dxa" w:w="1337"/>
          </w:tcPr>
          <w:p>
            <w:r/>
            <w:r>
              <w:rPr>
                <w:sz w:val="18"/>
              </w:rPr>
              <w:t>96.47</w:t>
            </w:r>
          </w:p>
        </w:tc>
        <w:tc>
          <w:tcPr>
            <w:tcW w:type="dxa" w:w="1337"/>
          </w:tcPr>
          <w:p>
            <w:r/>
            <w:r>
              <w:rPr>
                <w:sz w:val="18"/>
              </w:rPr>
              <w:t>96.21</w:t>
            </w:r>
          </w:p>
        </w:tc>
        <w:tc>
          <w:tcPr>
            <w:tcW w:type="dxa" w:w="1337"/>
          </w:tcPr>
          <w:p>
            <w:r/>
            <w:r>
              <w:rPr>
                <w:sz w:val="18"/>
              </w:rPr>
              <w:t>96.47</w:t>
            </w:r>
          </w:p>
        </w:tc>
        <w:tc>
          <w:tcPr>
            <w:tcW w:type="dxa" w:w="1337"/>
          </w:tcPr>
          <w:p>
            <w:r/>
            <w:r>
              <w:rPr>
                <w:sz w:val="18"/>
              </w:rPr>
              <w:t>80.77</w:t>
            </w:r>
          </w:p>
        </w:tc>
        <w:tc>
          <w:tcPr>
            <w:tcW w:type="dxa" w:w="1337"/>
          </w:tcPr>
          <w:p>
            <w:r/>
            <w:r>
              <w:rPr>
                <w:sz w:val="18"/>
              </w:rPr>
              <w:t>70.69</w:t>
            </w:r>
          </w:p>
        </w:tc>
        <w:tc>
          <w:tcPr>
            <w:tcW w:type="dxa" w:w="1337"/>
          </w:tcPr>
          <w:p>
            <w:r/>
            <w:r>
              <w:rPr>
                <w:sz w:val="18"/>
              </w:rPr>
              <w:t>44.18</w:t>
            </w:r>
          </w:p>
        </w:tc>
      </w:tr>
      <w:tr>
        <w:tc>
          <w:tcPr>
            <w:tcW w:type="dxa" w:w="1337"/>
          </w:tcPr>
          <w:p>
            <w:r/>
            <w:r>
              <w:rPr>
                <w:sz w:val="18"/>
              </w:rPr>
              <w:t>ViT-B/16 LP</w:t>
            </w:r>
          </w:p>
        </w:tc>
        <w:tc>
          <w:tcPr>
            <w:tcW w:type="dxa" w:w="1337"/>
          </w:tcPr>
          <w:p>
            <w:r/>
            <w:r>
              <w:rPr>
                <w:sz w:val="18"/>
              </w:rPr>
              <w:t>98.30</w:t>
            </w:r>
          </w:p>
        </w:tc>
        <w:tc>
          <w:tcPr>
            <w:tcW w:type="dxa" w:w="1337"/>
          </w:tcPr>
          <w:p>
            <w:r/>
            <w:r>
              <w:rPr>
                <w:sz w:val="18"/>
              </w:rPr>
              <w:t>98.17</w:t>
            </w:r>
          </w:p>
        </w:tc>
        <w:tc>
          <w:tcPr>
            <w:tcW w:type="dxa" w:w="1337"/>
          </w:tcPr>
          <w:p>
            <w:r/>
            <w:r>
              <w:rPr>
                <w:sz w:val="18"/>
              </w:rPr>
              <w:t>98.30</w:t>
            </w:r>
          </w:p>
        </w:tc>
        <w:tc>
          <w:tcPr>
            <w:tcW w:type="dxa" w:w="1337"/>
          </w:tcPr>
          <w:p>
            <w:r/>
            <w:r>
              <w:rPr>
                <w:sz w:val="18"/>
              </w:rPr>
              <w:t>86.19</w:t>
            </w:r>
          </w:p>
        </w:tc>
        <w:tc>
          <w:tcPr>
            <w:tcW w:type="dxa" w:w="1337"/>
          </w:tcPr>
          <w:p>
            <w:r/>
            <w:r>
              <w:rPr>
                <w:sz w:val="18"/>
              </w:rPr>
              <w:t>72.47</w:t>
            </w:r>
          </w:p>
        </w:tc>
        <w:tc>
          <w:tcPr>
            <w:tcW w:type="dxa" w:w="1337"/>
          </w:tcPr>
          <w:p>
            <w:r/>
            <w:r>
              <w:rPr>
                <w:sz w:val="18"/>
              </w:rPr>
              <w:t>46.88</w:t>
            </w:r>
          </w:p>
        </w:tc>
      </w:tr>
      <w:tr>
        <w:tc>
          <w:tcPr>
            <w:tcW w:type="dxa" w:w="1337"/>
          </w:tcPr>
          <w:p>
            <w:r/>
            <w:r>
              <w:rPr>
                <w:sz w:val="18"/>
              </w:rPr>
              <w:t>CLIP Zero-Shot</w:t>
            </w:r>
          </w:p>
        </w:tc>
        <w:tc>
          <w:tcPr>
            <w:tcW w:type="dxa" w:w="1337"/>
          </w:tcPr>
          <w:p>
            <w:r/>
            <w:r>
              <w:rPr>
                <w:sz w:val="18"/>
              </w:rPr>
              <w:t xml:space="preserve"> 7.13</w:t>
            </w:r>
          </w:p>
        </w:tc>
        <w:tc>
          <w:tcPr>
            <w:tcW w:type="dxa" w:w="1337"/>
          </w:tcPr>
          <w:p>
            <w:r/>
            <w:r>
              <w:rPr>
                <w:sz w:val="18"/>
              </w:rPr>
              <w:t xml:space="preserve"> 6.01</w:t>
            </w:r>
          </w:p>
        </w:tc>
        <w:tc>
          <w:tcPr>
            <w:tcW w:type="dxa" w:w="1337"/>
          </w:tcPr>
          <w:p>
            <w:r/>
            <w:r>
              <w:rPr>
                <w:sz w:val="18"/>
              </w:rPr>
              <w:t xml:space="preserve"> 7.13</w:t>
            </w:r>
          </w:p>
        </w:tc>
        <w:tc>
          <w:tcPr>
            <w:tcW w:type="dxa" w:w="1337"/>
          </w:tcPr>
          <w:p>
            <w:r/>
            <w:r>
              <w:rPr>
                <w:sz w:val="18"/>
              </w:rPr>
              <w:t>21.87</w:t>
            </w:r>
          </w:p>
        </w:tc>
        <w:tc>
          <w:tcPr>
            <w:tcW w:type="dxa" w:w="1337"/>
          </w:tcPr>
          <w:p>
            <w:r/>
            <w:r>
              <w:rPr>
                <w:sz w:val="18"/>
              </w:rPr>
              <w:t xml:space="preserve"> 0.89</w:t>
            </w:r>
          </w:p>
        </w:tc>
        <w:tc>
          <w:tcPr>
            <w:tcW w:type="dxa" w:w="1337"/>
          </w:tcPr>
          <w:p>
            <w:r/>
            <w:r>
              <w:rPr>
                <w:sz w:val="18"/>
              </w:rPr>
              <w:t xml:space="preserve"> 0.52</w:t>
            </w:r>
          </w:p>
        </w:tc>
      </w:tr>
      <w:tr>
        <w:tc>
          <w:tcPr>
            <w:tcW w:type="dxa" w:w="1337"/>
          </w:tcPr>
          <w:p>
            <w:r/>
            <w:r>
              <w:rPr>
                <w:sz w:val="18"/>
              </w:rPr>
              <w:t>CLIP-LoRA (val best)</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spacing w:before="240"/>
      </w:pPr>
      <w:r>
        <w:rPr>
          <w:b/>
          <w:color w:val="808080"/>
        </w:rPr>
        <w:t>[FIGURE 7 HERE]</w:t>
      </w:r>
    </w:p>
    <w:p>
      <w:pPr>
        <w:spacing w:before="80" w:after="240"/>
      </w:pPr>
      <w:r>
        <w:rPr>
          <w:i/>
          <w:sz w:val="20"/>
        </w:rPr>
        <w:t>Fig. 7. Multi-seed reproducibility. Top-1 test accuracy (%) across three random seeds (42, 123, 456) on PlantVillage tomato, DeepWeeds, and IP102. Horizontal line: per-dataset mean. Shaded band: ±1 std.</w:t>
      </w:r>
    </w:p>
    <w:p>
      <w:pPr>
        <w:spacing w:before="0" w:after="120" w:line="480" w:lineRule="auto"/>
      </w:pPr>
      <w:r>
        <w:rPr>
          <w:sz w:val="22"/>
        </w:rPr>
        <w:t>On PlantVillage tomato, AgroOnto-VLM achieves 99.55% test accuracy (macro-F1 98.68%,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CLIP zero-shot achieves only 7.13% on this dataset, confirming the necessity of task-specific adaptation.</w:t>
      </w:r>
    </w:p>
    <w:p>
      <w:pPr>
        <w:spacing w:before="0" w:after="120" w:line="480" w:lineRule="auto"/>
      </w:pPr>
      <w:r>
        <w:rPr>
          <w:sz w:val="22"/>
        </w:rPr>
        <w:t>On DeepWeeds, AgroOnto-VLM achieves 97.02% test accuracy (three-seed: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76.60% test accuracy (three-seed: 71.66 ± 0.29%, macro-F1 46.22%). The CLIP-LoRA baseline achieves 75.22% and the −Ontology ablation achieves 75.55%. The gap between accuracy (76.60%)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99.55</w:t>
            </w:r>
          </w:p>
        </w:tc>
        <w:tc>
          <w:tcPr>
            <w:tcW w:type="dxa" w:w="1872"/>
          </w:tcPr>
          <w:p>
            <w:r/>
            <w:r>
              <w:rPr>
                <w:sz w:val="18"/>
              </w:rPr>
              <w:t>97.02</w:t>
            </w:r>
          </w:p>
        </w:tc>
        <w:tc>
          <w:tcPr>
            <w:tcW w:type="dxa" w:w="1872"/>
          </w:tcPr>
          <w:p>
            <w:r/>
            <w:r>
              <w:rPr>
                <w:sz w:val="18"/>
              </w:rPr>
              <w:t>76.60</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(99.55%) is comparable to CNN-Stacking (98.82%) and substantially above the VLM+LLM pipeline (58.10%), which operates on a non-standard split. On IP102, AgroOnto-VLM (76.60%)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97.02% is produced under substantially more constrained conditions.</w:t>
      </w:r>
    </w:p>
    <w:p>
      <w:pPr>
        <w:spacing w:before="240"/>
      </w:pPr>
      <w:r>
        <w:rPr>
          <w:b/>
          <w:color w:val="808080"/>
        </w:rPr>
        <w:t>[FIGURE 6 HERE]</w:t>
      </w:r>
    </w:p>
    <w:p>
      <w:pPr>
        <w:spacing w:before="80" w:after="240"/>
      </w:pPr>
      <w:r>
        <w:rPr>
          <w:i/>
          <w:sz w:val="20"/>
        </w:rPr>
        <w:t>Fig. 6. State-of-the-art comparison. Top-1 accuracy (%) on PlantVillage tomato (PV), DeepWeeds (DW), and IP102 for AgroOnto-VLM (red) versus published baselines. Protocol differences are noted in Table 5.</w:t>
      </w:r>
    </w:p>
    <w:p>
      <w:pPr>
        <w:spacing w:before="240" w:after="80"/>
      </w:pPr>
      <w:r>
        <w:rPr>
          <w:b/>
          <w:sz w:val="22"/>
        </w:rPr>
        <w:t>4.3. Ablation study</w:t>
      </w:r>
    </w:p>
    <w:p>
      <w:pPr>
        <w:spacing w:before="0" w:after="120" w:line="480" w:lineRule="auto"/>
      </w:pPr>
      <w:r>
        <w:rPr>
          <w:sz w:val="22"/>
        </w:rPr>
        <w:t>Fig. 2 shows ablation results across all three datasets as grouped bar charts comparing AgroOnto-VLM, CLIP-LoRA Baseline, −Ontology Ablation, and −LoRA Ablation.</w:t>
      </w:r>
    </w:p>
    <w:p>
      <w:pPr>
        <w:spacing w:before="240"/>
      </w:pPr>
      <w:r>
        <w:rPr>
          <w:b/>
          <w:color w:val="808080"/>
        </w:rPr>
        <w:t>[FIGURE 2 HERE]</w:t>
      </w:r>
    </w:p>
    <w:p>
      <w:pPr>
        <w:spacing w:before="80" w:after="240"/>
      </w:pPr>
      <w:r>
        <w:rPr>
          <w:i/>
          <w:sz w:val="20"/>
        </w:rPr>
        <w:t>Fig. 2.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13.7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3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spacing w:before="240"/>
      </w:pPr>
      <w:r>
        <w:rPr>
          <w:b/>
          <w:color w:val="808080"/>
        </w:rPr>
        <w:t>[FIGURE 3 HERE]</w:t>
      </w:r>
    </w:p>
    <w:p>
      <w:pPr>
        <w:spacing w:before="80" w:after="240"/>
      </w:pPr>
      <w:r>
        <w:rPr>
          <w:i/>
          <w:sz w:val="20"/>
        </w:rPr>
        <w:t>Fig. 3.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4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spacing w:before="240"/>
      </w:pPr>
      <w:r>
        <w:rPr>
          <w:b/>
          <w:color w:val="808080"/>
        </w:rPr>
        <w:t>[FIGURE 4 HERE]</w:t>
      </w:r>
    </w:p>
    <w:p>
      <w:pPr>
        <w:spacing w:before="80" w:after="240"/>
      </w:pPr>
      <w:r>
        <w:rPr>
          <w:i/>
          <w:sz w:val="20"/>
        </w:rPr>
        <w:t>Fig. 4.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5 reports mean misclassification severity (Eq. 8) for AgroOnto-VLM and the CLIP-LoRA baseline, stratified by disease severity group (PlantVillage) and weed threat level (DeepWeeds).</w:t>
      </w:r>
    </w:p>
    <w:p>
      <w:pPr>
        <w:spacing w:before="240"/>
      </w:pPr>
      <w:r>
        <w:rPr>
          <w:b/>
          <w:color w:val="808080"/>
        </w:rPr>
        <w:t>[FIGURE 5 HERE]</w:t>
      </w:r>
    </w:p>
    <w:p>
      <w:pPr>
        <w:spacing w:before="80" w:after="240"/>
      </w:pPr>
      <w:r>
        <w:rPr>
          <w:i/>
          <w:sz w:val="20"/>
        </w:rPr>
        <w:t>Fig. 5. Misclassification severity analysis. (a) PlantVillage tomato: accuracy across four disease severity strata (Healthy, Mild, Moderate, Severe). AgroOnto-VLM (blue) vs. CLIP-LoRA baseline (grey). (b) DeepWeeds: accuracy across weed threat level groups (Non-invasive, Low, Moderate, High threat). Error bars: ±1 std across three seeds.</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2"/>
        </w:rPr>
        <w:t>4.7. Grad-CAM qualitative analysis</w:t>
      </w:r>
    </w:p>
    <w:p>
      <w:pPr>
        <w:spacing w:before="0" w:after="120" w:line="480" w:lineRule="auto"/>
      </w:pPr>
      <w:r>
        <w:rPr>
          <w:sz w:val="22"/>
        </w:rPr>
        <w:t>To qualitatively assess what features AgroOnto-VLM attends to, Grad-CAM attention maps are computed for representative samples from all three datasets. Figs. 8–10 show original images alongside their corresponding Grad-CAM overlays, illustrating the spatial regions most responsible for the model’s predictions.</w:t>
      </w:r>
    </w:p>
    <w:p>
      <w:pPr>
        <w:spacing w:before="240"/>
      </w:pPr>
      <w:r>
        <w:rPr>
          <w:b/>
          <w:color w:val="808080"/>
        </w:rPr>
        <w:t>[FIGURE 8 HERE]</w:t>
      </w:r>
    </w:p>
    <w:p>
      <w:pPr>
        <w:spacing w:before="80" w:after="120"/>
      </w:pPr>
      <w:r>
        <w:rPr>
          <w:i/>
          <w:sz w:val="20"/>
        </w:rPr>
        <w:t>Fig. 8. Grad-CAM attention maps — AgroOnto-VLM on PlantVillage Tomato. Left: original images. Right: Grad-CAM overlay (red = high activation). The model correctly localises lesion regions for Early Blight, Bacterial Spot, and Tomato Yellow Leaf Curl Virus, confirming disease-specific feature discrimination.</w:t>
      </w:r>
    </w:p>
    <w:p>
      <w:pPr>
        <w:spacing w:before="240"/>
      </w:pPr>
      <w:r>
        <w:rPr>
          <w:b/>
          <w:color w:val="808080"/>
        </w:rPr>
        <w:t>[FIGURE 9 HERE]</w:t>
      </w:r>
    </w:p>
    <w:p>
      <w:pPr>
        <w:spacing w:before="80" w:after="120"/>
      </w:pPr>
      <w:r>
        <w:rPr>
          <w:i/>
          <w:sz w:val="20"/>
        </w:rPr>
        <w:t>Fig. 9. Grad-CAM attention maps — AgroOnto-VLM on DeepWeeds. The model focuses on distinctive leaf morphology and plant structure. The Chinee Apple example shows activation concentrated on characteristic leaf clusters despite visual similarity to background vegetation.</w:t>
      </w:r>
    </w:p>
    <w:p>
      <w:pPr>
        <w:spacing w:before="240"/>
      </w:pPr>
      <w:r>
        <w:rPr>
          <w:b/>
          <w:color w:val="808080"/>
        </w:rPr>
        <w:t>[FIGURE 10 HERE]</w:t>
      </w:r>
    </w:p>
    <w:p>
      <w:pPr>
        <w:spacing w:before="80" w:after="240"/>
      </w:pPr>
      <w:r>
        <w:rPr>
          <w:i/>
          <w:sz w:val="20"/>
        </w:rPr>
        <w:t>Fig. 10. Grad-CAM attention maps — AgroOnto-VLM on IP102. Attention is concentrated on insect body features (wing patterns, body shape). Some examples show misclassification between visually similar pest species, consistent with the lower macro-F1 observed on this 102-class benchmark.</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99.55%, 97.02%, and 76.60% test accuracy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