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8"/>
        </w:rPr>
        <w:t>Ontology-Guided Adaptation of Vision–Language Models for Multi-Domain Agricultural Image Classification</w:t>
      </w:r>
    </w:p>
    <w:p>
      <w:pPr>
        <w:spacing w:after="80"/>
        <w:jc w:val="center"/>
      </w:pPr>
      <w:r>
        <w:rPr>
          <w:sz w:val="22"/>
        </w:rPr>
        <w:t>Ghulam Ali Chaudhry</w:t>
        <w:br/>
        <w:t>[Affiliation]</w:t>
        <w:br/>
        <w:t>Corresponding author: inshahassan45@gmail.com</w:t>
      </w:r>
    </w:p>
    <w:p>
      <w:pPr>
        <w:spacing w:before="240" w:after="80"/>
      </w:pPr>
      <w:r>
        <w:rPr>
          <w:b/>
          <w:sz w:val="24"/>
        </w:rPr>
        <w:t>Abstract</w:t>
      </w:r>
    </w:p>
    <w:p>
      <w:pPr>
        <w:spacing w:before="0" w:after="120" w:line="480" w:lineRule="auto"/>
      </w:pPr>
      <w:r>
        <w:rPr>
          <w:sz w:val="22"/>
        </w:rPr>
        <w:t>Automated recognition of crop diseases, weeds, and insect pests is a prerequisite for precision agriculture, yet prevailing deep learning approaches treat the label space as a flat, unordered set and are therefore blind to the semantic structure of agricultural taxonomy. A misclassification between closely related disease classes (e.g., two Alternaria species on the same host) carries far lower agronomic consequence than one between pathogen categories requiring opposite management interventions. Existing methods optimise for top-1 accuracy and do not distinguish between these cases. We propose AgroOnto-VLM, a parameter-efficient framework that fine-tunes a frozen CLIP ViT-B/32 backbone with low-rank adaptation (LoRA, rank r=8) and an ontology-guided composite training objective. A multi-faceted agricultural ontology assigns each class seven structural facets—host crop, plant organ, pathogen type, taxonomic order, family, genus, and symptom description—and derives pairwise class similarities that are embedded into soft training targets and a prototype regulariser. The composite loss thereby penalises semantically severe errors more than mild ones during training. We evaluate the framework on three publicly available benchmarks: PlantVillage tomato (10 classes), DeepWeeds (9 classes), and IP102 (102 insect pest species). AgroOnto-VLM achieves 99.55%, 97.02%, and 76.60% test accuracy on the three datasets respectively, with three-seed standard deviations of ±0.26, ±0.14, and ±0.29 percentage points. Ablation experiments confirm that LoRA accounts for the majority of the accuracy gain over a frozen linear probe, while ontological supervision provides an additional consistent improvement on two of three benchmarks. Misclassification severity analysis shows that AgroOnto-VLM errors fall predominantly between ontologically similar classes, reducing the proportion of high-severity errors relative to a LoRA-only baseline. The results demonstrate that ontological structure can be efficiently embedded into a vision–language fine-tuning pipeline without architectural changes, yielding classifiers whose errors are both fewer and semantically more benign.</w:t>
      </w:r>
    </w:p>
    <w:p>
      <w:r>
        <w:rPr>
          <w:b/>
          <w:sz w:val="22"/>
        </w:rPr>
        <w:t xml:space="preserve">Keywords: </w:t>
      </w:r>
      <w:r>
        <w:rPr>
          <w:sz w:val="22"/>
        </w:rPr>
        <w:t>vision–language model; CLIP; LoRA; agricultural ontology; plant disease recognition; weed detection; insect pest classification; parameter-efficient fine-tuning</w:t>
      </w:r>
    </w:p>
    <w:p>
      <w:pPr>
        <w:spacing w:before="240" w:after="80"/>
      </w:pPr>
      <w:r>
        <w:rPr>
          <w:b/>
          <w:sz w:val="24"/>
        </w:rPr>
        <w:t>1. Introduction</w:t>
      </w:r>
    </w:p>
    <w:p>
      <w:pPr>
        <w:spacing w:before="0" w:after="120" w:line="480" w:lineRule="auto"/>
      </w:pPr>
      <w:r>
        <w:rPr>
          <w:sz w:val="22"/>
        </w:rPr>
        <w:t>Crop losses attributable to diseases, weed competition, and insect pests account for 20–40% of global agricultural production annually (Oerke, 2006). Timely and accurate identification of the causal agent is a prerequisite for targeted management: the wrong recommendation—applying a fungicide for a bacterial disease, or selecting a herbicide that does not affect the weed in question—wastes inputs and accelerates resistance. Automated vision-based recognition has therefore attracted sustained research attention over the past decade, with deep convolutional networks demonstrating strong performance on benchmark datasets covering diseases (Hughes and Salathé, 2015), weeds (Olsen et al., 2019), and insect pests (Wu et al., 2019).</w:t>
      </w:r>
    </w:p>
    <w:p>
      <w:pPr>
        <w:spacing w:before="0" w:after="120" w:line="480" w:lineRule="auto"/>
      </w:pPr>
      <w:r>
        <w:rPr>
          <w:sz w:val="22"/>
        </w:rPr>
        <w:t>The dominant methodology—training a classifier with cross-entropy loss on one-hot labels—treats the target class space as a flat, unordered set. This is architecturally convenient but agronomically inappropriate. Agricultural classes carry rich relational structure: two Alternaria blight stages on tomato share host crop, leaf organ, and pathogen genus, and confusing them carries low management consequence; confusing either with bacterial spot (different pathogen kingdom, different treatment) carries high consequence. One-hot supervision assigns equal penalty to all errors regardless of their semantic proximity, and standard evaluation metrics—top-1 accuracy and macro-F1—treat both misclassifications identically. The quality of the error distribution is invisible to both the training objective and the evaluation metric.</w:t>
      </w:r>
    </w:p>
    <w:p>
      <w:pPr>
        <w:spacing w:before="0" w:after="120" w:line="480" w:lineRule="auto"/>
      </w:pPr>
      <w:r>
        <w:rPr>
          <w:sz w:val="22"/>
        </w:rPr>
        <w:t>The emergence of large vision–language foundation models, in particular CLIP (Radford et al., 2021) and DINOv2 (Oquab et al., 2024), has shifted the dominant approach from end-to-end training to parameter-efficient fine-tuning (PEFT) of pre-trained backbones. Low-rank adaptation (LoRA; Hu et al., 2022) has proven particularly effective: it injects trainable low-rank perturbations into the attention layers of the frozen backbone, achieving accuracy competitive with full fine-tuning at a fraction of the trainable parameter count. Espejo-Garcia et al. (2025) demonstrate that DINOv2 features with LoRA adaptation and knowledge distillation yield 98.08% on DeepWeeds, establishing a strong PEFT baseline for agricultural recognition. Liu et al. (2025) apply CLIP-based cross-modal PEFT to insect pest recognition, achieving 75.50% on IP102. Neither work addresses the semantic structure of the error distribution.</w:t>
      </w:r>
    </w:p>
    <w:p>
      <w:pPr>
        <w:spacing w:before="0" w:after="120" w:line="480" w:lineRule="auto"/>
      </w:pPr>
      <w:r>
        <w:rPr>
          <w:sz w:val="22"/>
        </w:rPr>
        <w:t>Hierarchy-aware objectives have been developed in the general computer vision literature (Bertinetto et al., 2020; Garg et al., 2022), but these methods assume a single-axis WordNet-style hierarchy with a unique root, which is not applicable to agricultural classification tasks where classes may be jointly characterised by host crop, pathogen type, disease symptom, and other orthogonal facets. A weed species has no pathogen facet; an insect pest is not a plant disease. A multi-faceted ontology that covers all three recognition domains within a unified representation has not previously been proposed.</w:t>
      </w:r>
    </w:p>
    <w:p>
      <w:pPr>
        <w:spacing w:before="0" w:after="120" w:line="480" w:lineRule="auto"/>
      </w:pPr>
      <w:r>
        <w:rPr>
          <w:sz w:val="22"/>
        </w:rPr>
        <w:t>We address this gap with AgroOnto-VLM. The framework combines LoRA fine-tuning of CLIP ViT-B/32 with a multi-faceted agricultural ontology that assigns seven structural facets to each class. Pairwise class similarities derived from shared facet membership are embedded into a composite training objective consisting of a soft-target cross-entropy component and a prototype regulariser. The result is a model that is trained not only to classify correctly but to fail gracefully—when it errs, its predictions tend to fall on ontologically proximate classes rather than distant ones.</w:t>
      </w:r>
    </w:p>
    <w:p>
      <w:pPr>
        <w:spacing w:before="0" w:after="120" w:line="480" w:lineRule="auto"/>
      </w:pPr>
      <w:r>
        <w:rPr>
          <w:sz w:val="22"/>
        </w:rPr>
        <w:t>The specific contributions of this work are:</w:t>
      </w:r>
    </w:p>
    <w:p>
      <w:pPr>
        <w:pStyle w:val="ListBullet"/>
        <w:spacing w:before="0" w:after="60"/>
      </w:pPr>
      <w:r>
        <w:rPr>
          <w:sz w:val="22"/>
        </w:rPr>
        <w:t>A multi-faceted agricultural ontology covering seven independent facets per class (host crop, plant organ, pathogen type, taxonomic order, family, genus, symptom), applicable without modification across disease, weed, and pest recognition tasks.</w:t>
      </w:r>
    </w:p>
    <w:p>
      <w:pPr>
        <w:pStyle w:val="ListBullet"/>
        <w:spacing w:before="0" w:after="60"/>
      </w:pPr>
      <w:r>
        <w:rPr>
          <w:sz w:val="22"/>
        </w:rPr>
        <w:t>An ontology-guided training objective that integrates facet-derived soft targets and a prototype regulariser into LoRA fine-tuning of CLIP ViT-B/32, without altering the backbone architecture or inference procedure.</w:t>
      </w:r>
    </w:p>
    <w:p>
      <w:pPr>
        <w:pStyle w:val="ListBullet"/>
        <w:spacing w:before="0" w:after="60"/>
      </w:pPr>
      <w:r>
        <w:rPr>
          <w:sz w:val="22"/>
        </w:rPr>
        <w:t>A controlled cross-benchmark evaluation on PlantVillage tomato, DeepWeeds, and IP102 under a fixed training protocol, with three-seed reproducibility reporting.</w:t>
      </w:r>
    </w:p>
    <w:p>
      <w:pPr>
        <w:pStyle w:val="ListBullet"/>
        <w:spacing w:before="0" w:after="60"/>
      </w:pPr>
      <w:r>
        <w:rPr>
          <w:sz w:val="22"/>
        </w:rPr>
        <w:t>A misclassification severity analysis demonstrating that ontological supervision reduces the proportion of high-severity errors relative to a LoRA-only baseline, across both disease severity strata and weed threat levels.</w:t>
      </w:r>
    </w:p>
    <w:p>
      <w:pPr>
        <w:spacing w:before="0" w:after="120" w:line="480" w:lineRule="auto"/>
      </w:pPr>
      <w:r>
        <w:rPr>
          <w:sz w:val="22"/>
        </w:rPr>
        <w:t>The remainder of this paper is organised as follows. Section 2 reviews related work on deep learning for agricultural recognition, foundation model adaptation, and hierarchy-aware objectives. Section 3 describes the proposed method. Section 4 presents experimental results. Section 5 provides a discussion of findings and limitations. Section 6 concludes.</w:t>
      </w:r>
    </w:p>
    <w:p>
      <w:pPr>
        <w:spacing w:before="240" w:after="80"/>
      </w:pPr>
      <w:r>
        <w:rPr>
          <w:b/>
          <w:sz w:val="24"/>
        </w:rPr>
        <w:t>2. Related works</w:t>
      </w:r>
    </w:p>
    <w:p>
      <w:pPr>
        <w:spacing w:before="240" w:after="80"/>
      </w:pPr>
      <w:r>
        <w:rPr>
          <w:b/>
          <w:sz w:val="22"/>
        </w:rPr>
        <w:t>2.1. Deep learning for agricultural image recognition</w:t>
      </w:r>
    </w:p>
    <w:p>
      <w:pPr>
        <w:spacing w:before="0" w:after="120" w:line="480" w:lineRule="auto"/>
      </w:pPr>
      <w:r>
        <w:rPr>
          <w:sz w:val="22"/>
        </w:rPr>
        <w:t>Automated crop disease recognition using convolutional neural networks was established at scale by Hughes and Salathé (2015), who introduced the PlantVillage dataset of 54,000 leaf images spanning 14 crops and 26 disease classes. Subsequent work extended the paradigm to weed species recognition (Olsen et al., 2019) and insect pests (Wu et al., 2019), producing large annotated benchmarks that enabled training of deeper architectures including ResNet, EfficientNet, and Vision Transformers (Dosovitskiy et al., 2021).</w:t>
      </w:r>
    </w:p>
    <w:p>
      <w:pPr>
        <w:spacing w:before="0" w:after="120" w:line="480" w:lineRule="auto"/>
      </w:pPr>
      <w:r>
        <w:rPr>
          <w:sz w:val="22"/>
        </w:rPr>
        <w:t>Ouamane et al. (2025) systematically optimise ViT configurations for plant disease recognition, demonstrating that architecture depth and attention head configuration interact with dataset scale in non-trivial ways. Shafay et al. (2025) combine a vision–language model with a large language model reasoning stage for disease diagnosis and treatment recommendation, achieving 58.10% on a restricted PlantVillage subset. All of these methods train with one-hot cross-entropy and evaluate with flat top-1 accuracy, leaving the semantic structure of the error distribution unexamined.</w:t>
      </w:r>
    </w:p>
    <w:p>
      <w:pPr>
        <w:spacing w:before="240" w:after="80"/>
      </w:pPr>
      <w:r>
        <w:rPr>
          <w:b/>
          <w:sz w:val="22"/>
        </w:rPr>
        <w:t>2.2. Foundation models and parameter-efficient fine-tuning</w:t>
      </w:r>
    </w:p>
    <w:p>
      <w:pPr>
        <w:spacing w:before="0" w:after="120" w:line="480" w:lineRule="auto"/>
      </w:pPr>
      <w:r>
        <w:rPr>
          <w:sz w:val="22"/>
        </w:rPr>
        <w:t>CLIP (Radford et al., 2021) learns aligned image and text representations from 400 million image–caption pairs and provides strong zero-shot transfer via text-guided similarity. DINOv2 (Oquab et al., 2024) learns robust visual features through self-supervised distillation on 142 million curated images. Both backbones have been applied to agricultural recognition in linear-probe and fine-tuning settings.</w:t>
      </w:r>
    </w:p>
    <w:p>
      <w:pPr>
        <w:spacing w:before="0" w:after="120" w:line="480" w:lineRule="auto"/>
      </w:pPr>
      <w:r>
        <w:rPr>
          <w:sz w:val="22"/>
        </w:rPr>
        <w:t>LoRA (Hu et al., 2022) is the dominant PEFT technique for transformer-based models: it inserts trainable low-rank matrices W_A ∈ ℝ^{d×r} and W_B ∈ ℝ^{r×d} alongside each frozen weight matrix, reducing the number of trainable parameters by a factor of d/r while preserving expressive capacity. Espejo-Garcia et al. (2025) provide the most directly relevant study: DINOv2-B with LoRA (r=16) plus knowledge distillation achieves 98.08% on DeepWeeds, substantially outperforming CNN baselines and establishing that PEFT-adapted foundation models dominate the task. Liu et al. (2025) apply CLIP with cross-modal PEFT adapters to IP102, achieving 75.50% accuracy, the current published state of the art on that benchmark.</w:t>
      </w:r>
    </w:p>
    <w:p>
      <w:pPr>
        <w:spacing w:before="240" w:after="80"/>
      </w:pPr>
      <w:r>
        <w:rPr>
          <w:b/>
          <w:sz w:val="22"/>
        </w:rPr>
        <w:t>2.3. Vision–language models in agriculture</w:t>
      </w:r>
    </w:p>
    <w:p>
      <w:pPr>
        <w:spacing w:before="0" w:after="120" w:line="480" w:lineRule="auto"/>
      </w:pPr>
      <w:r>
        <w:rPr>
          <w:sz w:val="22"/>
        </w:rPr>
        <w:t>CLIP's text encoder enables zero-shot recognition by scoring image features against class name embeddings without task-specific training. In agriculture, zero-shot CLIP performance is poor due to domain shift: we observe 7.13% on PlantVillage and 21.87% on DeepWeeds, confirming that domain adaptation is necessary. Text-guided prompt engineering (prompt tuning, CoOp-style adapters) improves these baselines but does not systematically incorporate the relational structure of the agricultural label space into the training objective.</w:t>
      </w:r>
    </w:p>
    <w:p>
      <w:pPr>
        <w:spacing w:before="240" w:after="80"/>
      </w:pPr>
      <w:r>
        <w:rPr>
          <w:b/>
          <w:sz w:val="22"/>
        </w:rPr>
        <w:t>2.4. Hierarchy-aware and ontology-guided learning</w:t>
      </w:r>
    </w:p>
    <w:p>
      <w:pPr>
        <w:spacing w:before="0" w:after="120" w:line="480" w:lineRule="auto"/>
      </w:pPr>
      <w:r>
        <w:rPr>
          <w:sz w:val="22"/>
        </w:rPr>
        <w:t>A parallel line of work addresses the flat-label limitation in general computer vision. Bertinetto et al. (2020) propose a hierarchical cross-entropy that penalises predictions proportionally to their distance from the ground truth in a WordNet hierarchy. Garg et al. (2022) extend this with an embedding loss that enforces hierarchy-consistent class geometry in the feature space. Wu et al. (2020) introduce soft labels derived from hierarchical distances for label smoothing. All of these methods assume a single-axis tree hierarchy with a shared root and are not directly applicable to agricultural classification, where classes are defined by multiple independent facets spanning distinct biological domains.</w:t>
      </w:r>
    </w:p>
    <w:p>
      <w:pPr>
        <w:spacing w:before="0" w:after="120" w:line="480" w:lineRule="auto"/>
      </w:pPr>
      <w:r>
        <w:rPr>
          <w:sz w:val="22"/>
        </w:rPr>
        <w:t>Knowledge distillation approaches (Hinton et al., 2015) transfer inter-class relational knowledge from a teacher to a student via soft target distributions, which are functionally similar to ontological soft targets but derive from the teacher's output distribution rather than external taxonomic structure. The present work differs in that the soft targets are derived from an expert-curated multi-faceted ontology, ensuring that the relational knowledge encoded in the targets reflects agronomic relevance.</w:t>
      </w:r>
    </w:p>
    <w:p>
      <w:pPr>
        <w:spacing w:before="240" w:after="80"/>
      </w:pPr>
      <w:r>
        <w:rPr>
          <w:b/>
          <w:sz w:val="24"/>
        </w:rPr>
        <w:t>3. Materials and methods</w:t>
      </w:r>
    </w:p>
    <w:p>
      <w:pPr>
        <w:spacing w:before="240" w:after="80"/>
      </w:pPr>
      <w:r>
        <w:rPr>
          <w:b/>
          <w:sz w:val="22"/>
        </w:rPr>
        <w:t>3.1. System overview</w:t>
      </w:r>
    </w:p>
    <w:p>
      <w:pPr>
        <w:spacing w:before="0" w:after="120" w:line="480" w:lineRule="auto"/>
      </w:pPr>
      <w:r>
        <w:rPr>
          <w:sz w:val="22"/>
        </w:rPr>
        <w:t>AgroOnto-VLM adapts a frozen CLIP ViT-B/32 backbone to an agricultural classification task using two components: (1) low-rank adapters (LoRA) inserted into the attention layers of the final four transformer blocks, and (2) an ontology-guided composite training objective that embeds pairwise class similarities derived from a multi-faceted agricultural ontology into the supervision signal. At inference, only the LoRA-adapted CLIP image encoder is used; the ontology and the prototype regulariser are training-only components.</w:t>
      </w:r>
    </w:p>
    <w:p>
      <w:pPr>
        <w:spacing w:before="240"/>
      </w:pPr>
      <w:r>
        <w:rPr>
          <w:b/>
          <w:color w:val="808080"/>
        </w:rPr>
        <w:t>[FIGURE 1 HERE]</w:t>
      </w:r>
    </w:p>
    <w:p>
      <w:pPr>
        <w:spacing w:before="80" w:after="240"/>
      </w:pPr>
      <w:r>
        <w:rPr>
          <w:i/>
          <w:sz w:val="20"/>
        </w:rPr>
        <w:t>Fig. 1. System architecture of AgroOnto-VLM. The frozen CLIP ViT-B/32 image encoder is adapted via LoRA modules (rank r = 8) inserted into the query and value projections of the final four transformer blocks. During training, ontology-derived soft targets s_y and a prototype regulariser L_proto are computed from the multi-faceted agricultural ontology and combined with the hard label e_y and uniform smoothing term u to form the composite target q. At inference, the model is a standard image classifier.</w:t>
      </w:r>
    </w:p>
    <w:p>
      <w:pPr>
        <w:spacing w:before="240" w:after="80"/>
      </w:pPr>
      <w:r>
        <w:rPr>
          <w:b/>
          <w:sz w:val="22"/>
        </w:rPr>
        <w:t>3.2. Multi-faceted agricultural ontology</w:t>
      </w:r>
    </w:p>
    <w:p>
      <w:pPr>
        <w:spacing w:before="0" w:after="120" w:line="480" w:lineRule="auto"/>
      </w:pPr>
      <w:r>
        <w:rPr>
          <w:sz w:val="22"/>
        </w:rPr>
        <w:t>Let C = {c₁, …, c_K} denote the class set of a given dataset. Each class is described by a facet vector:</w:t>
      </w:r>
    </w:p>
    <w:p>
      <w:pPr>
        <w:spacing w:before="80" w:after="80"/>
      </w:pPr>
      <w:r>
        <w:rPr>
          <w:sz w:val="22"/>
        </w:rPr>
        <w:t xml:space="preserve">    f(cᵢ) = [f₁(cᵢ), f₂(cᵢ), …, f₇(cᵢ)]</w:t>
      </w:r>
      <w:r>
        <w:tab/>
        <w:tab/>
        <w:tab/>
        <w:tab/>
        <w:tab/>
        <w:t>(1)</w:t>
      </w:r>
    </w:p>
    <w:p>
      <w:pPr>
        <w:spacing w:before="0" w:after="120" w:line="480" w:lineRule="auto"/>
      </w:pPr>
      <w:r>
        <w:rPr>
          <w:sz w:val="22"/>
        </w:rPr>
        <w:t>where the seven facets are: (1) host crop, (2) plant organ affected, (3) pathogen type (fungal, bacterial, viral, abiotic, or not applicable), (4) taxonomic order, (5) family, (6) genus, and (7) symptom description keyword. A facet may take the value 'none' for classes where it is not applicable—weed species have no pathogen facet; the DeepWeeds background class has no taxonomic facets. Facet values are assigned once per dataset and held constant across all experiments.</w:t>
      </w:r>
    </w:p>
    <w:p>
      <w:pPr>
        <w:spacing w:before="0" w:after="120" w:line="480" w:lineRule="auto"/>
      </w:pPr>
      <w:r>
        <w:rPr>
          <w:sz w:val="22"/>
        </w:rPr>
        <w:t>For PlantVillage tomato (K = 10), the host crop facet is constant (tomato), plant organ is constant (leaf), pathogen type takes four values, and the remaining facets distinguish the nine disease categories plus healthy. For DeepWeeds (K = 9), the pathogen facet is undefined for all classes; geographic origin, growth form, and weed threat level serve as the taxonomically relevant facets. For IP102 (K = 102), the full seven-facet structure is used, with taxonomic facets populated from the USDA PLANTS database and the Integrated Taxonomic Information System.</w:t>
      </w:r>
    </w:p>
    <w:p>
      <w:pPr>
        <w:spacing w:before="0" w:after="120" w:line="480" w:lineRule="auto"/>
      </w:pPr>
      <w:r>
        <w:rPr>
          <w:sz w:val="22"/>
        </w:rPr>
        <w:t>Pairwise class similarity is computed from shared facet membership:</w:t>
      </w:r>
    </w:p>
    <w:p>
      <w:pPr>
        <w:spacing w:before="80" w:after="80"/>
      </w:pPr>
      <w:r>
        <w:rPr>
          <w:sz w:val="22"/>
        </w:rPr>
        <w:t xml:space="preserve">    sim(cᵢ, cⱼ) = Σₘ wₘ · 1[fₘ(cᵢ) = fₘ(cⱼ)]</w:t>
      </w:r>
      <w:r>
        <w:tab/>
        <w:tab/>
        <w:tab/>
        <w:tab/>
        <w:tab/>
        <w:t>(2)</w:t>
      </w:r>
    </w:p>
    <w:p>
      <w:pPr>
        <w:spacing w:before="0" w:after="120" w:line="480" w:lineRule="auto"/>
      </w:pPr>
      <w:r>
        <w:rPr>
          <w:sz w:val="22"/>
        </w:rPr>
        <w:t>where wₘ = 1 for all facets m and the indicator equals 1 when both classes share the same non-'none' value on facet m. The maximum possible similarity is NORM_FACTOR = 1.60, computed as the 95th percentile of pairwise similarities across all datasets. The raw similarity is normalised to [0, 1] by dividing by NORM_FACTOR.</w:t>
      </w:r>
    </w:p>
    <w:p>
      <w:pPr>
        <w:spacing w:before="240" w:after="80"/>
      </w:pPr>
      <w:r>
        <w:rPr>
          <w:b/>
          <w:sz w:val="22"/>
        </w:rPr>
        <w:t>3.3. Ontology-derived soft targets</w:t>
      </w:r>
    </w:p>
    <w:p>
      <w:pPr>
        <w:spacing w:before="0" w:after="120" w:line="480" w:lineRule="auto"/>
      </w:pPr>
      <w:r>
        <w:rPr>
          <w:sz w:val="22"/>
        </w:rPr>
        <w:t>The normalised similarity row for class cᵢ is converted to a soft target distribution by applying a temperature softmax over off-diagonal entries:</w:t>
      </w:r>
    </w:p>
    <w:p>
      <w:pPr>
        <w:spacing w:before="80" w:after="80"/>
      </w:pPr>
      <w:r>
        <w:rPr>
          <w:sz w:val="22"/>
        </w:rPr>
        <w:t xml:space="preserve">    sᵢ = normalise( softmax( sim(cᵢ, ·) / τ ) ⊙ (1 − eᵢ) )</w:t>
      </w:r>
      <w:r>
        <w:tab/>
        <w:tab/>
        <w:tab/>
        <w:tab/>
        <w:tab/>
        <w:t>(3)</w:t>
      </w:r>
    </w:p>
    <w:p>
      <w:pPr>
        <w:spacing w:before="0" w:after="120" w:line="480" w:lineRule="auto"/>
      </w:pPr>
      <w:r>
        <w:rPr>
          <w:sz w:val="22"/>
        </w:rPr>
        <w:t>where eᵢ is the one-hot vector for class i, ⊙ denotes elementwise multiplication, and τ = 0.5 is a temperature parameter. The mask (1 − eᵢ) ensures that the ground-truth class receives zero soft-target probability, preventing self-reinforcement. The result is row-stochastic and concentrates probability mass on classes that share many facets with the target class.</w:t>
      </w:r>
    </w:p>
    <w:p>
      <w:pPr>
        <w:spacing w:before="240" w:after="80"/>
      </w:pPr>
      <w:r>
        <w:rPr>
          <w:b/>
          <w:sz w:val="22"/>
        </w:rPr>
        <w:t>3.4. Backbone and LoRA adaptation</w:t>
      </w:r>
    </w:p>
    <w:p>
      <w:pPr>
        <w:spacing w:before="0" w:after="120" w:line="480" w:lineRule="auto"/>
      </w:pPr>
      <w:r>
        <w:rPr>
          <w:sz w:val="22"/>
        </w:rPr>
        <w:t>The backbone is OpenCLIP ViT-B/32 initialised with the original OpenAI weights and QuickGELU activations. LoRA adapters are inserted into the query (W_q) and value (W_v) projection matrices of the final four transformer blocks. The LoRA rank is r = 8 and the scaling factor is α = 16, giving an effective learning rate multiplier of α/r = 2. The adapter introduces 2 × 4 × 2 × d × r = 196,608 trainable parameters (d = 768, ViT-B/32), compared to 86.2 M total backbone parameters. The text encoder is frozen throughout training; class name prompts are encoded once and cached.</w:t>
      </w:r>
    </w:p>
    <w:p>
      <w:pPr>
        <w:spacing w:before="240" w:after="80"/>
      </w:pPr>
      <w:r>
        <w:rPr>
          <w:b/>
          <w:sz w:val="22"/>
        </w:rPr>
        <w:t>3.5. Composite training objective</w:t>
      </w:r>
    </w:p>
    <w:p>
      <w:pPr>
        <w:spacing w:before="0" w:after="120" w:line="480" w:lineRule="auto"/>
      </w:pPr>
      <w:r>
        <w:rPr>
          <w:sz w:val="22"/>
        </w:rPr>
        <w:t>The composite target distribution for a training sample with ground-truth class y is:</w:t>
      </w:r>
    </w:p>
    <w:p>
      <w:pPr>
        <w:spacing w:before="80" w:after="80"/>
      </w:pPr>
      <w:r>
        <w:rPr>
          <w:sz w:val="22"/>
        </w:rPr>
        <w:t xml:space="preserve">    q = λ_hard · e_y + λ_unif · u + λ_onto · s_y</w:t>
      </w:r>
      <w:r>
        <w:tab/>
        <w:tab/>
        <w:tab/>
        <w:tab/>
        <w:tab/>
        <w:t>(4)</w:t>
      </w:r>
    </w:p>
    <w:p>
      <w:pPr>
        <w:spacing w:before="0" w:after="120" w:line="480" w:lineRule="auto"/>
      </w:pPr>
      <w:r>
        <w:rPr>
          <w:sz w:val="22"/>
        </w:rPr>
        <w:t>where u is the uniform distribution over K classes, s_y is the ontology-derived soft target from Eq. (3), and λ_hard = 0.85, λ_unif = 0.05, λ_onto = 0.10 are fixed hyperparameters. The cross-entropy loss against the composite target is:</w:t>
      </w:r>
    </w:p>
    <w:p>
      <w:pPr>
        <w:spacing w:before="80" w:after="80"/>
      </w:pPr>
      <w:r>
        <w:rPr>
          <w:sz w:val="22"/>
        </w:rPr>
        <w:t xml:space="preserve">    L_cls = −Σₖ qₖ log pₖ</w:t>
      </w:r>
      <w:r>
        <w:tab/>
        <w:tab/>
        <w:tab/>
        <w:tab/>
        <w:tab/>
        <w:t>(5)</w:t>
      </w:r>
    </w:p>
    <w:p>
      <w:pPr>
        <w:spacing w:before="0" w:after="120" w:line="480" w:lineRule="auto"/>
      </w:pPr>
      <w:r>
        <w:rPr>
          <w:sz w:val="22"/>
        </w:rPr>
        <w:t>A prototype regulariser encourages learned class representations to respect ontological structure. Let z_i denote the L2-normalised mean image embedding of class i over the training batch. The regulariser minimises the discrepancy between embedding cosine similarities and normalised ontological similarities:</w:t>
      </w:r>
    </w:p>
    <w:p>
      <w:pPr>
        <w:spacing w:before="80" w:after="80"/>
      </w:pPr>
      <w:r>
        <w:rPr>
          <w:sz w:val="22"/>
        </w:rPr>
        <w:t xml:space="preserve">    L_proto = Σᵢ,ⱼ ( ⟨zᵢ, zⱼ⟩ − sim(cᵢ, cⱼ) )²</w:t>
      </w:r>
      <w:r>
        <w:tab/>
        <w:tab/>
        <w:tab/>
        <w:tab/>
        <w:tab/>
        <w:t>(6)</w:t>
      </w:r>
    </w:p>
    <w:p>
      <w:pPr>
        <w:spacing w:before="0" w:after="120" w:line="480" w:lineRule="auto"/>
      </w:pPr>
      <w:r>
        <w:rPr>
          <w:sz w:val="22"/>
        </w:rPr>
        <w:t>The total training loss is:</w:t>
      </w:r>
    </w:p>
    <w:p>
      <w:pPr>
        <w:spacing w:before="80" w:after="80"/>
      </w:pPr>
      <w:r>
        <w:rPr>
          <w:sz w:val="22"/>
        </w:rPr>
        <w:t xml:space="preserve">    L = L_cls + λ_proto · L_proto</w:t>
      </w:r>
      <w:r>
        <w:tab/>
        <w:tab/>
        <w:tab/>
        <w:tab/>
        <w:tab/>
        <w:t>(7)</w:t>
      </w:r>
    </w:p>
    <w:p>
      <w:pPr>
        <w:spacing w:before="0" w:after="120" w:line="480" w:lineRule="auto"/>
      </w:pPr>
      <w:r>
        <w:rPr>
          <w:sz w:val="22"/>
        </w:rPr>
        <w:t>with λ_proto = 0.05 held constant across all datasets. Setting λ_onto = 0 and λ_proto = 0 recovers a label-smoothed cross-entropy with ε = λ_unif = 0.05, which is the −Ontology ablation baseline.</w:t>
      </w:r>
    </w:p>
    <w:p>
      <w:pPr>
        <w:spacing w:before="240" w:after="80"/>
      </w:pPr>
      <w:r>
        <w:rPr>
          <w:b/>
          <w:sz w:val="22"/>
        </w:rPr>
        <w:t>3.6. Prompt construction</w:t>
      </w:r>
    </w:p>
    <w:p>
      <w:pPr>
        <w:spacing w:before="0" w:after="120" w:line="480" w:lineRule="auto"/>
      </w:pPr>
      <w:r>
        <w:rPr>
          <w:sz w:val="22"/>
        </w:rPr>
        <w:t>Class names are converted to natural-language prompts conditioned on the facet type of the dataset. Disease classes receive the template 'a photo of [class_name] disease on a tomato leaf'. Weed classes receive 'a photo of [class_name], a weed species'. Insect pest classes receive 'a photo of [class_name], an insect pest'. Healthy/background classes use 'a photo of a healthy plant' or 'a photo of a non-weed background'. Prompts are encoded by the frozen CLIP text encoder and cached before training begins.</w:t>
      </w:r>
    </w:p>
    <w:p>
      <w:pPr>
        <w:spacing w:before="240" w:after="80"/>
      </w:pPr>
      <w:r>
        <w:rPr>
          <w:b/>
          <w:sz w:val="22"/>
        </w:rPr>
        <w:t>3.7. Datasets</w:t>
      </w:r>
    </w:p>
    <w:p>
      <w:pPr>
        <w:spacing w:before="0" w:after="120" w:line="480" w:lineRule="auto"/>
      </w:pPr>
      <w:r>
        <w:rPr>
          <w:sz w:val="22"/>
        </w:rPr>
        <w:t>Three publicly available benchmarks are used. Table 1 summarises dataset statistics.</w:t>
      </w:r>
    </w:p>
    <w:p>
      <w:pPr>
        <w:spacing w:before="240" w:after="40"/>
      </w:pPr>
      <w:r>
        <w:rPr>
          <w:b/>
          <w:sz w:val="20"/>
        </w:rPr>
        <w:t>Table 1</w:t>
        <w:br/>
      </w:r>
      <w:r>
        <w:rPr>
          <w:i/>
          <w:sz w:val="20"/>
        </w:rPr>
        <w:t>Dataset statistics. Images: total image count. Train/Val/Test: partition sizes. Classes: number of fine-grained categories.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tcPr>
          <w:p>
            <w:r/>
            <w:r>
              <w:rPr>
                <w:b/>
                <w:color w:val="FFFFFF"/>
                <w:sz w:val="18"/>
              </w:rPr>
              <w:t>Dataset</w:t>
            </w:r>
          </w:p>
        </w:tc>
        <w:tc>
          <w:tcPr>
            <w:tcW w:type="dxa" w:w="1872"/>
            <w:shd w:val="clear" w:color="auto" w:fill="1F3864"/>
          </w:tcPr>
          <w:p>
            <w:r/>
            <w:r>
              <w:rPr>
                <w:b/>
                <w:color w:val="FFFFFF"/>
                <w:sz w:val="18"/>
              </w:rPr>
              <w:t>Images</w:t>
            </w:r>
          </w:p>
        </w:tc>
        <w:tc>
          <w:tcPr>
            <w:tcW w:type="dxa" w:w="1872"/>
            <w:shd w:val="clear" w:color="auto" w:fill="1F3864"/>
          </w:tcPr>
          <w:p>
            <w:r/>
            <w:r>
              <w:rPr>
                <w:b/>
                <w:color w:val="FFFFFF"/>
                <w:sz w:val="18"/>
              </w:rPr>
              <w:t>Train</w:t>
            </w:r>
          </w:p>
        </w:tc>
        <w:tc>
          <w:tcPr>
            <w:tcW w:type="dxa" w:w="1872"/>
            <w:shd w:val="clear" w:color="auto" w:fill="1F3864"/>
          </w:tcPr>
          <w:p>
            <w:r/>
            <w:r>
              <w:rPr>
                <w:b/>
                <w:color w:val="FFFFFF"/>
                <w:sz w:val="18"/>
              </w:rPr>
              <w:t>Val</w:t>
            </w:r>
          </w:p>
        </w:tc>
        <w:tc>
          <w:tcPr>
            <w:tcW w:type="dxa" w:w="1872"/>
            <w:shd w:val="clear" w:color="auto" w:fill="1F3864"/>
          </w:tcPr>
          <w:p>
            <w:r/>
            <w:r>
              <w:rPr>
                <w:b/>
                <w:color w:val="FFFFFF"/>
                <w:sz w:val="18"/>
              </w:rPr>
              <w:t>Test</w:t>
            </w:r>
          </w:p>
        </w:tc>
      </w:tr>
      <w:tr>
        <w:tc>
          <w:tcPr>
            <w:tcW w:type="dxa" w:w="1872"/>
          </w:tcPr>
          <w:p>
            <w:r/>
            <w:r>
              <w:rPr>
                <w:sz w:val="18"/>
              </w:rPr>
              <w:t>PlantVillage Tomato</w:t>
            </w:r>
          </w:p>
        </w:tc>
        <w:tc>
          <w:tcPr>
            <w:tcW w:type="dxa" w:w="1872"/>
          </w:tcPr>
          <w:p>
            <w:r/>
            <w:r>
              <w:rPr>
                <w:sz w:val="18"/>
              </w:rPr>
              <w:t>18,160</w:t>
            </w:r>
          </w:p>
        </w:tc>
        <w:tc>
          <w:tcPr>
            <w:tcW w:type="dxa" w:w="1872"/>
          </w:tcPr>
          <w:p>
            <w:r/>
            <w:r>
              <w:rPr>
                <w:sz w:val="18"/>
              </w:rPr>
              <w:t>14,528</w:t>
            </w:r>
          </w:p>
        </w:tc>
        <w:tc>
          <w:tcPr>
            <w:tcW w:type="dxa" w:w="1872"/>
          </w:tcPr>
          <w:p>
            <w:r/>
            <w:r>
              <w:rPr>
                <w:sz w:val="18"/>
              </w:rPr>
              <w:t>1,816</w:t>
            </w:r>
          </w:p>
        </w:tc>
        <w:tc>
          <w:tcPr>
            <w:tcW w:type="dxa" w:w="1872"/>
          </w:tcPr>
          <w:p>
            <w:r/>
            <w:r>
              <w:rPr>
                <w:sz w:val="18"/>
              </w:rPr>
              <w:t>1,816</w:t>
            </w:r>
          </w:p>
        </w:tc>
      </w:tr>
      <w:tr>
        <w:tc>
          <w:tcPr>
            <w:tcW w:type="dxa" w:w="1872"/>
          </w:tcPr>
          <w:p>
            <w:r/>
            <w:r>
              <w:rPr>
                <w:sz w:val="18"/>
              </w:rPr>
              <w:t>DeepWeeds</w:t>
            </w:r>
          </w:p>
        </w:tc>
        <w:tc>
          <w:tcPr>
            <w:tcW w:type="dxa" w:w="1872"/>
          </w:tcPr>
          <w:p>
            <w:r/>
            <w:r>
              <w:rPr>
                <w:sz w:val="18"/>
              </w:rPr>
              <w:t>17,509</w:t>
            </w:r>
          </w:p>
        </w:tc>
        <w:tc>
          <w:tcPr>
            <w:tcW w:type="dxa" w:w="1872"/>
          </w:tcPr>
          <w:p>
            <w:r/>
            <w:r>
              <w:rPr>
                <w:sz w:val="18"/>
              </w:rPr>
              <w:t>12,257</w:t>
            </w:r>
          </w:p>
        </w:tc>
        <w:tc>
          <w:tcPr>
            <w:tcW w:type="dxa" w:w="1872"/>
          </w:tcPr>
          <w:p>
            <w:r/>
            <w:r>
              <w:rPr>
                <w:sz w:val="18"/>
              </w:rPr>
              <w:t>2,626</w:t>
            </w:r>
          </w:p>
        </w:tc>
        <w:tc>
          <w:tcPr>
            <w:tcW w:type="dxa" w:w="1872"/>
          </w:tcPr>
          <w:p>
            <w:r/>
            <w:r>
              <w:rPr>
                <w:sz w:val="18"/>
              </w:rPr>
              <w:t>2,626</w:t>
            </w:r>
          </w:p>
        </w:tc>
      </w:tr>
      <w:tr>
        <w:tc>
          <w:tcPr>
            <w:tcW w:type="dxa" w:w="1872"/>
          </w:tcPr>
          <w:p>
            <w:r/>
            <w:r>
              <w:rPr>
                <w:sz w:val="18"/>
              </w:rPr>
              <w:t>IP102</w:t>
            </w:r>
          </w:p>
        </w:tc>
        <w:tc>
          <w:tcPr>
            <w:tcW w:type="dxa" w:w="1872"/>
          </w:tcPr>
          <w:p>
            <w:r/>
            <w:r>
              <w:rPr>
                <w:sz w:val="18"/>
              </w:rPr>
              <w:t>75,222</w:t>
            </w:r>
          </w:p>
        </w:tc>
        <w:tc>
          <w:tcPr>
            <w:tcW w:type="dxa" w:w="1872"/>
          </w:tcPr>
          <w:p>
            <w:r/>
            <w:r>
              <w:rPr>
                <w:sz w:val="18"/>
              </w:rPr>
              <w:t>45,095</w:t>
            </w:r>
          </w:p>
        </w:tc>
        <w:tc>
          <w:tcPr>
            <w:tcW w:type="dxa" w:w="1872"/>
          </w:tcPr>
          <w:p>
            <w:r/>
            <w:r>
              <w:rPr>
                <w:sz w:val="18"/>
              </w:rPr>
              <w:t>11,268</w:t>
            </w:r>
          </w:p>
        </w:tc>
        <w:tc>
          <w:tcPr>
            <w:tcW w:type="dxa" w:w="1872"/>
          </w:tcPr>
          <w:p>
            <w:r/>
            <w:r>
              <w:rPr>
                <w:sz w:val="18"/>
              </w:rPr>
              <w:t>18,859</w:t>
            </w:r>
          </w:p>
        </w:tc>
      </w:tr>
    </w:tbl>
    <w:p/>
    <w:p>
      <w:pPr>
        <w:spacing w:before="0" w:after="120" w:line="480" w:lineRule="auto"/>
      </w:pPr>
      <w:r>
        <w:rPr>
          <w:sz w:val="22"/>
        </w:rPr>
        <w:t>PlantVillage (Hughes and Salathé, 2015) is used in its colour version restricted to the tomato subset (10 classes: 9 disease categories plus healthy). The high class-level accuracy achievable on this dataset makes it a suitable benchmark for confirming that ontological supervision does not degrade clean performance.</w:t>
      </w:r>
    </w:p>
    <w:p>
      <w:pPr>
        <w:spacing w:before="0" w:after="120" w:line="480" w:lineRule="auto"/>
      </w:pPr>
      <w:r>
        <w:rPr>
          <w:sz w:val="22"/>
        </w:rPr>
        <w:t>DeepWeeds (Olsen et al., 2019) covers nine weed species endemic to northern Australia plus a non-weed background class, with 17,509 images collected in field conditions under variable illumination and occlusion. The dataset exhibits significant intra-class variation and moderate class imbalance.</w:t>
      </w:r>
    </w:p>
    <w:p>
      <w:pPr>
        <w:spacing w:before="0" w:after="120" w:line="480" w:lineRule="auto"/>
      </w:pPr>
      <w:r>
        <w:rPr>
          <w:sz w:val="22"/>
        </w:rPr>
        <w:t>IP102 (Wu et al., 2019) contains 75,222 images of 102 insect pest species across 14 crop hosts with pronounced long-tail class distribution: the largest class has 2,127 images and the smallest has 35. The high class count and fine-grained inter-class variation make IP102 the most challenging of the three benchmarks.</w:t>
      </w:r>
    </w:p>
    <w:p>
      <w:pPr>
        <w:spacing w:before="0" w:after="120" w:line="480" w:lineRule="auto"/>
      </w:pPr>
      <w:r>
        <w:rPr>
          <w:sz w:val="22"/>
        </w:rPr>
        <w:t>All splits are generated with a fixed random seed and verified to be disjoint. The same splits are used for all methods, ensuring that reported comparisons reflect genuine method differences rather than split variation.</w:t>
      </w:r>
    </w:p>
    <w:p>
      <w:pPr>
        <w:spacing w:before="240" w:after="80"/>
      </w:pPr>
      <w:r>
        <w:rPr>
          <w:b/>
          <w:sz w:val="22"/>
        </w:rPr>
        <w:t>3.8. Compared methods</w:t>
      </w:r>
    </w:p>
    <w:p>
      <w:pPr>
        <w:spacing w:before="0" w:after="120" w:line="480" w:lineRule="auto"/>
      </w:pPr>
      <w:r>
        <w:rPr>
          <w:sz w:val="22"/>
        </w:rPr>
        <w:t>Four methods are evaluated on each dataset under an identical training protocol. Table 2 lists the methods and their configurations.</w:t>
      </w:r>
    </w:p>
    <w:p>
      <w:pPr>
        <w:spacing w:before="240" w:after="40"/>
      </w:pPr>
      <w:r>
        <w:rPr>
          <w:b/>
          <w:sz w:val="20"/>
        </w:rPr>
        <w:t>Table 2</w:t>
        <w:br/>
      </w:r>
      <w:r>
        <w:rPr>
          <w:i/>
          <w:sz w:val="20"/>
        </w:rPr>
        <w:t>Methods evaluated. All trained methods share the same epoch budget, batch size, optimiser, and backbone.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18"/>
              </w:rPr>
              <w:t>Method</w:t>
            </w:r>
          </w:p>
        </w:tc>
        <w:tc>
          <w:tcPr>
            <w:tcW w:type="dxa" w:w="3120"/>
            <w:shd w:val="clear" w:color="auto" w:fill="1F3864"/>
          </w:tcPr>
          <w:p>
            <w:r/>
            <w:r>
              <w:rPr>
                <w:b/>
                <w:color w:val="FFFFFF"/>
                <w:sz w:val="18"/>
              </w:rPr>
              <w:t>Configuration</w:t>
            </w:r>
          </w:p>
        </w:tc>
        <w:tc>
          <w:tcPr>
            <w:tcW w:type="dxa" w:w="3120"/>
            <w:shd w:val="clear" w:color="auto" w:fill="1F3864"/>
          </w:tcPr>
          <w:p>
            <w:r/>
            <w:r>
              <w:rPr>
                <w:b/>
                <w:color w:val="FFFFFF"/>
                <w:sz w:val="18"/>
              </w:rPr>
              <w:t>Purpose</w:t>
            </w:r>
          </w:p>
        </w:tc>
      </w:tr>
      <w:tr>
        <w:tc>
          <w:tcPr>
            <w:tcW w:type="dxa" w:w="3120"/>
          </w:tcPr>
          <w:p>
            <w:r/>
            <w:r>
              <w:rPr>
                <w:sz w:val="18"/>
              </w:rPr>
              <w:t>AgroOnto-VLM (Proposed)</w:t>
            </w:r>
          </w:p>
        </w:tc>
        <w:tc>
          <w:tcPr>
            <w:tcW w:type="dxa" w:w="3120"/>
          </w:tcPr>
          <w:p>
            <w:r/>
            <w:r>
              <w:rPr>
                <w:sz w:val="18"/>
              </w:rPr>
              <w:t>CLIP ViT-B/32 + LoRA (r=8) + ontology loss (Eq. 4–7)</w:t>
            </w:r>
          </w:p>
        </w:tc>
        <w:tc>
          <w:tcPr>
            <w:tcW w:type="dxa" w:w="3120"/>
          </w:tcPr>
          <w:p>
            <w:r/>
            <w:r>
              <w:rPr>
                <w:sz w:val="18"/>
              </w:rPr>
              <w:t>Full proposed framework</w:t>
            </w:r>
          </w:p>
        </w:tc>
      </w:tr>
      <w:tr>
        <w:tc>
          <w:tcPr>
            <w:tcW w:type="dxa" w:w="3120"/>
          </w:tcPr>
          <w:p>
            <w:r/>
            <w:r>
              <w:rPr>
                <w:sz w:val="18"/>
              </w:rPr>
              <w:t>CLIP-LoRA Baseline</w:t>
            </w:r>
          </w:p>
        </w:tc>
        <w:tc>
          <w:tcPr>
            <w:tcW w:type="dxa" w:w="3120"/>
          </w:tcPr>
          <w:p>
            <w:r/>
            <w:r>
              <w:rPr>
                <w:sz w:val="18"/>
              </w:rPr>
              <w:t>CLIP ViT-B/32 + LoRA (r=8) + one-hot cross-entropy</w:t>
            </w:r>
          </w:p>
        </w:tc>
        <w:tc>
          <w:tcPr>
            <w:tcW w:type="dxa" w:w="3120"/>
          </w:tcPr>
          <w:p>
            <w:r/>
            <w:r>
              <w:rPr>
                <w:sz w:val="18"/>
              </w:rPr>
              <w:t>Ablates ontological supervision</w:t>
            </w:r>
          </w:p>
        </w:tc>
      </w:tr>
      <w:tr>
        <w:tc>
          <w:tcPr>
            <w:tcW w:type="dxa" w:w="3120"/>
          </w:tcPr>
          <w:p>
            <w:r/>
            <w:r>
              <w:rPr>
                <w:sz w:val="18"/>
              </w:rPr>
              <w:t>−Ontology Ablation</w:t>
            </w:r>
          </w:p>
        </w:tc>
        <w:tc>
          <w:tcPr>
            <w:tcW w:type="dxa" w:w="3120"/>
          </w:tcPr>
          <w:p>
            <w:r/>
            <w:r>
              <w:rPr>
                <w:sz w:val="18"/>
              </w:rPr>
              <w:t>CLIP ViT-B/32 + LoRA (r=8) + label-smoothed CE (ε=0.05)</w:t>
            </w:r>
          </w:p>
        </w:tc>
        <w:tc>
          <w:tcPr>
            <w:tcW w:type="dxa" w:w="3120"/>
          </w:tcPr>
          <w:p>
            <w:r/>
            <w:r>
              <w:rPr>
                <w:sz w:val="18"/>
              </w:rPr>
              <w:t>Ablates ontology, retains smoothing</w:t>
            </w:r>
          </w:p>
        </w:tc>
      </w:tr>
      <w:tr>
        <w:tc>
          <w:tcPr>
            <w:tcW w:type="dxa" w:w="3120"/>
          </w:tcPr>
          <w:p>
            <w:r/>
            <w:r>
              <w:rPr>
                <w:sz w:val="18"/>
              </w:rPr>
              <w:t>−LoRA Ablation</w:t>
            </w:r>
          </w:p>
        </w:tc>
        <w:tc>
          <w:tcPr>
            <w:tcW w:type="dxa" w:w="3120"/>
          </w:tcPr>
          <w:p>
            <w:r/>
            <w:r>
              <w:rPr>
                <w:sz w:val="18"/>
              </w:rPr>
              <w:t>CLIP ViT-B/32 + linear probe (no LoRA)</w:t>
            </w:r>
          </w:p>
        </w:tc>
        <w:tc>
          <w:tcPr>
            <w:tcW w:type="dxa" w:w="3120"/>
          </w:tcPr>
          <w:p>
            <w:r/>
            <w:r>
              <w:rPr>
                <w:sz w:val="18"/>
              </w:rPr>
              <w:t>Ablates parameter-efficient adaptation</w:t>
            </w:r>
          </w:p>
        </w:tc>
      </w:tr>
      <w:tr>
        <w:tc>
          <w:tcPr>
            <w:tcW w:type="dxa" w:w="3120"/>
          </w:tcPr>
          <w:p>
            <w:r/>
            <w:r>
              <w:rPr>
                <w:sz w:val="18"/>
              </w:rPr>
              <w:t>ResNet-50 Linear Probe</w:t>
            </w:r>
          </w:p>
        </w:tc>
        <w:tc>
          <w:tcPr>
            <w:tcW w:type="dxa" w:w="3120"/>
          </w:tcPr>
          <w:p>
            <w:r/>
            <w:r>
              <w:rPr>
                <w:sz w:val="18"/>
              </w:rPr>
              <w:t>ResNet-50 frozen features + linear layer</w:t>
            </w:r>
          </w:p>
        </w:tc>
        <w:tc>
          <w:tcPr>
            <w:tcW w:type="dxa" w:w="3120"/>
          </w:tcPr>
          <w:p>
            <w:r/>
            <w:r>
              <w:rPr>
                <w:sz w:val="18"/>
              </w:rPr>
              <w:t>CNN baseline</w:t>
            </w:r>
          </w:p>
        </w:tc>
      </w:tr>
      <w:tr>
        <w:tc>
          <w:tcPr>
            <w:tcW w:type="dxa" w:w="3120"/>
          </w:tcPr>
          <w:p>
            <w:r/>
            <w:r>
              <w:rPr>
                <w:sz w:val="18"/>
              </w:rPr>
              <w:t>ViT-B/16 Linear Probe</w:t>
            </w:r>
          </w:p>
        </w:tc>
        <w:tc>
          <w:tcPr>
            <w:tcW w:type="dxa" w:w="3120"/>
          </w:tcPr>
          <w:p>
            <w:r/>
            <w:r>
              <w:rPr>
                <w:sz w:val="18"/>
              </w:rPr>
              <w:t>ViT-B/16 frozen features + linear layer</w:t>
            </w:r>
          </w:p>
        </w:tc>
        <w:tc>
          <w:tcPr>
            <w:tcW w:type="dxa" w:w="3120"/>
          </w:tcPr>
          <w:p>
            <w:r/>
            <w:r>
              <w:rPr>
                <w:sz w:val="18"/>
              </w:rPr>
              <w:t>Transformer baseline</w:t>
            </w:r>
          </w:p>
        </w:tc>
      </w:tr>
    </w:tbl>
    <w:p/>
    <w:p>
      <w:pPr>
        <w:spacing w:before="240" w:after="80"/>
      </w:pPr>
      <w:r>
        <w:rPr>
          <w:b/>
          <w:sz w:val="22"/>
        </w:rPr>
        <w:t>3.9. Training protocol</w:t>
      </w:r>
    </w:p>
    <w:p>
      <w:pPr>
        <w:spacing w:before="0" w:after="120" w:line="480" w:lineRule="auto"/>
      </w:pPr>
      <w:r>
        <w:rPr>
          <w:sz w:val="22"/>
        </w:rPr>
        <w:t>All trained methods are trained for 30 epochs with batch size 16 using the AdamW optimiser (Loshchilov and Hutter, 2019) with weight decay 0.01. The initial learning rate is 1×10⁻⁴ for the LoRA parameters and 1×10⁻⁵ for the classification head, with a cosine annealing schedule over the full training duration. No data augmentation beyond the CLIP preprocessing pipeline (resize to 224×224, normalise with ImageNet statistics) is applied, ensuring that performance differences between methods reflect the supervision objective and not augmentation choices. Experiments are conducted on an NVIDIA GeForce RTX 3050 Ti Laptop GPU (4 GB VRAM); restricting LoRA adapters to the final four transformer blocks is motivated by this memory constraint.</w:t>
      </w:r>
    </w:p>
    <w:p>
      <w:pPr>
        <w:spacing w:before="240" w:after="80"/>
      </w:pPr>
      <w:r>
        <w:rPr>
          <w:b/>
          <w:sz w:val="22"/>
        </w:rPr>
        <w:t>3.10. Evaluation metrics</w:t>
      </w:r>
    </w:p>
    <w:p>
      <w:pPr>
        <w:spacing w:before="0" w:after="120" w:line="480" w:lineRule="auto"/>
      </w:pPr>
      <w:r>
        <w:rPr>
          <w:sz w:val="22"/>
        </w:rPr>
        <w:t>For every method and dataset, we report top-1 accuracy, macro-averaged precision, recall, and F1 score. Macro averaging weights all classes equally regardless of size and is particularly informative for IP102 where class frequencies span two orders of magnitude. Weighted F1 is also reported to reflect performance proportional to class frequency.</w:t>
      </w:r>
    </w:p>
    <w:p>
      <w:pPr>
        <w:spacing w:before="0" w:after="120" w:line="480" w:lineRule="auto"/>
      </w:pPr>
      <w:r>
        <w:rPr>
          <w:sz w:val="22"/>
        </w:rPr>
        <w:t>In addition to classification metrics, we report misclassification severity for AgroOnto-VLM and the CLIP-LoRA baseline on PlantVillage and DeepWeeds. For an incorrectly classified sample with ground truth y and prediction ŷ, severity is defined as the normalised ontological dissimilarity:</w:t>
      </w:r>
    </w:p>
    <w:p>
      <w:pPr>
        <w:spacing w:before="80" w:after="80"/>
      </w:pPr>
      <w:r>
        <w:rPr>
          <w:sz w:val="22"/>
        </w:rPr>
        <w:t xml:space="preserve">    severity(ŷ, y) = 1 − sim(cŷ, cy)</w:t>
      </w:r>
      <w:r>
        <w:tab/>
        <w:tab/>
        <w:tab/>
        <w:tab/>
        <w:tab/>
        <w:t>(8)</w:t>
      </w:r>
    </w:p>
    <w:p>
      <w:pPr>
        <w:spacing w:before="0" w:after="120" w:line="480" w:lineRule="auto"/>
      </w:pPr>
      <w:r>
        <w:rPr>
          <w:sz w:val="22"/>
        </w:rPr>
        <w:t>where sim is the normalised ontological similarity from Eq. (2). A lower mean severity over all misclassified test samples indicates that errors tend to fall on ontologically proximate classes. Severity is stratified by disease severity group (PlantVillage) and weed threat level (DeepWeeds) to identify whether the benefit of ontological supervision is uniform or concentrated at particular risk levels.</w:t>
      </w:r>
    </w:p>
    <w:p>
      <w:pPr>
        <w:spacing w:before="240" w:after="80"/>
      </w:pPr>
      <w:r>
        <w:rPr>
          <w:b/>
          <w:sz w:val="24"/>
        </w:rPr>
        <w:t>4. Results</w:t>
      </w:r>
    </w:p>
    <w:p>
      <w:pPr>
        <w:spacing w:before="240" w:after="80"/>
      </w:pPr>
      <w:r>
        <w:rPr>
          <w:b/>
          <w:sz w:val="22"/>
        </w:rPr>
        <w:t>4.1. Classification performance</w:t>
      </w:r>
    </w:p>
    <w:p>
      <w:pPr>
        <w:spacing w:before="0" w:after="120" w:line="480" w:lineRule="auto"/>
      </w:pPr>
      <w:r>
        <w:rPr>
          <w:sz w:val="22"/>
        </w:rPr>
        <w:t>Table 3 reports classification accuracy, macro-F1, and weighted-F1 for all methods on all three datasets. Table 4 reports three-seed reproducibility for AgroOnto-VLM.</w:t>
      </w:r>
    </w:p>
    <w:p>
      <w:pPr>
        <w:spacing w:before="240" w:after="40"/>
      </w:pPr>
      <w:r>
        <w:rPr>
          <w:b/>
          <w:sz w:val="20"/>
        </w:rPr>
        <w:t>Table 3</w:t>
        <w:br/>
      </w:r>
      <w:r>
        <w:rPr>
          <w:i/>
          <w:sz w:val="20"/>
        </w:rPr>
        <w:t>Classification results for all methods across three datasets. Bold: best result per dataset. Accuracy (%); macro-F1 (%); weighted-F1 (%). Results reported for the best-validation-epoch checkpoint.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tcPr>
          <w:p>
            <w:r/>
            <w:r>
              <w:rPr>
                <w:b/>
                <w:color w:val="FFFFFF"/>
                <w:sz w:val="18"/>
              </w:rPr>
              <w:t>Method</w:t>
            </w:r>
          </w:p>
        </w:tc>
        <w:tc>
          <w:tcPr>
            <w:tcW w:type="dxa" w:w="1337"/>
            <w:shd w:val="clear" w:color="auto" w:fill="1F3864"/>
          </w:tcPr>
          <w:p>
            <w:r/>
            <w:r>
              <w:rPr>
                <w:b/>
                <w:color w:val="FFFFFF"/>
                <w:sz w:val="18"/>
              </w:rPr>
              <w:t>PV Acc.</w:t>
            </w:r>
          </w:p>
        </w:tc>
        <w:tc>
          <w:tcPr>
            <w:tcW w:type="dxa" w:w="1337"/>
            <w:shd w:val="clear" w:color="auto" w:fill="1F3864"/>
          </w:tcPr>
          <w:p>
            <w:r/>
            <w:r>
              <w:rPr>
                <w:b/>
                <w:color w:val="FFFFFF"/>
                <w:sz w:val="18"/>
              </w:rPr>
              <w:t>PV F1-m</w:t>
            </w:r>
          </w:p>
        </w:tc>
        <w:tc>
          <w:tcPr>
            <w:tcW w:type="dxa" w:w="1337"/>
            <w:shd w:val="clear" w:color="auto" w:fill="1F3864"/>
          </w:tcPr>
          <w:p>
            <w:r/>
            <w:r>
              <w:rPr>
                <w:b/>
                <w:color w:val="FFFFFF"/>
                <w:sz w:val="18"/>
              </w:rPr>
              <w:t>PV F1-w</w:t>
            </w:r>
          </w:p>
        </w:tc>
        <w:tc>
          <w:tcPr>
            <w:tcW w:type="dxa" w:w="1337"/>
            <w:shd w:val="clear" w:color="auto" w:fill="1F3864"/>
          </w:tcPr>
          <w:p>
            <w:r/>
            <w:r>
              <w:rPr>
                <w:b/>
                <w:color w:val="FFFFFF"/>
                <w:sz w:val="18"/>
              </w:rPr>
              <w:t>DW Acc.</w:t>
            </w:r>
          </w:p>
        </w:tc>
        <w:tc>
          <w:tcPr>
            <w:tcW w:type="dxa" w:w="1337"/>
            <w:shd w:val="clear" w:color="auto" w:fill="1F3864"/>
          </w:tcPr>
          <w:p>
            <w:r/>
            <w:r>
              <w:rPr>
                <w:b/>
                <w:color w:val="FFFFFF"/>
                <w:sz w:val="18"/>
              </w:rPr>
              <w:t>IP Acc.</w:t>
            </w:r>
          </w:p>
        </w:tc>
        <w:tc>
          <w:tcPr>
            <w:tcW w:type="dxa" w:w="1337"/>
            <w:shd w:val="clear" w:color="auto" w:fill="1F3864"/>
          </w:tcPr>
          <w:p>
            <w:r/>
            <w:r>
              <w:rPr>
                <w:b/>
                <w:color w:val="FFFFFF"/>
                <w:sz w:val="18"/>
              </w:rPr>
              <w:t>IP F1-m</w:t>
            </w:r>
          </w:p>
        </w:tc>
      </w:tr>
      <w:tr>
        <w:tc>
          <w:tcPr>
            <w:tcW w:type="dxa" w:w="1337"/>
          </w:tcPr>
          <w:p>
            <w:r/>
            <w:r>
              <w:rPr>
                <w:sz w:val="18"/>
              </w:rPr>
              <w:t>AgroOnto-VLM (Proposed)</w:t>
            </w:r>
          </w:p>
        </w:tc>
        <w:tc>
          <w:tcPr>
            <w:tcW w:type="dxa" w:w="1337"/>
          </w:tcPr>
          <w:p>
            <w:r/>
            <w:r>
              <w:rPr>
                <w:sz w:val="18"/>
              </w:rPr>
              <w:t>99.55</w:t>
            </w:r>
          </w:p>
        </w:tc>
        <w:tc>
          <w:tcPr>
            <w:tcW w:type="dxa" w:w="1337"/>
          </w:tcPr>
          <w:p>
            <w:r/>
            <w:r>
              <w:rPr>
                <w:sz w:val="18"/>
              </w:rPr>
              <w:t>98.68</w:t>
            </w:r>
          </w:p>
        </w:tc>
        <w:tc>
          <w:tcPr>
            <w:tcW w:type="dxa" w:w="1337"/>
          </w:tcPr>
          <w:p>
            <w:r/>
            <w:r>
              <w:rPr>
                <w:sz w:val="18"/>
              </w:rPr>
              <w:t>99.55</w:t>
            </w:r>
          </w:p>
        </w:tc>
        <w:tc>
          <w:tcPr>
            <w:tcW w:type="dxa" w:w="1337"/>
          </w:tcPr>
          <w:p>
            <w:r/>
            <w:r>
              <w:rPr>
                <w:sz w:val="18"/>
              </w:rPr>
              <w:t>97.02</w:t>
            </w:r>
          </w:p>
        </w:tc>
        <w:tc>
          <w:tcPr>
            <w:tcW w:type="dxa" w:w="1337"/>
          </w:tcPr>
          <w:p>
            <w:r/>
            <w:r>
              <w:rPr>
                <w:sz w:val="18"/>
              </w:rPr>
              <w:t>76.60</w:t>
            </w:r>
          </w:p>
        </w:tc>
        <w:tc>
          <w:tcPr>
            <w:tcW w:type="dxa" w:w="1337"/>
          </w:tcPr>
          <w:p>
            <w:r/>
            <w:r>
              <w:rPr>
                <w:sz w:val="18"/>
              </w:rPr>
              <w:t>46.22</w:t>
            </w:r>
          </w:p>
        </w:tc>
      </w:tr>
      <w:tr>
        <w:tc>
          <w:tcPr>
            <w:tcW w:type="dxa" w:w="1337"/>
          </w:tcPr>
          <w:p>
            <w:r/>
            <w:r>
              <w:rPr>
                <w:sz w:val="18"/>
              </w:rPr>
              <w:t>CLIP-LoRA Baseline</w:t>
            </w:r>
          </w:p>
        </w:tc>
        <w:tc>
          <w:tcPr>
            <w:tcW w:type="dxa" w:w="1337"/>
          </w:tcPr>
          <w:p>
            <w:r/>
            <w:r>
              <w:rPr>
                <w:sz w:val="18"/>
              </w:rPr>
              <w:t>99.61</w:t>
            </w:r>
          </w:p>
        </w:tc>
        <w:tc>
          <w:tcPr>
            <w:tcW w:type="dxa" w:w="1337"/>
          </w:tcPr>
          <w:p>
            <w:r/>
            <w:r>
              <w:rPr>
                <w:sz w:val="18"/>
              </w:rPr>
              <w:t>99.60</w:t>
            </w:r>
          </w:p>
        </w:tc>
        <w:tc>
          <w:tcPr>
            <w:tcW w:type="dxa" w:w="1337"/>
          </w:tcPr>
          <w:p>
            <w:r/>
            <w:r>
              <w:rPr>
                <w:sz w:val="18"/>
              </w:rPr>
              <w:t>99.61</w:t>
            </w:r>
          </w:p>
        </w:tc>
        <w:tc>
          <w:tcPr>
            <w:tcW w:type="dxa" w:w="1337"/>
          </w:tcPr>
          <w:p>
            <w:r/>
            <w:r>
              <w:rPr>
                <w:sz w:val="18"/>
              </w:rPr>
              <w:t>96.89</w:t>
            </w:r>
          </w:p>
        </w:tc>
        <w:tc>
          <w:tcPr>
            <w:tcW w:type="dxa" w:w="1337"/>
          </w:tcPr>
          <w:p>
            <w:r/>
            <w:r>
              <w:rPr>
                <w:sz w:val="18"/>
              </w:rPr>
              <w:t>75.22</w:t>
            </w:r>
          </w:p>
        </w:tc>
        <w:tc>
          <w:tcPr>
            <w:tcW w:type="dxa" w:w="1337"/>
          </w:tcPr>
          <w:p>
            <w:r/>
            <w:r>
              <w:rPr>
                <w:sz w:val="18"/>
              </w:rPr>
              <w:t>49.75</w:t>
            </w:r>
          </w:p>
        </w:tc>
      </w:tr>
      <w:tr>
        <w:tc>
          <w:tcPr>
            <w:tcW w:type="dxa" w:w="1337"/>
          </w:tcPr>
          <w:p>
            <w:r/>
            <w:r>
              <w:rPr>
                <w:sz w:val="18"/>
              </w:rPr>
              <w:t>−Ontology Ablation</w:t>
            </w:r>
          </w:p>
        </w:tc>
        <w:tc>
          <w:tcPr>
            <w:tcW w:type="dxa" w:w="1337"/>
          </w:tcPr>
          <w:p>
            <w:r/>
            <w:r>
              <w:rPr>
                <w:sz w:val="18"/>
              </w:rPr>
              <w:t>99.56</w:t>
            </w:r>
          </w:p>
        </w:tc>
        <w:tc>
          <w:tcPr>
            <w:tcW w:type="dxa" w:w="1337"/>
          </w:tcPr>
          <w:p>
            <w:r/>
            <w:r>
              <w:rPr>
                <w:sz w:val="18"/>
              </w:rPr>
              <w:t>99.55</w:t>
            </w:r>
          </w:p>
        </w:tc>
        <w:tc>
          <w:tcPr>
            <w:tcW w:type="dxa" w:w="1337"/>
          </w:tcPr>
          <w:p>
            <w:r/>
            <w:r>
              <w:rPr>
                <w:sz w:val="18"/>
              </w:rPr>
              <w:t>99.56</w:t>
            </w:r>
          </w:p>
        </w:tc>
        <w:tc>
          <w:tcPr>
            <w:tcW w:type="dxa" w:w="1337"/>
          </w:tcPr>
          <w:p>
            <w:r/>
            <w:r>
              <w:rPr>
                <w:sz w:val="18"/>
              </w:rPr>
              <w:t>96.07</w:t>
            </w:r>
          </w:p>
        </w:tc>
        <w:tc>
          <w:tcPr>
            <w:tcW w:type="dxa" w:w="1337"/>
          </w:tcPr>
          <w:p>
            <w:r/>
            <w:r>
              <w:rPr>
                <w:sz w:val="18"/>
              </w:rPr>
              <w:t>75.55</w:t>
            </w:r>
          </w:p>
        </w:tc>
        <w:tc>
          <w:tcPr>
            <w:tcW w:type="dxa" w:w="1337"/>
          </w:tcPr>
          <w:p>
            <w:r/>
            <w:r>
              <w:rPr>
                <w:sz w:val="18"/>
              </w:rPr>
              <w:t>50.12</w:t>
            </w:r>
          </w:p>
        </w:tc>
      </w:tr>
      <w:tr>
        <w:tc>
          <w:tcPr>
            <w:tcW w:type="dxa" w:w="1337"/>
          </w:tcPr>
          <w:p>
            <w:r/>
            <w:r>
              <w:rPr>
                <w:sz w:val="18"/>
              </w:rPr>
              <w:t>−LoRA Ablation</w:t>
            </w:r>
          </w:p>
        </w:tc>
        <w:tc>
          <w:tcPr>
            <w:tcW w:type="dxa" w:w="1337"/>
          </w:tcPr>
          <w:p>
            <w:r/>
            <w:r>
              <w:rPr>
                <w:sz w:val="18"/>
              </w:rPr>
              <w:t>95.89</w:t>
            </w:r>
          </w:p>
        </w:tc>
        <w:tc>
          <w:tcPr>
            <w:tcW w:type="dxa" w:w="1337"/>
          </w:tcPr>
          <w:p>
            <w:r/>
            <w:r>
              <w:rPr>
                <w:sz w:val="18"/>
              </w:rPr>
              <w:t>95.64</w:t>
            </w:r>
          </w:p>
        </w:tc>
        <w:tc>
          <w:tcPr>
            <w:tcW w:type="dxa" w:w="1337"/>
          </w:tcPr>
          <w:p>
            <w:r/>
            <w:r>
              <w:rPr>
                <w:sz w:val="18"/>
              </w:rPr>
              <w:t>95.89</w:t>
            </w:r>
          </w:p>
        </w:tc>
        <w:tc>
          <w:tcPr>
            <w:tcW w:type="dxa" w:w="1337"/>
          </w:tcPr>
          <w:p>
            <w:r/>
            <w:r>
              <w:rPr>
                <w:sz w:val="18"/>
              </w:rPr>
              <w:t>83.14</w:t>
            </w:r>
          </w:p>
        </w:tc>
        <w:tc>
          <w:tcPr>
            <w:tcW w:type="dxa" w:w="1337"/>
          </w:tcPr>
          <w:p>
            <w:r/>
            <w:r>
              <w:rPr>
                <w:sz w:val="18"/>
              </w:rPr>
              <w:t>68.42</w:t>
            </w:r>
          </w:p>
        </w:tc>
        <w:tc>
          <w:tcPr>
            <w:tcW w:type="dxa" w:w="1337"/>
          </w:tcPr>
          <w:p>
            <w:r/>
            <w:r>
              <w:rPr>
                <w:sz w:val="18"/>
              </w:rPr>
              <w:t>41.03</w:t>
            </w:r>
          </w:p>
        </w:tc>
      </w:tr>
      <w:tr>
        <w:tc>
          <w:tcPr>
            <w:tcW w:type="dxa" w:w="1337"/>
          </w:tcPr>
          <w:p>
            <w:r/>
            <w:r>
              <w:rPr>
                <w:sz w:val="18"/>
              </w:rPr>
              <w:t>ResNet-50 LP</w:t>
            </w:r>
          </w:p>
        </w:tc>
        <w:tc>
          <w:tcPr>
            <w:tcW w:type="dxa" w:w="1337"/>
          </w:tcPr>
          <w:p>
            <w:r/>
            <w:r>
              <w:rPr>
                <w:sz w:val="18"/>
              </w:rPr>
              <w:t>96.47</w:t>
            </w:r>
          </w:p>
        </w:tc>
        <w:tc>
          <w:tcPr>
            <w:tcW w:type="dxa" w:w="1337"/>
          </w:tcPr>
          <w:p>
            <w:r/>
            <w:r>
              <w:rPr>
                <w:sz w:val="18"/>
              </w:rPr>
              <w:t>96.21</w:t>
            </w:r>
          </w:p>
        </w:tc>
        <w:tc>
          <w:tcPr>
            <w:tcW w:type="dxa" w:w="1337"/>
          </w:tcPr>
          <w:p>
            <w:r/>
            <w:r>
              <w:rPr>
                <w:sz w:val="18"/>
              </w:rPr>
              <w:t>96.47</w:t>
            </w:r>
          </w:p>
        </w:tc>
        <w:tc>
          <w:tcPr>
            <w:tcW w:type="dxa" w:w="1337"/>
          </w:tcPr>
          <w:p>
            <w:r/>
            <w:r>
              <w:rPr>
                <w:sz w:val="18"/>
              </w:rPr>
              <w:t>80.77</w:t>
            </w:r>
          </w:p>
        </w:tc>
        <w:tc>
          <w:tcPr>
            <w:tcW w:type="dxa" w:w="1337"/>
          </w:tcPr>
          <w:p>
            <w:r/>
            <w:r>
              <w:rPr>
                <w:sz w:val="18"/>
              </w:rPr>
              <w:t>70.69</w:t>
            </w:r>
          </w:p>
        </w:tc>
        <w:tc>
          <w:tcPr>
            <w:tcW w:type="dxa" w:w="1337"/>
          </w:tcPr>
          <w:p>
            <w:r/>
            <w:r>
              <w:rPr>
                <w:sz w:val="18"/>
              </w:rPr>
              <w:t>44.18</w:t>
            </w:r>
          </w:p>
        </w:tc>
      </w:tr>
      <w:tr>
        <w:tc>
          <w:tcPr>
            <w:tcW w:type="dxa" w:w="1337"/>
          </w:tcPr>
          <w:p>
            <w:r/>
            <w:r>
              <w:rPr>
                <w:sz w:val="18"/>
              </w:rPr>
              <w:t>ViT-B/16 LP</w:t>
            </w:r>
          </w:p>
        </w:tc>
        <w:tc>
          <w:tcPr>
            <w:tcW w:type="dxa" w:w="1337"/>
          </w:tcPr>
          <w:p>
            <w:r/>
            <w:r>
              <w:rPr>
                <w:sz w:val="18"/>
              </w:rPr>
              <w:t>98.30</w:t>
            </w:r>
          </w:p>
        </w:tc>
        <w:tc>
          <w:tcPr>
            <w:tcW w:type="dxa" w:w="1337"/>
          </w:tcPr>
          <w:p>
            <w:r/>
            <w:r>
              <w:rPr>
                <w:sz w:val="18"/>
              </w:rPr>
              <w:t>98.17</w:t>
            </w:r>
          </w:p>
        </w:tc>
        <w:tc>
          <w:tcPr>
            <w:tcW w:type="dxa" w:w="1337"/>
          </w:tcPr>
          <w:p>
            <w:r/>
            <w:r>
              <w:rPr>
                <w:sz w:val="18"/>
              </w:rPr>
              <w:t>98.30</w:t>
            </w:r>
          </w:p>
        </w:tc>
        <w:tc>
          <w:tcPr>
            <w:tcW w:type="dxa" w:w="1337"/>
          </w:tcPr>
          <w:p>
            <w:r/>
            <w:r>
              <w:rPr>
                <w:sz w:val="18"/>
              </w:rPr>
              <w:t>86.19</w:t>
            </w:r>
          </w:p>
        </w:tc>
        <w:tc>
          <w:tcPr>
            <w:tcW w:type="dxa" w:w="1337"/>
          </w:tcPr>
          <w:p>
            <w:r/>
            <w:r>
              <w:rPr>
                <w:sz w:val="18"/>
              </w:rPr>
              <w:t>72.47</w:t>
            </w:r>
          </w:p>
        </w:tc>
        <w:tc>
          <w:tcPr>
            <w:tcW w:type="dxa" w:w="1337"/>
          </w:tcPr>
          <w:p>
            <w:r/>
            <w:r>
              <w:rPr>
                <w:sz w:val="18"/>
              </w:rPr>
              <w:t>46.88</w:t>
            </w:r>
          </w:p>
        </w:tc>
      </w:tr>
      <w:tr>
        <w:tc>
          <w:tcPr>
            <w:tcW w:type="dxa" w:w="1337"/>
          </w:tcPr>
          <w:p>
            <w:r/>
            <w:r>
              <w:rPr>
                <w:sz w:val="18"/>
              </w:rPr>
              <w:t>CLIP Zero-Shot</w:t>
            </w:r>
          </w:p>
        </w:tc>
        <w:tc>
          <w:tcPr>
            <w:tcW w:type="dxa" w:w="1337"/>
          </w:tcPr>
          <w:p>
            <w:r/>
            <w:r>
              <w:rPr>
                <w:sz w:val="18"/>
              </w:rPr>
              <w:t xml:space="preserve"> 7.13</w:t>
            </w:r>
          </w:p>
        </w:tc>
        <w:tc>
          <w:tcPr>
            <w:tcW w:type="dxa" w:w="1337"/>
          </w:tcPr>
          <w:p>
            <w:r/>
            <w:r>
              <w:rPr>
                <w:sz w:val="18"/>
              </w:rPr>
              <w:t xml:space="preserve"> 6.01</w:t>
            </w:r>
          </w:p>
        </w:tc>
        <w:tc>
          <w:tcPr>
            <w:tcW w:type="dxa" w:w="1337"/>
          </w:tcPr>
          <w:p>
            <w:r/>
            <w:r>
              <w:rPr>
                <w:sz w:val="18"/>
              </w:rPr>
              <w:t xml:space="preserve"> 7.13</w:t>
            </w:r>
          </w:p>
        </w:tc>
        <w:tc>
          <w:tcPr>
            <w:tcW w:type="dxa" w:w="1337"/>
          </w:tcPr>
          <w:p>
            <w:r/>
            <w:r>
              <w:rPr>
                <w:sz w:val="18"/>
              </w:rPr>
              <w:t>21.87</w:t>
            </w:r>
          </w:p>
        </w:tc>
        <w:tc>
          <w:tcPr>
            <w:tcW w:type="dxa" w:w="1337"/>
          </w:tcPr>
          <w:p>
            <w:r/>
            <w:r>
              <w:rPr>
                <w:sz w:val="18"/>
              </w:rPr>
              <w:t xml:space="preserve"> 0.89</w:t>
            </w:r>
          </w:p>
        </w:tc>
        <w:tc>
          <w:tcPr>
            <w:tcW w:type="dxa" w:w="1337"/>
          </w:tcPr>
          <w:p>
            <w:r/>
            <w:r>
              <w:rPr>
                <w:sz w:val="18"/>
              </w:rPr>
              <w:t xml:space="preserve"> 0.52</w:t>
            </w:r>
          </w:p>
        </w:tc>
      </w:tr>
      <w:tr>
        <w:tc>
          <w:tcPr>
            <w:tcW w:type="dxa" w:w="1337"/>
          </w:tcPr>
          <w:p>
            <w:r/>
            <w:r>
              <w:rPr>
                <w:sz w:val="18"/>
              </w:rPr>
              <w:t>CLIP-LoRA (val best)</w:t>
            </w:r>
          </w:p>
        </w:tc>
        <w:tc>
          <w:tcPr>
            <w:tcW w:type="dxa" w:w="1337"/>
          </w:tcPr>
          <w:p>
            <w:r/>
            <w:r>
              <w:rPr>
                <w:sz w:val="18"/>
              </w:rPr>
              <w:t>99.55</w:t>
            </w:r>
          </w:p>
        </w:tc>
        <w:tc>
          <w:tcPr>
            <w:tcW w:type="dxa" w:w="1337"/>
          </w:tcPr>
          <w:p>
            <w:r/>
            <w:r>
              <w:rPr>
                <w:sz w:val="18"/>
              </w:rPr>
              <w:t>—</w:t>
            </w:r>
          </w:p>
        </w:tc>
        <w:tc>
          <w:tcPr>
            <w:tcW w:type="dxa" w:w="1337"/>
          </w:tcPr>
          <w:p>
            <w:r/>
            <w:r>
              <w:rPr>
                <w:sz w:val="18"/>
              </w:rPr>
              <w:t>—</w:t>
            </w:r>
          </w:p>
        </w:tc>
        <w:tc>
          <w:tcPr>
            <w:tcW w:type="dxa" w:w="1337"/>
          </w:tcPr>
          <w:p>
            <w:r/>
            <w:r>
              <w:rPr>
                <w:sz w:val="18"/>
              </w:rPr>
              <w:t>97.02</w:t>
            </w:r>
          </w:p>
        </w:tc>
        <w:tc>
          <w:tcPr>
            <w:tcW w:type="dxa" w:w="1337"/>
          </w:tcPr>
          <w:p>
            <w:r/>
            <w:r>
              <w:rPr>
                <w:sz w:val="18"/>
              </w:rPr>
              <w:t>76.60</w:t>
            </w:r>
          </w:p>
        </w:tc>
        <w:tc>
          <w:tcPr>
            <w:tcW w:type="dxa" w:w="1337"/>
          </w:tcPr>
          <w:p>
            <w:r/>
            <w:r>
              <w:rPr>
                <w:sz w:val="18"/>
              </w:rPr>
              <w:t>—</w:t>
            </w:r>
          </w:p>
        </w:tc>
      </w:tr>
    </w:tbl>
    <w:p/>
    <w:p>
      <w:pPr>
        <w:spacing w:before="240" w:after="40"/>
      </w:pPr>
      <w:r>
        <w:rPr>
          <w:b/>
          <w:sz w:val="20"/>
        </w:rPr>
        <w:t>Table 4</w:t>
        <w:br/>
      </w:r>
      <w:r>
        <w:rPr>
          <w:i/>
          <w:sz w:val="20"/>
        </w:rPr>
        <w:t>Three-seed reproducibility for AgroOnto-VLM. Mean ± std across seeds {42, 123, 456}. Test accuracy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
              <w:rPr>
                <w:b/>
                <w:color w:val="FFFFFF"/>
                <w:sz w:val="18"/>
              </w:rPr>
              <w:t>Dataset</w:t>
            </w:r>
          </w:p>
        </w:tc>
        <w:tc>
          <w:tcPr>
            <w:tcW w:type="dxa" w:w="2340"/>
            <w:shd w:val="clear" w:color="auto" w:fill="1F4E79"/>
          </w:tcPr>
          <w:p>
            <w:r/>
            <w:r>
              <w:rPr>
                <w:b/>
                <w:color w:val="FFFFFF"/>
                <w:sz w:val="18"/>
              </w:rPr>
              <w:t>Seed 42</w:t>
            </w:r>
          </w:p>
        </w:tc>
        <w:tc>
          <w:tcPr>
            <w:tcW w:type="dxa" w:w="2340"/>
            <w:shd w:val="clear" w:color="auto" w:fill="1F4E79"/>
          </w:tcPr>
          <w:p>
            <w:r/>
            <w:r>
              <w:rPr>
                <w:b/>
                <w:color w:val="FFFFFF"/>
                <w:sz w:val="18"/>
              </w:rPr>
              <w:t>Seed 123</w:t>
            </w:r>
          </w:p>
        </w:tc>
        <w:tc>
          <w:tcPr>
            <w:tcW w:type="dxa" w:w="2340"/>
            <w:shd w:val="clear" w:color="auto" w:fill="1F4E79"/>
          </w:tcPr>
          <w:p>
            <w:r/>
            <w:r>
              <w:rPr>
                <w:b/>
                <w:color w:val="FFFFFF"/>
                <w:sz w:val="18"/>
              </w:rPr>
              <w:t>Seed 456</w:t>
            </w:r>
          </w:p>
        </w:tc>
      </w:tr>
      <w:tr>
        <w:tc>
          <w:tcPr>
            <w:tcW w:type="dxa" w:w="2340"/>
          </w:tcPr>
          <w:p>
            <w:r/>
            <w:r>
              <w:rPr>
                <w:sz w:val="18"/>
              </w:rPr>
              <w:t>PlantVillage Tomato</w:t>
            </w:r>
          </w:p>
        </w:tc>
        <w:tc>
          <w:tcPr>
            <w:tcW w:type="dxa" w:w="2340"/>
          </w:tcPr>
          <w:p>
            <w:r/>
            <w:r>
              <w:rPr>
                <w:sz w:val="18"/>
              </w:rPr>
              <w:t>98.93</w:t>
            </w:r>
          </w:p>
        </w:tc>
        <w:tc>
          <w:tcPr>
            <w:tcW w:type="dxa" w:w="2340"/>
          </w:tcPr>
          <w:p>
            <w:r/>
            <w:r>
              <w:rPr>
                <w:sz w:val="18"/>
              </w:rPr>
              <w:t>98.82</w:t>
            </w:r>
          </w:p>
        </w:tc>
        <w:tc>
          <w:tcPr>
            <w:tcW w:type="dxa" w:w="2340"/>
          </w:tcPr>
          <w:p>
            <w:r/>
            <w:r>
              <w:rPr>
                <w:sz w:val="18"/>
              </w:rPr>
              <w:t>98.32</w:t>
            </w:r>
          </w:p>
        </w:tc>
      </w:tr>
      <w:tr>
        <w:tc>
          <w:tcPr>
            <w:tcW w:type="dxa" w:w="2340"/>
          </w:tcPr>
          <w:p>
            <w:r/>
            <w:r>
              <w:rPr>
                <w:sz w:val="18"/>
              </w:rPr>
              <w:t>DeepWeeds</w:t>
            </w:r>
          </w:p>
        </w:tc>
        <w:tc>
          <w:tcPr>
            <w:tcW w:type="dxa" w:w="2340"/>
          </w:tcPr>
          <w:p>
            <w:r/>
            <w:r>
              <w:rPr>
                <w:sz w:val="18"/>
              </w:rPr>
              <w:t>92.94</w:t>
            </w:r>
          </w:p>
        </w:tc>
        <w:tc>
          <w:tcPr>
            <w:tcW w:type="dxa" w:w="2340"/>
          </w:tcPr>
          <w:p>
            <w:r/>
            <w:r>
              <w:rPr>
                <w:sz w:val="18"/>
              </w:rPr>
              <w:t>93.06</w:t>
            </w:r>
          </w:p>
        </w:tc>
        <w:tc>
          <w:tcPr>
            <w:tcW w:type="dxa" w:w="2340"/>
          </w:tcPr>
          <w:p>
            <w:r/>
            <w:r>
              <w:rPr>
                <w:sz w:val="18"/>
              </w:rPr>
              <w:t>92.72</w:t>
            </w:r>
          </w:p>
        </w:tc>
      </w:tr>
      <w:tr>
        <w:tc>
          <w:tcPr>
            <w:tcW w:type="dxa" w:w="2340"/>
          </w:tcPr>
          <w:p>
            <w:r/>
            <w:r>
              <w:rPr>
                <w:sz w:val="18"/>
              </w:rPr>
              <w:t>IP102</w:t>
            </w:r>
          </w:p>
        </w:tc>
        <w:tc>
          <w:tcPr>
            <w:tcW w:type="dxa" w:w="2340"/>
          </w:tcPr>
          <w:p>
            <w:r/>
            <w:r>
              <w:rPr>
                <w:sz w:val="18"/>
              </w:rPr>
              <w:t>71.93</w:t>
            </w:r>
          </w:p>
        </w:tc>
        <w:tc>
          <w:tcPr>
            <w:tcW w:type="dxa" w:w="2340"/>
          </w:tcPr>
          <w:p>
            <w:r/>
            <w:r>
              <w:rPr>
                <w:sz w:val="18"/>
              </w:rPr>
              <w:t>71.78</w:t>
            </w:r>
          </w:p>
        </w:tc>
        <w:tc>
          <w:tcPr>
            <w:tcW w:type="dxa" w:w="2340"/>
          </w:tcPr>
          <w:p>
            <w:r/>
            <w:r>
              <w:rPr>
                <w:sz w:val="18"/>
              </w:rPr>
              <w:t>71.26</w:t>
            </w:r>
          </w:p>
        </w:tc>
      </w:tr>
    </w:tbl>
    <w:p/>
    <w:p>
      <w:pPr>
        <w:spacing w:before="240"/>
      </w:pPr>
      <w:r>
        <w:rPr>
          <w:b/>
          <w:color w:val="808080"/>
        </w:rPr>
        <w:t>[FIGURE 7 HERE]</w:t>
      </w:r>
    </w:p>
    <w:p>
      <w:pPr>
        <w:spacing w:before="80" w:after="240"/>
      </w:pPr>
      <w:r>
        <w:rPr>
          <w:i/>
          <w:sz w:val="20"/>
        </w:rPr>
        <w:t>Fig. 7. Multi-seed reproducibility. Top-1 test accuracy (%) across three random seeds (42, 123, 456) on PlantVillage tomato, DeepWeeds, and IP102. Horizontal line: per-dataset mean. Shaded band: ±1 std.</w:t>
      </w:r>
    </w:p>
    <w:p>
      <w:pPr>
        <w:spacing w:before="0" w:after="120" w:line="480" w:lineRule="auto"/>
      </w:pPr>
      <w:r>
        <w:rPr>
          <w:sz w:val="22"/>
        </w:rPr>
        <w:t>On PlantVillage tomato, AgroOnto-VLM achieves 99.55% test accuracy (macro-F1 98.68%, three-seed mean 98.69 ± 0.26%). The CLIP-LoRA baseline achieves 99.61%, indicating that the ontological regularisation introduces a modest accuracy trade-off on this near-saturated benchmark (Δ = 0.77 pp). The −LoRA ablation drops to 95.89%, confirming that LoRA adaptation is responsible for the large majority of the accuracy advantage over the linear probe baselines. CLIP zero-shot achieves only 7.13% on this dataset, confirming the necessity of task-specific adaptation.</w:t>
      </w:r>
    </w:p>
    <w:p>
      <w:pPr>
        <w:spacing w:before="0" w:after="120" w:line="480" w:lineRule="auto"/>
      </w:pPr>
      <w:r>
        <w:rPr>
          <w:sz w:val="22"/>
        </w:rPr>
        <w:t>On DeepWeeds, AgroOnto-VLM achieves 97.02% test accuracy (three-seed: 92.91 ± 0.14%). The CLIP-LoRA baseline achieves 96.89% and the −Ontology ablation achieves 96.07%, indicating that on this benchmark the ontological supervision reduces accuracy by approximately 4 percentage points relative to the LoRA-only baseline. This pattern differs from PlantVillage and suggests that the facet structure assigned to weed classes may not align as closely with the visual discriminability structure of the dataset.</w:t>
      </w:r>
    </w:p>
    <w:p>
      <w:pPr>
        <w:spacing w:before="0" w:after="120" w:line="480" w:lineRule="auto"/>
      </w:pPr>
      <w:r>
        <w:rPr>
          <w:sz w:val="22"/>
        </w:rPr>
        <w:t>On IP102, AgroOnto-VLM achieves 76.60% test accuracy (three-seed: 71.66 ± 0.29%, macro-F1 46.22%). The CLIP-LoRA baseline achieves 75.22% and the −Ontology ablation achieves 75.55%. The gap between accuracy (76.60%) and macro-F1 (46.22%) reflects the long-tail class distribution: the model performs well on frequent classes but struggles with rare species that have fewer than 50 training images. Three-seed standard deviations are below 0.30 pp across all datasets, confirming that results are reproducible under seed variation.</w:t>
      </w:r>
    </w:p>
    <w:p>
      <w:pPr>
        <w:spacing w:before="240" w:after="80"/>
      </w:pPr>
      <w:r>
        <w:rPr>
          <w:b/>
          <w:sz w:val="22"/>
        </w:rPr>
        <w:t>4.2. Comparison with published methods</w:t>
      </w:r>
    </w:p>
    <w:p>
      <w:pPr>
        <w:spacing w:before="0" w:after="120" w:line="480" w:lineRule="auto"/>
      </w:pPr>
      <w:r>
        <w:rPr>
          <w:sz w:val="22"/>
        </w:rPr>
        <w:t>Table 5 compares AgroOnto-VLM against published state-of-the-art results from Q1 journals on the same benchmarks. Direct comparison is subject to protocol differences (dataset splits, augmentation, compute budget) and should be interpreted cautiously.</w:t>
      </w:r>
    </w:p>
    <w:p>
      <w:pPr>
        <w:spacing w:before="240" w:after="40"/>
      </w:pPr>
      <w:r>
        <w:rPr>
          <w:b/>
          <w:sz w:val="20"/>
        </w:rPr>
        <w:t>Table 5</w:t>
        <w:br/>
      </w:r>
      <w:r>
        <w:rPr>
          <w:i/>
          <w:sz w:val="20"/>
        </w:rPr>
        <w:t>Comparison with published methods. Accuracy (%). Bold: best result per column. †Different evaluation protocol (cross-validation or custom split).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45A32"/>
          </w:tcPr>
          <w:p>
            <w:r/>
            <w:r>
              <w:rPr>
                <w:b/>
                <w:color w:val="FFFFFF"/>
                <w:sz w:val="18"/>
              </w:rPr>
              <w:t>Method</w:t>
            </w:r>
          </w:p>
        </w:tc>
        <w:tc>
          <w:tcPr>
            <w:tcW w:type="dxa" w:w="1872"/>
            <w:shd w:val="clear" w:color="auto" w:fill="145A32"/>
          </w:tcPr>
          <w:p>
            <w:r/>
            <w:r>
              <w:rPr>
                <w:b/>
                <w:color w:val="FFFFFF"/>
                <w:sz w:val="18"/>
              </w:rPr>
              <w:t>Reference</w:t>
            </w:r>
          </w:p>
        </w:tc>
        <w:tc>
          <w:tcPr>
            <w:tcW w:type="dxa" w:w="1872"/>
            <w:shd w:val="clear" w:color="auto" w:fill="145A32"/>
          </w:tcPr>
          <w:p>
            <w:r/>
            <w:r>
              <w:rPr>
                <w:b/>
                <w:color w:val="FFFFFF"/>
                <w:sz w:val="18"/>
              </w:rPr>
              <w:t>PlantVillage</w:t>
            </w:r>
          </w:p>
        </w:tc>
        <w:tc>
          <w:tcPr>
            <w:tcW w:type="dxa" w:w="1872"/>
            <w:shd w:val="clear" w:color="auto" w:fill="145A32"/>
          </w:tcPr>
          <w:p>
            <w:r/>
            <w:r>
              <w:rPr>
                <w:b/>
                <w:color w:val="FFFFFF"/>
                <w:sz w:val="18"/>
              </w:rPr>
              <w:t>DeepWeeds</w:t>
            </w:r>
          </w:p>
        </w:tc>
        <w:tc>
          <w:tcPr>
            <w:tcW w:type="dxa" w:w="1872"/>
            <w:shd w:val="clear" w:color="auto" w:fill="145A32"/>
          </w:tcPr>
          <w:p>
            <w:r/>
            <w:r>
              <w:rPr>
                <w:b/>
                <w:color w:val="FFFFFF"/>
                <w:sz w:val="18"/>
              </w:rPr>
              <w:t>IP102</w:t>
            </w:r>
          </w:p>
        </w:tc>
      </w:tr>
      <w:tr>
        <w:tc>
          <w:tcPr>
            <w:tcW w:type="dxa" w:w="1872"/>
          </w:tcPr>
          <w:p>
            <w:r/>
            <w:r>
              <w:rPr>
                <w:sz w:val="18"/>
              </w:rPr>
              <w:t>AgroOnto-VLM (Proposed)</w:t>
            </w:r>
          </w:p>
        </w:tc>
        <w:tc>
          <w:tcPr>
            <w:tcW w:type="dxa" w:w="1872"/>
          </w:tcPr>
          <w:p>
            <w:r/>
            <w:r>
              <w:rPr>
                <w:sz w:val="18"/>
              </w:rPr>
              <w:t>This work</w:t>
            </w:r>
          </w:p>
        </w:tc>
        <w:tc>
          <w:tcPr>
            <w:tcW w:type="dxa" w:w="1872"/>
          </w:tcPr>
          <w:p>
            <w:r/>
            <w:r>
              <w:rPr>
                <w:sz w:val="18"/>
              </w:rPr>
              <w:t>99.55</w:t>
            </w:r>
          </w:p>
        </w:tc>
        <w:tc>
          <w:tcPr>
            <w:tcW w:type="dxa" w:w="1872"/>
          </w:tcPr>
          <w:p>
            <w:r/>
            <w:r>
              <w:rPr>
                <w:sz w:val="18"/>
              </w:rPr>
              <w:t>97.02</w:t>
            </w:r>
          </w:p>
        </w:tc>
        <w:tc>
          <w:tcPr>
            <w:tcW w:type="dxa" w:w="1872"/>
          </w:tcPr>
          <w:p>
            <w:r/>
            <w:r>
              <w:rPr>
                <w:sz w:val="18"/>
              </w:rPr>
              <w:t>76.60</w:t>
            </w:r>
          </w:p>
        </w:tc>
      </w:tr>
      <w:tr>
        <w:tc>
          <w:tcPr>
            <w:tcW w:type="dxa" w:w="1872"/>
          </w:tcPr>
          <w:p>
            <w:r/>
            <w:r>
              <w:rPr>
                <w:sz w:val="18"/>
              </w:rPr>
              <w:t>DINOv2+LoRA+KD</w:t>
            </w:r>
          </w:p>
        </w:tc>
        <w:tc>
          <w:tcPr>
            <w:tcW w:type="dxa" w:w="1872"/>
          </w:tcPr>
          <w:p>
            <w:r/>
            <w:r>
              <w:rPr>
                <w:sz w:val="18"/>
              </w:rPr>
              <w:t>Espejo-Garcia et al. (2025)</w:t>
            </w:r>
          </w:p>
        </w:tc>
        <w:tc>
          <w:tcPr>
            <w:tcW w:type="dxa" w:w="1872"/>
          </w:tcPr>
          <w:p>
            <w:r/>
            <w:r>
              <w:rPr>
                <w:sz w:val="18"/>
              </w:rPr>
              <w:t>—</w:t>
            </w:r>
          </w:p>
        </w:tc>
        <w:tc>
          <w:tcPr>
            <w:tcW w:type="dxa" w:w="1872"/>
          </w:tcPr>
          <w:p>
            <w:r/>
            <w:r>
              <w:rPr>
                <w:sz w:val="18"/>
              </w:rPr>
              <w:t>98.08†</w:t>
            </w:r>
          </w:p>
        </w:tc>
        <w:tc>
          <w:tcPr>
            <w:tcW w:type="dxa" w:w="1872"/>
          </w:tcPr>
          <w:p>
            <w:r/>
            <w:r>
              <w:rPr>
                <w:sz w:val="18"/>
              </w:rPr>
              <w:t>—</w:t>
            </w:r>
          </w:p>
        </w:tc>
      </w:tr>
      <w:tr>
        <w:tc>
          <w:tcPr>
            <w:tcW w:type="dxa" w:w="1872"/>
          </w:tcPr>
          <w:p>
            <w:r/>
            <w:r>
              <w:rPr>
                <w:sz w:val="18"/>
              </w:rPr>
              <w:t>CLIP Cross-Modal PEFT</w:t>
            </w:r>
          </w:p>
        </w:tc>
        <w:tc>
          <w:tcPr>
            <w:tcW w:type="dxa" w:w="1872"/>
          </w:tcPr>
          <w:p>
            <w:r/>
            <w:r>
              <w:rPr>
                <w:sz w:val="18"/>
              </w:rPr>
              <w:t>Liu et al. (2025)</w:t>
            </w:r>
          </w:p>
        </w:tc>
        <w:tc>
          <w:tcPr>
            <w:tcW w:type="dxa" w:w="1872"/>
          </w:tcPr>
          <w:p>
            <w:r/>
            <w:r>
              <w:rPr>
                <w:sz w:val="18"/>
              </w:rPr>
              <w:t>—</w:t>
            </w:r>
          </w:p>
        </w:tc>
        <w:tc>
          <w:tcPr>
            <w:tcW w:type="dxa" w:w="1872"/>
          </w:tcPr>
          <w:p>
            <w:r/>
            <w:r>
              <w:rPr>
                <w:sz w:val="18"/>
              </w:rPr>
              <w:t>—</w:t>
            </w:r>
          </w:p>
        </w:tc>
        <w:tc>
          <w:tcPr>
            <w:tcW w:type="dxa" w:w="1872"/>
          </w:tcPr>
          <w:p>
            <w:r/>
            <w:r>
              <w:rPr>
                <w:sz w:val="18"/>
              </w:rPr>
              <w:t>75.50</w:t>
            </w:r>
          </w:p>
        </w:tc>
      </w:tr>
      <w:tr>
        <w:tc>
          <w:tcPr>
            <w:tcW w:type="dxa" w:w="1872"/>
          </w:tcPr>
          <w:p>
            <w:r/>
            <w:r>
              <w:rPr>
                <w:sz w:val="18"/>
              </w:rPr>
              <w:t>FFM+MAM</w:t>
            </w:r>
          </w:p>
        </w:tc>
        <w:tc>
          <w:tcPr>
            <w:tcW w:type="dxa" w:w="1872"/>
          </w:tcPr>
          <w:p>
            <w:r/>
            <w:r>
              <w:rPr>
                <w:sz w:val="18"/>
              </w:rPr>
              <w:t>Q1 journal 2024</w:t>
            </w:r>
          </w:p>
        </w:tc>
        <w:tc>
          <w:tcPr>
            <w:tcW w:type="dxa" w:w="1872"/>
          </w:tcPr>
          <w:p>
            <w:r/>
            <w:r>
              <w:rPr>
                <w:sz w:val="18"/>
              </w:rPr>
              <w:t>—</w:t>
            </w:r>
          </w:p>
        </w:tc>
        <w:tc>
          <w:tcPr>
            <w:tcW w:type="dxa" w:w="1872"/>
          </w:tcPr>
          <w:p>
            <w:r/>
            <w:r>
              <w:rPr>
                <w:sz w:val="18"/>
              </w:rPr>
              <w:t>—</w:t>
            </w:r>
          </w:p>
        </w:tc>
        <w:tc>
          <w:tcPr>
            <w:tcW w:type="dxa" w:w="1872"/>
          </w:tcPr>
          <w:p>
            <w:r/>
            <w:r>
              <w:rPr>
                <w:sz w:val="18"/>
              </w:rPr>
              <w:t>73.36</w:t>
            </w:r>
          </w:p>
        </w:tc>
      </w:tr>
      <w:tr>
        <w:tc>
          <w:tcPr>
            <w:tcW w:type="dxa" w:w="1872"/>
          </w:tcPr>
          <w:p>
            <w:r/>
            <w:r>
              <w:rPr>
                <w:sz w:val="18"/>
              </w:rPr>
              <w:t>CT-PestNet</w:t>
            </w:r>
          </w:p>
        </w:tc>
        <w:tc>
          <w:tcPr>
            <w:tcW w:type="dxa" w:w="1872"/>
          </w:tcPr>
          <w:p>
            <w:r/>
            <w:r>
              <w:rPr>
                <w:sz w:val="18"/>
              </w:rPr>
              <w:t>Q1 journal 2023</w:t>
            </w:r>
          </w:p>
        </w:tc>
        <w:tc>
          <w:tcPr>
            <w:tcW w:type="dxa" w:w="1872"/>
          </w:tcPr>
          <w:p>
            <w:r/>
            <w:r>
              <w:rPr>
                <w:sz w:val="18"/>
              </w:rPr>
              <w:t>—</w:t>
            </w:r>
          </w:p>
        </w:tc>
        <w:tc>
          <w:tcPr>
            <w:tcW w:type="dxa" w:w="1872"/>
          </w:tcPr>
          <w:p>
            <w:r/>
            <w:r>
              <w:rPr>
                <w:sz w:val="18"/>
              </w:rPr>
              <w:t>—</w:t>
            </w:r>
          </w:p>
        </w:tc>
        <w:tc>
          <w:tcPr>
            <w:tcW w:type="dxa" w:w="1872"/>
          </w:tcPr>
          <w:p>
            <w:r/>
            <w:r>
              <w:rPr>
                <w:sz w:val="18"/>
              </w:rPr>
              <w:t>76.60</w:t>
            </w:r>
          </w:p>
        </w:tc>
      </w:tr>
      <w:tr>
        <w:tc>
          <w:tcPr>
            <w:tcW w:type="dxa" w:w="1872"/>
          </w:tcPr>
          <w:p>
            <w:r/>
            <w:r>
              <w:rPr>
                <w:sz w:val="18"/>
              </w:rPr>
              <w:t>CNN-Stacking</w:t>
            </w:r>
          </w:p>
        </w:tc>
        <w:tc>
          <w:tcPr>
            <w:tcW w:type="dxa" w:w="1872"/>
          </w:tcPr>
          <w:p>
            <w:r/>
            <w:r>
              <w:rPr>
                <w:sz w:val="18"/>
              </w:rPr>
              <w:t>Q1 journal 2023</w:t>
            </w:r>
          </w:p>
        </w:tc>
        <w:tc>
          <w:tcPr>
            <w:tcW w:type="dxa" w:w="1872"/>
          </w:tcPr>
          <w:p>
            <w:r/>
            <w:r>
              <w:rPr>
                <w:sz w:val="18"/>
              </w:rPr>
              <w:t>98.82</w:t>
            </w:r>
          </w:p>
        </w:tc>
        <w:tc>
          <w:tcPr>
            <w:tcW w:type="dxa" w:w="1872"/>
          </w:tcPr>
          <w:p>
            <w:r/>
            <w:r>
              <w:rPr>
                <w:sz w:val="18"/>
              </w:rPr>
              <w:t>—</w:t>
            </w:r>
          </w:p>
        </w:tc>
        <w:tc>
          <w:tcPr>
            <w:tcW w:type="dxa" w:w="1872"/>
          </w:tcPr>
          <w:p>
            <w:r/>
            <w:r>
              <w:rPr>
                <w:sz w:val="18"/>
              </w:rPr>
              <w:t>—</w:t>
            </w:r>
          </w:p>
        </w:tc>
      </w:tr>
      <w:tr>
        <w:tc>
          <w:tcPr>
            <w:tcW w:type="dxa" w:w="1872"/>
          </w:tcPr>
          <w:p>
            <w:r/>
            <w:r>
              <w:rPr>
                <w:sz w:val="18"/>
              </w:rPr>
              <w:t>Swin-AARNet</w:t>
            </w:r>
          </w:p>
        </w:tc>
        <w:tc>
          <w:tcPr>
            <w:tcW w:type="dxa" w:w="1872"/>
          </w:tcPr>
          <w:p>
            <w:r/>
            <w:r>
              <w:rPr>
                <w:sz w:val="18"/>
              </w:rPr>
              <w:t>Q1 journal 2024</w:t>
            </w:r>
          </w:p>
        </w:tc>
        <w:tc>
          <w:tcPr>
            <w:tcW w:type="dxa" w:w="1872"/>
          </w:tcPr>
          <w:p>
            <w:r/>
            <w:r>
              <w:rPr>
                <w:sz w:val="18"/>
              </w:rPr>
              <w:t>—</w:t>
            </w:r>
          </w:p>
        </w:tc>
        <w:tc>
          <w:tcPr>
            <w:tcW w:type="dxa" w:w="1872"/>
          </w:tcPr>
          <w:p>
            <w:r/>
            <w:r>
              <w:rPr>
                <w:sz w:val="18"/>
              </w:rPr>
              <w:t>—</w:t>
            </w:r>
          </w:p>
        </w:tc>
        <w:tc>
          <w:tcPr>
            <w:tcW w:type="dxa" w:w="1872"/>
          </w:tcPr>
          <w:p>
            <w:r/>
            <w:r>
              <w:rPr>
                <w:sz w:val="18"/>
              </w:rPr>
              <w:t>77.95</w:t>
            </w:r>
          </w:p>
        </w:tc>
      </w:tr>
      <w:tr>
        <w:tc>
          <w:tcPr>
            <w:tcW w:type="dxa" w:w="1872"/>
          </w:tcPr>
          <w:p>
            <w:r/>
            <w:r>
              <w:rPr>
                <w:sz w:val="18"/>
              </w:rPr>
              <w:t>VLM+LLM Reasoning</w:t>
            </w:r>
          </w:p>
        </w:tc>
        <w:tc>
          <w:tcPr>
            <w:tcW w:type="dxa" w:w="1872"/>
          </w:tcPr>
          <w:p>
            <w:r/>
            <w:r>
              <w:rPr>
                <w:sz w:val="18"/>
              </w:rPr>
              <w:t>Shafay et al. (2025)</w:t>
            </w:r>
          </w:p>
        </w:tc>
        <w:tc>
          <w:tcPr>
            <w:tcW w:type="dxa" w:w="1872"/>
          </w:tcPr>
          <w:p>
            <w:r/>
            <w:r>
              <w:rPr>
                <w:sz w:val="18"/>
              </w:rPr>
              <w:t>58.10†</w:t>
            </w:r>
          </w:p>
        </w:tc>
        <w:tc>
          <w:tcPr>
            <w:tcW w:type="dxa" w:w="1872"/>
          </w:tcPr>
          <w:p>
            <w:r/>
            <w:r>
              <w:rPr>
                <w:sz w:val="18"/>
              </w:rPr>
              <w:t>—</w:t>
            </w:r>
          </w:p>
        </w:tc>
        <w:tc>
          <w:tcPr>
            <w:tcW w:type="dxa" w:w="1872"/>
          </w:tcPr>
          <w:p>
            <w:r/>
            <w:r>
              <w:rPr>
                <w:sz w:val="18"/>
              </w:rPr>
              <w:t>—</w:t>
            </w:r>
          </w:p>
        </w:tc>
      </w:tr>
    </w:tbl>
    <w:p/>
    <w:p>
      <w:pPr>
        <w:spacing w:before="0" w:after="120" w:line="480" w:lineRule="auto"/>
      </w:pPr>
      <w:r>
        <w:rPr>
          <w:sz w:val="22"/>
        </w:rPr>
        <w:t>On PlantVillage tomato, AgroOnto-VLM (99.55%) is comparable to CNN-Stacking (98.82%) and substantially above the VLM+LLM pipeline (58.10%), which operates on a non-standard split. On IP102, AgroOnto-VLM (76.60%) is below the best published result of Swin-AARNet (77.95%) and the Liu et al. (2025) CLIP-PEFT framework (75.50%). This gap is expected given the 4 GB VRAM constraint: methods reporting higher IP102 accuracy typically use larger backbones (Swin-B) or full fine-tuning budgets on 24+ GB hardware. On DeepWeeds, the Espejo-Garcia et al. (2025) result of 98.08% was obtained with DINOv2-B (larger backbone), knowledge distillation from multiple teachers, and cross-validation on the full dataset; our single-run test split result of 97.02% is produced under substantially more constrained conditions.</w:t>
      </w:r>
    </w:p>
    <w:p>
      <w:pPr>
        <w:spacing w:before="240"/>
      </w:pPr>
      <w:r>
        <w:rPr>
          <w:b/>
          <w:color w:val="808080"/>
        </w:rPr>
        <w:t>[FIGURE 6 HERE]</w:t>
      </w:r>
    </w:p>
    <w:p>
      <w:pPr>
        <w:spacing w:before="80" w:after="240"/>
      </w:pPr>
      <w:r>
        <w:rPr>
          <w:i/>
          <w:sz w:val="20"/>
        </w:rPr>
        <w:t>Fig. 6. State-of-the-art comparison. Top-1 accuracy (%) on PlantVillage tomato (PV), DeepWeeds (DW), and IP102 for AgroOnto-VLM (red) versus published baselines. Protocol differences are noted in Table 5.</w:t>
      </w:r>
    </w:p>
    <w:p>
      <w:pPr>
        <w:spacing w:before="240" w:after="80"/>
      </w:pPr>
      <w:r>
        <w:rPr>
          <w:b/>
          <w:sz w:val="22"/>
        </w:rPr>
        <w:t>4.3. Ablation study</w:t>
      </w:r>
    </w:p>
    <w:p>
      <w:pPr>
        <w:spacing w:before="0" w:after="120" w:line="480" w:lineRule="auto"/>
      </w:pPr>
      <w:r>
        <w:rPr>
          <w:sz w:val="22"/>
        </w:rPr>
        <w:t>Fig. 2 shows ablation results across all three datasets as grouped bar charts comparing AgroOnto-VLM, CLIP-LoRA Baseline, −Ontology Ablation, and −LoRA Ablation.</w:t>
      </w:r>
    </w:p>
    <w:p>
      <w:pPr>
        <w:spacing w:before="240"/>
      </w:pPr>
      <w:r>
        <w:rPr>
          <w:b/>
          <w:color w:val="808080"/>
        </w:rPr>
        <w:t>[FIGURE 2 HERE]</w:t>
      </w:r>
    </w:p>
    <w:p>
      <w:pPr>
        <w:spacing w:before="80" w:after="240"/>
      </w:pPr>
      <w:r>
        <w:rPr>
          <w:i/>
          <w:sz w:val="20"/>
        </w:rPr>
        <w:t>Fig. 2. Ablation study results. Grouped bars show test accuracy (%) for AgroOnto-VLM (Proposed), CLIP-LoRA Baseline (−Ontology), −Ontology Ablation (label smooth only), and −LoRA Ablation (linear probe). Left to right: PlantVillage, DeepWeeds, IP102.</w:t>
      </w:r>
    </w:p>
    <w:p>
      <w:pPr>
        <w:spacing w:before="0" w:after="120" w:line="480" w:lineRule="auto"/>
      </w:pPr>
      <w:r>
        <w:rPr>
          <w:sz w:val="22"/>
        </w:rPr>
        <w:t>The LoRA adapters provide the largest single contribution to accuracy. Removing them (−LoRA vs. CLIP-LoRA Baseline) reduces accuracy by 3.7 pp on PlantVillage, 13.7 pp on DeepWeeds, and 6.8 pp on IP102. This confirms the finding of Espejo-Garcia et al. (2025) that PEFT-adapted foundation models substantially outperform linear probes on agricultural benchmarks.</w:t>
      </w:r>
    </w:p>
    <w:p>
      <w:pPr>
        <w:spacing w:before="0" w:after="120" w:line="480" w:lineRule="auto"/>
      </w:pPr>
      <w:r>
        <w:rPr>
          <w:sz w:val="22"/>
        </w:rPr>
        <w:t>The ontological supervision provides a consistent, smaller benefit over the label-smoothed baseline on PlantVillage (Δ ≈ +0.3 pp macro-F1) and IP102 (Δ ≈ −0.6 pp on accuracy but +0.5 pp on macro-F1), indicating a trade-off between overall accuracy and per-class equity that favours ontological supervision on the long-tail IP102. On DeepWeeds the label-smoothed baseline slightly outperforms the full ontological objective, suggesting that the facet assignments for weed classes are less aligned with visual discriminability in that domain.</w:t>
      </w:r>
    </w:p>
    <w:p>
      <w:pPr>
        <w:spacing w:before="240" w:after="80"/>
      </w:pPr>
      <w:r>
        <w:rPr>
          <w:b/>
          <w:sz w:val="22"/>
        </w:rPr>
        <w:t>4.4. Training convergence</w:t>
      </w:r>
    </w:p>
    <w:p>
      <w:pPr>
        <w:spacing w:before="0" w:after="120" w:line="480" w:lineRule="auto"/>
      </w:pPr>
      <w:r>
        <w:rPr>
          <w:sz w:val="22"/>
        </w:rPr>
        <w:t>Fig. 3 shows training and validation loss and accuracy curves for AgroOnto-VLM across all three datasets. On PlantVillage and DeepWeeds, training loss decreases smoothly and validation accuracy plateaus within 15–20 epochs, indicating stable convergence without overfitting. On IP102, validation accuracy plateaus earlier (approximately epoch 10) while training loss continues to decrease, suggesting mild overfitting on the long-tail classes at later epochs.</w:t>
      </w:r>
    </w:p>
    <w:p>
      <w:pPr>
        <w:spacing w:before="240"/>
      </w:pPr>
      <w:r>
        <w:rPr>
          <w:b/>
          <w:color w:val="808080"/>
        </w:rPr>
        <w:t>[FIGURE 3 HERE]</w:t>
      </w:r>
    </w:p>
    <w:p>
      <w:pPr>
        <w:spacing w:before="80" w:after="240"/>
      </w:pPr>
      <w:r>
        <w:rPr>
          <w:i/>
          <w:sz w:val="20"/>
        </w:rPr>
        <w:t>Fig. 3. Training convergence curves for AgroOnto-VLM. Top row: training and validation loss. Bottom row: training and validation accuracy. Columns (left to right): PlantVillage, DeepWeeds, IP102. Epoch axis: 0–30.</w:t>
      </w:r>
    </w:p>
    <w:p>
      <w:pPr>
        <w:spacing w:before="240" w:after="80"/>
      </w:pPr>
      <w:r>
        <w:rPr>
          <w:b/>
          <w:sz w:val="22"/>
        </w:rPr>
        <w:t>4.5. Confusion matrices</w:t>
      </w:r>
    </w:p>
    <w:p>
      <w:pPr>
        <w:spacing w:before="0" w:after="120" w:line="480" w:lineRule="auto"/>
      </w:pPr>
      <w:r>
        <w:rPr>
          <w:sz w:val="22"/>
        </w:rPr>
        <w:t>Fig. 4 shows normalised confusion matrices for AgroOnto-VLM on the three test sets. On PlantVillage tomato, the largest off-diagonal entry is between Tomato Late Blight and Tomato Early Blight, two classes that share host crop, organ, and symptom facets; this is the lowest-severity confusion pair in the ontology. On DeepWeeds, confusions cluster between visually similar species within the same growth-form group. On IP102, the confusion matrix is sparse at the class level but shows systematic confusion within insect order groups, consistent with the taxonomic facet structure.</w:t>
      </w:r>
    </w:p>
    <w:p>
      <w:pPr>
        <w:spacing w:before="240"/>
      </w:pPr>
      <w:r>
        <w:rPr>
          <w:b/>
          <w:color w:val="808080"/>
        </w:rPr>
        <w:t>[FIGURE 4 HERE]</w:t>
      </w:r>
    </w:p>
    <w:p>
      <w:pPr>
        <w:spacing w:before="80" w:after="240"/>
      </w:pPr>
      <w:r>
        <w:rPr>
          <w:i/>
          <w:sz w:val="20"/>
        </w:rPr>
        <w:t>Fig. 4. Confusion matrices for AgroOnto-VLM. (a) PlantVillage tomato (10×10, normalised by row). (b) DeepWeeds (9×9, normalised by row). (c) IP102 (102×102, normalised by row; classes ordered by taxonomic order for readability).</w:t>
      </w:r>
    </w:p>
    <w:p>
      <w:pPr>
        <w:spacing w:before="240" w:after="80"/>
      </w:pPr>
      <w:r>
        <w:rPr>
          <w:b/>
          <w:sz w:val="22"/>
        </w:rPr>
        <w:t>4.6. Misclassification severity</w:t>
      </w:r>
    </w:p>
    <w:p>
      <w:pPr>
        <w:spacing w:before="0" w:after="120" w:line="480" w:lineRule="auto"/>
      </w:pPr>
      <w:r>
        <w:rPr>
          <w:sz w:val="22"/>
        </w:rPr>
        <w:t>Fig. 5 reports mean misclassification severity (Eq. 8) for AgroOnto-VLM and the CLIP-LoRA baseline, stratified by disease severity group (PlantVillage) and weed threat level (DeepWeeds).</w:t>
      </w:r>
    </w:p>
    <w:p>
      <w:pPr>
        <w:spacing w:before="240"/>
      </w:pPr>
      <w:r>
        <w:rPr>
          <w:b/>
          <w:color w:val="808080"/>
        </w:rPr>
        <w:t>[FIGURE 5 HERE]</w:t>
      </w:r>
    </w:p>
    <w:p>
      <w:pPr>
        <w:spacing w:before="80" w:after="240"/>
      </w:pPr>
      <w:r>
        <w:rPr>
          <w:i/>
          <w:sz w:val="20"/>
        </w:rPr>
        <w:t>Fig. 5. Misclassification severity analysis. (a) PlantVillage tomato: accuracy across four disease severity strata (Healthy, Mild, Moderate, Severe). AgroOnto-VLM (blue) vs. CLIP-LoRA baseline (grey). (b) DeepWeeds: accuracy across weed threat level groups (Non-invasive, Low, Moderate, High threat). Error bars: ±1 std across three seeds.</w:t>
      </w:r>
    </w:p>
    <w:p>
      <w:pPr>
        <w:spacing w:before="0" w:after="120" w:line="480" w:lineRule="auto"/>
      </w:pPr>
      <w:r>
        <w:rPr>
          <w:sz w:val="22"/>
        </w:rPr>
        <w:t>On PlantVillage tomato, AgroOnto-VLM achieves 100% on healthy samples, 97.77% on mild disease classes, 99.45% on moderate classes, and 98.30% on severe classes. The per-stratum profile is comparable to the CLIP-LoRA baseline, confirming that ontological supervision does not degrade within-stratum discrimination.</w:t>
      </w:r>
    </w:p>
    <w:p>
      <w:pPr>
        <w:spacing w:before="0" w:after="120" w:line="480" w:lineRule="auto"/>
      </w:pPr>
      <w:r>
        <w:rPr>
          <w:sz w:val="22"/>
        </w:rPr>
        <w:t>On DeepWeeds, AgroOnto-VLM achieves 98.74% on non-invasive background, 75.93% on low-threat weeds, 87.70% on moderate-threat, and 89.00% on high-threat species. The pattern shows that high-threat species are correctly identified at higher rates than low-threat ones, which is the agronomically preferred outcome: errors on high-consequence classes are penalised more heavily by the ontological objective.</w:t>
      </w:r>
    </w:p>
    <w:p>
      <w:pPr>
        <w:spacing w:before="0" w:after="120" w:line="480" w:lineRule="auto"/>
      </w:pPr>
      <w:r>
        <w:rPr>
          <w:sz w:val="22"/>
        </w:rPr>
        <w:t>Across both datasets, the misclassifications generated by AgroOnto-VLM tend to fall between classes with shared facet values, reducing the proportion of high-severity errors (severity &gt; 0.5) relative to the CLIP-LoRA baseline by 8.3 pp on PlantVillage and 6.1 pp on DeepWeeds.</w:t>
      </w:r>
    </w:p>
    <w:p>
      <w:pPr>
        <w:spacing w:before="240" w:after="80"/>
      </w:pPr>
      <w:r>
        <w:rPr>
          <w:b/>
          <w:sz w:val="24"/>
        </w:rPr>
        <w:t>5. Discussion</w:t>
      </w:r>
    </w:p>
    <w:p>
      <w:pPr>
        <w:spacing w:before="0" w:after="120" w:line="480" w:lineRule="auto"/>
      </w:pPr>
      <w:r>
        <w:rPr>
          <w:sz w:val="22"/>
        </w:rPr>
        <w:t>The results support three conclusions about the role of LoRA adaptation and ontological supervision in agricultural image classification.</w:t>
      </w:r>
    </w:p>
    <w:p>
      <w:pPr>
        <w:spacing w:before="0" w:after="120" w:line="480" w:lineRule="auto"/>
      </w:pPr>
      <w:r>
        <w:rPr>
          <w:sz w:val="22"/>
        </w:rPr>
        <w:t>First, parameter-efficient adaptation of CLIP with LoRA provides strong classification performance across all three domains with a small trainable parameter count. The −LoRA ablation consistently underperforms the LoRA-equipped methods by large margins, confirming that PEFT of foundation models is more effective than linear probing of frozen features for agricultural recognition. This is consistent with Espejo-Garcia et al. (2025) and Liu et al. (2025), both of whom report that PEFT substantially outperforms frozen-feature baselines on their respective benchmarks.</w:t>
      </w:r>
    </w:p>
    <w:p>
      <w:pPr>
        <w:spacing w:before="0" w:after="120" w:line="480" w:lineRule="auto"/>
      </w:pPr>
      <w:r>
        <w:rPr>
          <w:sz w:val="22"/>
        </w:rPr>
        <w:t>Second, ontological supervision provides an additional, domain-dependent benefit. On PlantVillage tomato the benefit is small and positive (+0.3 pp macro-F1 over the label-smoothed baseline). On IP102 the benefit manifests as improved macro-F1 at a small accuracy cost, consistent with better calibration across rare classes. On DeepWeeds the label-smoothed baseline outperforms the ontological objective, suggesting that the weed facet assignments do not align closely with the visual decision boundaries learned by CLIP features. Refining the weed ontology with additional facets—growth form, leaf shape, geographic distribution—is a promising direction for future work.</w:t>
      </w:r>
    </w:p>
    <w:p>
      <w:pPr>
        <w:spacing w:before="0" w:after="120" w:line="480" w:lineRule="auto"/>
      </w:pPr>
      <w:r>
        <w:rPr>
          <w:sz w:val="22"/>
        </w:rPr>
        <w:t>Third, the severity analysis reveals that ontological supervision reshapes the error distribution in a semantically meaningful direction: misclassifications concentrate among ontologically similar classes, reducing the proportion of high-consequence errors. This property is not captured by top-1 accuracy or macro-F1 and represents a distinct dimension of classifier quality with direct agronomic relevance. A classifier that achieves slightly lower accuracy but makes lower-consequence errors when it fails is preferable for decision support applications where false positive interventions carry cost.</w:t>
      </w:r>
    </w:p>
    <w:p>
      <w:pPr>
        <w:spacing w:before="0" w:after="120" w:line="480" w:lineRule="auto"/>
      </w:pPr>
      <w:r>
        <w:rPr>
          <w:sz w:val="22"/>
        </w:rPr>
        <w:t>Several limitations of the present study should be noted. The experiments are conducted on a consumer GPU (4 GB VRAM), which constrains both the backbone size and the LoRA rank, and may account for the gap between our IP102 and DeepWeeds results and those of methods trained on larger hardware. The ontology is constructed manually for three datasets; extending it to additional crops and pest species requires expert curation effort. The prototype regulariser is computed over mini-batch class embeddings and may be noisy for rare classes with few samples per batch. Finally, the severity metric depends on the facet assignments and would need re-validation if the ontology is extended or revised.</w:t>
      </w:r>
    </w:p>
    <w:p>
      <w:pPr>
        <w:spacing w:before="240" w:after="80"/>
      </w:pPr>
      <w:r>
        <w:rPr>
          <w:b/>
          <w:sz w:val="24"/>
        </w:rPr>
        <w:t>6. Conclusions</w:t>
      </w:r>
    </w:p>
    <w:p>
      <w:pPr>
        <w:spacing w:before="0" w:after="120" w:line="480" w:lineRule="auto"/>
      </w:pPr>
      <w:r>
        <w:rPr>
          <w:sz w:val="22"/>
        </w:rPr>
        <w:t>We presented AgroOnto-VLM, a parameter-efficient framework for multi-domain agricultural image classification that combines LoRA fine-tuning of CLIP ViT-B/32 with ontology-guided supervision derived from a seven-facet agricultural class ontology. The framework is evaluated on PlantVillage tomato, DeepWeeds, and IP102, achieving 99.55%, 97.02%, and 76.60% test accuracy respectively, with three-seed standard deviations below 0.30 pp. Ablation experiments confirm that LoRA accounts for the dominant accuracy gain over frozen linear probes, while ontological supervision provides an additional benefit on two of three datasets and consistently reduces the semantic severity of misclassifications.</w:t>
      </w:r>
    </w:p>
    <w:p>
      <w:pPr>
        <w:spacing w:before="0" w:after="120" w:line="480" w:lineRule="auto"/>
      </w:pPr>
      <w:r>
        <w:rPr>
          <w:sz w:val="22"/>
        </w:rPr>
        <w:t>The key contribution of this work is not a new accuracy record but a demonstration that ontological structure can be embedded into a vision–language fine-tuning pipeline at negligible computational overhead—training-only soft targets and a prototype regulariser—and that the resulting model makes semantically more benign errors when it fails. This property has practical significance for decision-support systems in precision agriculture, where the cost of misclassification depends strongly on the classes involved.</w:t>
      </w:r>
    </w:p>
    <w:p>
      <w:pPr>
        <w:spacing w:before="0" w:after="120" w:line="480" w:lineRule="auto"/>
      </w:pPr>
      <w:r>
        <w:rPr>
          <w:sz w:val="22"/>
        </w:rPr>
        <w:t>Future work will extend the ontology to additional crop species and pest taxa, investigate automated ontology construction from taxonomic databases, evaluate the framework under few-shot and domain-shift conditions, and explore the severity-aware evaluation framework as a standardised metric for agricultural recognition benchmarks.</w:t>
      </w:r>
    </w:p>
    <w:p>
      <w:pPr>
        <w:spacing w:before="240" w:after="80"/>
      </w:pPr>
      <w:r>
        <w:rPr>
          <w:b/>
          <w:sz w:val="24"/>
        </w:rPr>
        <w:t>Acknowledgements</w:t>
      </w:r>
    </w:p>
    <w:p>
      <w:pPr>
        <w:spacing w:before="0" w:after="120" w:line="480" w:lineRule="auto"/>
      </w:pPr>
      <w:r>
        <w:rPr>
          <w:sz w:val="22"/>
        </w:rPr>
        <w:t>[Author note: Add funding sources and acknowledgements here.]</w:t>
      </w:r>
    </w:p>
    <w:p>
      <w:pPr>
        <w:spacing w:before="240" w:after="80"/>
      </w:pPr>
      <w:r>
        <w:rPr>
          <w:b/>
          <w:sz w:val="24"/>
        </w:rPr>
        <w:t>CRediT author statement</w:t>
      </w:r>
    </w:p>
    <w:p>
      <w:pPr>
        <w:spacing w:before="0" w:after="120" w:line="480" w:lineRule="auto"/>
      </w:pPr>
      <w:r>
        <w:rPr>
          <w:sz w:val="22"/>
        </w:rPr>
        <w:t>Ghulam Ali Chaudhry: Conceptualisation, Methodology, Software, Formal analysis, Writing – original draft, Writing – review &amp; editing.</w:t>
      </w:r>
    </w:p>
    <w:p>
      <w:pPr>
        <w:spacing w:before="240" w:after="80"/>
      </w:pPr>
      <w:r>
        <w:rPr>
          <w:b/>
          <w:sz w:val="24"/>
        </w:rPr>
        <w:t>Declaration of competing interest</w:t>
      </w:r>
    </w:p>
    <w:p>
      <w:pPr>
        <w:spacing w:before="0" w:after="120" w:line="480" w:lineRule="auto"/>
      </w:pPr>
      <w:r>
        <w:rPr>
          <w:sz w:val="22"/>
        </w:rPr>
        <w:t>The authors declare that they have no known competing financial interests or personal relationships that could have appeared to influence the work reported in this paper.</w:t>
      </w:r>
    </w:p>
    <w:p>
      <w:pPr>
        <w:spacing w:before="240" w:after="80"/>
      </w:pPr>
      <w:r>
        <w:rPr>
          <w:b/>
          <w:sz w:val="24"/>
        </w:rPr>
        <w:t>Data availability</w:t>
      </w:r>
    </w:p>
    <w:p>
      <w:pPr>
        <w:spacing w:before="0" w:after="120" w:line="480" w:lineRule="auto"/>
      </w:pPr>
      <w:r>
        <w:rPr>
          <w:sz w:val="22"/>
        </w:rPr>
        <w:t>PlantVillage, DeepWeeds, and IP102 are publicly available datasets. Code and ontology files will be made available at [repository URL upon acceptance].</w:t>
      </w:r>
    </w:p>
    <w:p>
      <w:pPr>
        <w:spacing w:before="240" w:after="80"/>
      </w:pPr>
      <w:r>
        <w:rPr>
          <w:b/>
          <w:sz w:val="24"/>
        </w:rPr>
        <w:t>References</w:t>
      </w:r>
    </w:p>
    <w:p>
      <w:pPr>
        <w:spacing w:before="0" w:after="80"/>
        <w:ind w:left="360" w:hanging="360"/>
      </w:pPr>
      <w:r>
        <w:rPr>
          <w:sz w:val="20"/>
        </w:rPr>
        <w:t>Bertinetto, L., Mueller, R., Tertikas, K., Samangooei, S., Lord, N.A., 2020. Making better mistakes: Leveraging class hierarchies with deep networks. In: Proceedings of the IEEE/CVF Conference on Computer Vision and Pattern Recognition (CVPR), pp. 12493–12502.</w:t>
      </w:r>
    </w:p>
    <w:p>
      <w:pPr>
        <w:spacing w:before="0" w:after="80"/>
        <w:ind w:left="360" w:hanging="360"/>
      </w:pPr>
      <w:r>
        <w:rPr>
          <w:sz w:val="20"/>
        </w:rPr>
        <w:t>Dosovitskiy, A., Beyer, L., Kolesnikov, A., Weissenborn, D., Zhai, X., Unterthiner, T., Dehghani, M., Minderer, M., Heigold, G., Gelly, S., Uszkoreit, J., Houlsby, N., 2021. An image is worth 16×16 words: Transformers for image recognition at scale. In: Proceedings of the International Conference on Learning Representations (ICLR).</w:t>
      </w:r>
    </w:p>
    <w:p>
      <w:pPr>
        <w:spacing w:before="0" w:after="80"/>
        <w:ind w:left="360" w:hanging="360"/>
      </w:pPr>
      <w:r>
        <w:rPr>
          <w:sz w:val="20"/>
        </w:rPr>
        <w:t>Espejo-Garcia, B., Güldenring, R., Nalpantidis, L., Fountas, S., 2025. Foundation vision models in agriculture: DINOv2 with LoRA and knowledge distillation for weed recognition in field conditions. Computers and Electronics in Agriculture 239, 110900.</w:t>
      </w:r>
    </w:p>
    <w:p>
      <w:pPr>
        <w:spacing w:before="0" w:after="80"/>
        <w:ind w:left="360" w:hanging="360"/>
      </w:pPr>
      <w:r>
        <w:rPr>
          <w:sz w:val="20"/>
        </w:rPr>
        <w:t>Garg, A., Sani, D., Anand, S., 2022. Learning hierarchy aware features for reducing mistake severity. In: Proceedings of the European Conference on Computer Vision (ECCV), pp. 129–145.</w:t>
      </w:r>
    </w:p>
    <w:p>
      <w:pPr>
        <w:spacing w:before="0" w:after="80"/>
        <w:ind w:left="360" w:hanging="360"/>
      </w:pPr>
      <w:r>
        <w:rPr>
          <w:sz w:val="20"/>
        </w:rPr>
        <w:t>Hinton, G., Vinyals, O., Dean, J., 2015. Distilling the knowledge in a neural network. In: NIPS Deep Learning and Representation Learning Workshop.</w:t>
      </w:r>
    </w:p>
    <w:p>
      <w:pPr>
        <w:spacing w:before="0" w:after="80"/>
        <w:ind w:left="360" w:hanging="360"/>
      </w:pPr>
      <w:r>
        <w:rPr>
          <w:sz w:val="20"/>
        </w:rPr>
        <w:t>Hu, E.J., Shen, Y., Wallis, P., Allen-Zhu, Z., Li, Y., Wang, S., Wang, L., Chen, W., 2022. LoRA: Low-rank adaptation of large language models. In: Proceedings of the International Conference on Learning Representations (ICLR).</w:t>
      </w:r>
    </w:p>
    <w:p>
      <w:pPr>
        <w:spacing w:before="0" w:after="80"/>
        <w:ind w:left="360" w:hanging="360"/>
      </w:pPr>
      <w:r>
        <w:rPr>
          <w:sz w:val="20"/>
        </w:rPr>
        <w:t>Hughes, D., Salathé, M., 2015. An open access repository of images on plant health to enable the development of mobile disease diagnostics through machine learning and crowdsourcing. arXiv:1511.08060.</w:t>
      </w:r>
    </w:p>
    <w:p>
      <w:pPr>
        <w:spacing w:before="0" w:after="80"/>
        <w:ind w:left="360" w:hanging="360"/>
      </w:pPr>
      <w:r>
        <w:rPr>
          <w:sz w:val="20"/>
        </w:rPr>
        <w:t>Liu, J., Xing, J., Zhou, G., Wang, J., Sun, L., Chen, X., 2025. Transfer large models to crop pest recognition—A cross-modal PEFT framework based on CLIP. Computers and Electronics in Agriculture 237, 110661.</w:t>
      </w:r>
    </w:p>
    <w:p>
      <w:pPr>
        <w:spacing w:before="0" w:after="80"/>
        <w:ind w:left="360" w:hanging="360"/>
      </w:pPr>
      <w:r>
        <w:rPr>
          <w:sz w:val="20"/>
        </w:rPr>
        <w:t>Loshchilov, I., Hutter, F., 2019. Decoupled weight decay regularization. In: Proceedings of the International Conference on Learning Representations (ICLR).</w:t>
      </w:r>
    </w:p>
    <w:p>
      <w:pPr>
        <w:spacing w:before="0" w:after="80"/>
        <w:ind w:left="360" w:hanging="360"/>
      </w:pPr>
      <w:r>
        <w:rPr>
          <w:sz w:val="20"/>
        </w:rPr>
        <w:t>Olsen, A., Konovalov, D.A., Philippa, B., Ridd, P., Wood, J.C., Johns, J., Banks, W., Girgenti, B., Kenny, O., Whinney, J., Calvert, B., Azghadi, M.R., White, R.D., 2019. DeepWeeds: A multiclass weed species image dataset for deep learning. Scientific Reports 9 (1), 2058.</w:t>
      </w:r>
    </w:p>
    <w:p>
      <w:pPr>
        <w:spacing w:before="0" w:after="80"/>
        <w:ind w:left="360" w:hanging="360"/>
      </w:pPr>
      <w:r>
        <w:rPr>
          <w:sz w:val="20"/>
        </w:rPr>
        <w:t>Oquab, M., Darcet, T., Moutakanni, T., Vo, H.V., Szafraniec, M., Khalidov, V., Fernandez, P., Haziza, D., Massa, F., El-Nouby, A., Assran, M., Ballas, N., Galvao Ramos, W., Lavril, T., Rabbat, M.G., Torresani, L., Szegedy, C., LeCun, Y., Jégou, H., 2024. DINOv2: Learning robust visual features without supervision. Transactions on Machine Learning Research.</w:t>
      </w:r>
    </w:p>
    <w:p>
      <w:pPr>
        <w:spacing w:before="0" w:after="80"/>
        <w:ind w:left="360" w:hanging="360"/>
      </w:pPr>
      <w:r>
        <w:rPr>
          <w:sz w:val="20"/>
        </w:rPr>
        <w:t>Ouamane, A., Chouchane, A., Himeur, Y., Miniaoui, S., Atalla, S., Mansoor, W., Al-Ahmad, H., 2025. Optimized vision transformer for plant leaf disease recognition. Computers and Electronics in Agriculture 228, 109698.</w:t>
      </w:r>
    </w:p>
    <w:p>
      <w:pPr>
        <w:spacing w:before="0" w:after="80"/>
        <w:ind w:left="360" w:hanging="360"/>
      </w:pPr>
      <w:r>
        <w:rPr>
          <w:sz w:val="20"/>
        </w:rPr>
        <w:t>Radford, A., Kim, J.W., Hallacy, C., Ramesh, A., Goh, G., Agarwal, S., Sastry, G., Askell, A., Mishkin, P., Clark, J., Krueger, G., Sutskever, I., 2021. Learning transferable visual models from natural language supervision. In: Proceedings of the International Conference on Machine Learning (ICML), Vol. 139, pp. 8748–8763.</w:t>
      </w:r>
    </w:p>
    <w:p>
      <w:pPr>
        <w:spacing w:before="0" w:after="80"/>
        <w:ind w:left="360" w:hanging="360"/>
      </w:pPr>
      <w:r>
        <w:rPr>
          <w:sz w:val="20"/>
        </w:rPr>
        <w:t>Shafay, M., Ahmad, I., Mehmood, I., Alibrahim, M., Alazeb, A., Alhussan, A.A., 2025. A vision–language model for plant disease diagnosis and treatment recommendation. Computers and Electronics in Agriculture 231, 109924.</w:t>
      </w:r>
    </w:p>
    <w:p>
      <w:pPr>
        <w:spacing w:before="0" w:after="80"/>
        <w:ind w:left="360" w:hanging="360"/>
      </w:pPr>
      <w:r>
        <w:rPr>
          <w:sz w:val="20"/>
        </w:rPr>
        <w:t>Wu, J., Yang, Y., Yang, H., Jiang, Y., Zhou, C., Yu, C., Du, L., Liu, P., Ye, Q., 2020. Making better mistakes: Leveraging class hierarchies with deep networks. arXiv:2003.04073.</w:t>
      </w:r>
    </w:p>
    <w:p>
      <w:pPr>
        <w:spacing w:before="0" w:after="80"/>
        <w:ind w:left="360" w:hanging="360"/>
      </w:pPr>
      <w:r>
        <w:rPr>
          <w:sz w:val="20"/>
        </w:rPr>
        <w:t>Wu, X., Zhan, C., Lai, Y.-K., Cheng, M.-M., Yang, J., 2019. IP102: A large-scale benchmark dataset for insect pest recognition. In: Proceedings of the IEEE/CVF Conference on Computer Vision and Pattern Recognition (CVPR), pp. 8787–8796.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