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Ontology-Guided Adaptation of Vision–Language Models for Agricultural Disease, Weed, and Pest Recognition</w:t>
      </w:r>
    </w:p>
    <w:p>
      <w:pPr>
        <w:pStyle w:val="Heading1"/>
      </w:pPr>
      <w:r>
        <w:t>Abstract</w:t>
      </w:r>
    </w:p>
    <w:p>
      <w:pPr>
        <w:spacing w:before="0" w:after="120"/>
      </w:pPr>
      <w:r>
        <w:t>Standard fine-tuning of vision models for agricultural image recognition treats the label space as a flat, unordered set: every wrong prediction is penalized equally, whether the mistake is between two fungi from the same genus or between a fungal disease and a healthy leaf. Yet agricultural classes carry rich relational structure—host crop, affected organ, pathogen lineage, symptom pattern—and this structure determines the real-world cost of each error. A classifier that confuses closely related pathogens will look identical in top-1 accuracy to one that confuses pathogens with weeds, but the two classifiers recommend entirely different management actions.</w:t>
        <w:br/>
        <w:br/>
        <w:t>We present AgroOnto-VLM, a method that injects this relational structure directly into the fine-tuning objective of a CLIP ViT-B/32 backbone adapted with LoRA. The method constructs a multi-faceted domain ontology—seven independent facets per class: host crop, plant organ, pathogen type, taxonomic order, family, genus, and symptom—and derives per-class soft target distributions from pairwise facet similarity. These distributions replace one-hot labels during training, encoding not only which class is correct but how semantically far each alternative is. No ontology is required at inference time.</w:t>
        <w:br/>
        <w:br/>
        <w:t>We evaluate across three public benchmarks that span the three agricultural recognition tasks—PlantVillage tomato (10 disease classes), DeepWeeds (9 weed species), and IP102 (102 insect pest species)—under a single fixed protocol. LoRA adaptation is the dominant accuracy contributor: removing it costs 3.7–13.7 percentage points depending on the dataset. Ontological supervision adds a consistent further benefit on benchmarks with taxonomically dense class sets (+0.93 pp on DeepWeeds, +1.68 pp on IP102), and measurably reshapes the error distribution: misclassifications under ontological supervision cluster between facet-similar classes, reducing average error severity relative to a flat-label LoRA baseline. Three-seed experiments confirm stability: 98.69 ± 0.26% on PlantVillage, 92.91 ± 0.14% on DeepWeeds, and 71.66 ± 0.29% on IP102. A unified framework that captures disease, weed, and pest tasks simultaneously under semantic supervision is, to our knowledge, the first of its kind in the agricultural vision–language literature.</w:t>
      </w:r>
    </w:p>
    <w:p>
      <w:pPr>
        <w:spacing w:before="0" w:after="120"/>
      </w:pPr>
      <w:r>
        <w:t>Keywords: vision–language model; CLIP; LoRA; agricultural ontology; plant disease; weed recognition; insect pest; fine-tuning.</w:t>
      </w:r>
    </w:p>
    <w:p>
      <w:pPr>
        <w:pStyle w:val="Heading1"/>
      </w:pPr>
      <w:r>
        <w:t>1. Introduction</w:t>
      </w:r>
    </w:p>
    <w:p>
      <w:pPr>
        <w:spacing w:before="0" w:after="120"/>
      </w:pPr>
      <w:r>
        <w:t>Crop losses attributed to diseases, weed competition, and insect pests account for an estimated 20–40% of global agricultural production annually (FAO, 2021). Early and accurate identification of the causal agent is a prerequisite for targeted intervention, yet the task remains challenging in practice: trained agronomists are unevenly distributed, and visual symptoms often overlap across causative agents at early stages. Automated image-based recognition systems offer a scalable complement to human expertise.</w:t>
      </w:r>
    </w:p>
    <w:p>
      <w:pPr>
        <w:spacing w:before="0" w:after="120"/>
      </w:pPr>
      <w:r>
        <w:t>Deep convolutional networks trained on large annotated datasets have demonstrated strong performance on agricultural recognition benchmarks. The PlantVillage dataset [1] established tomato leaf disease classification as a standard task; the IP102 benchmark [2] extended evaluation to 102 insect pest species across multiple crop hosts; and DeepWeeds [3] provided a geographically grounded weed recognition challenge. Convolutional architectures trained on these datasets routinely achieve over 95% accuracy on PlantVillage tomato and IP102 subsets, and recent vision transformer configurations push performance higher still [4].</w:t>
      </w:r>
    </w:p>
    <w:p>
      <w:pPr>
        <w:spacing w:before="0" w:after="120"/>
      </w:pPr>
      <w:r>
        <w:t>The introduction of large self-supervised and vision–language foundation models has shifted the dominant approach from training task-specific networks from scratch toward adapting pre-trained representations to new domains. CLIP [5] and DINOv2 [6] offer feature representations that generalize broadly with minimal task-specific data, and parameter-efficient fine-tuning (PEFT) methods—most notably LoRA [7]—reduce the trainable parameter count by orders of magnitude while preserving or improving accuracy. Espejo-Garcia et al. [8] demonstrate this paradigm directly in agriculture, showing that DINOv2 features adapted with LoRA outperform fully supervised convolutional baselines on disease and weed datasets. Liu et al. [9] extend the paradigm to pest recognition using a cross-modal CLIP-based framework with PEFT.</w:t>
      </w:r>
    </w:p>
    <w:p>
      <w:pPr>
        <w:spacing w:before="0" w:after="120"/>
      </w:pPr>
      <w:r>
        <w:t>What this body of work does not address is the *quality* of errors. Agricultural classes are not arbitrary labels—they are positions in a well-understood taxonomic and agronomic space. A fungal leaf blight and a bacterial leaf spot are both diseases of the same organ on the same crop, caused by different kingdoms of pathogen. Confusing them implies a wrong fungicide-versus-bactericide decision. Confusing either with a spider mite infestation—an entirely different kingdom, a different management regime—is a qualitatively more costly mistake. Standard cross-entropy training assigns equal penalty to both errors. The gradient signal carries no information about which errors matter more.</w:t>
      </w:r>
    </w:p>
    <w:p>
      <w:pPr>
        <w:spacing w:before="0" w:after="120"/>
      </w:pPr>
      <w:r>
        <w:t>The general computer vision literature has developed hierarchy-aware objectives that address this, but they assume a single-axis hierarchy (a WordNet tree, a phylogenetic path). Agricultural classes require a multi-faceted description: a single class is simultaneously characterized by its host, organ, pathogen type, and taxonomic lineage. No single hierarchy captures all four dimensions. Moreover, this work is confined to general-purpose benchmarks and to convolutional or standard transformer backbones. No published study integrates a multi-faceted agricultural ontology into the fine-tuning of a vision–language foundation model.</w:t>
      </w:r>
    </w:p>
    <w:p>
      <w:pPr>
        <w:spacing w:before="0" w:after="120"/>
      </w:pPr>
      <w:r>
        <w:t>AgroOnto-VLM addresses this gap. It is not primarily an accuracy method—LoRA adaptation already handles accuracy. It is an error-quality method: it makes the adaptation objective aware of the relational structure of the agricultural domain, so that the model, when wrong, is wrong in semantically cheaper ways. This distinction matters for decision support: a classifier whose errors cluster within the same pathogen family will trigger fewer wrong management interventions than one whose errors are random across the class space, even at the same top-1 accuracy.</w:t>
      </w:r>
    </w:p>
    <w:p>
      <w:pPr>
        <w:pStyle w:val="Heading2"/>
      </w:pPr>
      <w:r>
        <w:t>1.1. Contributions</w:t>
      </w:r>
    </w:p>
    <w:p>
      <w:pPr>
        <w:spacing w:before="0" w:after="120"/>
      </w:pPr>
      <w:r>
        <w:t>The specific contributions of this work are:</w:t>
      </w:r>
    </w:p>
    <w:p>
      <w:pPr>
        <w:pStyle w:val="ListBullet"/>
        <w:spacing w:after="60"/>
      </w:pPr>
      <w:r>
        <w:t>A multi-faceted agricultural ontology covering seven independent facets per class (host crop, plant organ, pathogen type, taxonomic order, family, genus, symptom). The ontology spans all three benchmark datasets—10 disease classes, 9 weed species, and 102 insect pest species—and is released with the code.</w:t>
      </w:r>
    </w:p>
    <w:p>
      <w:pPr>
        <w:pStyle w:val="ListBullet"/>
        <w:spacing w:after="60"/>
      </w:pPr>
      <w:r>
        <w:t>An ontology-guided training objective that integrates facet-derived soft targets into LoRA fine-tuning of CLIP ViT-B/32. The method adds no inference-time overhead: the ontology is used only during training.</w:t>
      </w:r>
    </w:p>
    <w:p>
      <w:pPr>
        <w:pStyle w:val="ListBullet"/>
        <w:spacing w:after="60"/>
      </w:pPr>
      <w:r>
        <w:t>A controlled cross-benchmark evaluation on PlantVillage tomato, DeepWeeds, and IP102 under a fixed training protocol with three-seed robustness confirmation.</w:t>
      </w:r>
    </w:p>
    <w:p>
      <w:pPr>
        <w:pStyle w:val="ListBullet"/>
        <w:spacing w:after="60"/>
      </w:pPr>
      <w:r>
        <w:t>An analysis of misclassification severity showing that ontological supervision reduces the average semantic distance of errors relative to flat-label LoRA, independent of accuracy differences.</w:t>
      </w:r>
    </w:p>
    <w:p>
      <w:pPr>
        <w:spacing w:before="0" w:after="120"/>
      </w:pPr>
      <w:r>
        <w:t>The remainder of this paper is organized as follows. Section 2 reviews related work. Section 3 describes the proposed method. Section 4 presents experimental setup. Section 5 reports and discusses results. Section 6 concludes.</w:t>
      </w:r>
    </w:p>
    <w:p>
      <w:pPr>
        <w:pStyle w:val="Heading1"/>
      </w:pPr>
      <w:r>
        <w:t>2. Related Work</w:t>
      </w:r>
    </w:p>
    <w:p>
      <w:pPr>
        <w:pStyle w:val="Heading2"/>
      </w:pPr>
      <w:r>
        <w:t>2.1. Deep Learning for Agricultural Image Recognition</w:t>
      </w:r>
    </w:p>
    <w:p>
      <w:pPr>
        <w:spacing w:before="0" w:after="120"/>
      </w:pPr>
      <w:r>
        <w:t>Automated recognition of crop diseases, weeds, and pests has been studied extensively with convolutional neural networks trained on public benchmarks. The PlantVillage dataset [1] catalyzed early work on leaf disease classification. The IP102 benchmark [2] extended the field to 102 insect pest species across 14 host crops. Olsen et al. [3] introduced DeepWeeds, a dataset of 17,509 images covering nine weed species in northern Australia, and reported cross-validation accuracy of 95.7% with an Inception V3 baseline.</w:t>
      </w:r>
    </w:p>
    <w:p>
      <w:pPr>
        <w:spacing w:before="0" w:after="120"/>
      </w:pPr>
      <w:r>
        <w:t>Subsequent improvements address architecture choices. Ouamane et al. [4] systematically optimize vision transformer configurations for plant disease detection. Rahman et al. [14] propose an adaptive deep learning framework for weed species classification. Asghar et al. [15] introduce a lightweight hybrid model for plant disease classification, reporting accuracy improvements over convolutional baselines on PlantVillage. Venkateswara and Padmanabhan [16] focus on agricultural pest monitoring using deep classifiers.</w:t>
      </w:r>
    </w:p>
    <w:p>
      <w:pPr>
        <w:spacing w:before="0" w:after="120"/>
      </w:pPr>
      <w:r>
        <w:t>All of these methods retain flat one-hot supervision. The label space is treated as an unordered set, and all misclassifications are penalized identically at training time.</w:t>
      </w:r>
    </w:p>
    <w:p>
      <w:pPr>
        <w:pStyle w:val="Heading2"/>
      </w:pPr>
      <w:r>
        <w:t>2.2. Foundation Models and Parameter-Efficient Fine-Tuning</w:t>
      </w:r>
    </w:p>
    <w:p>
      <w:pPr>
        <w:spacing w:before="0" w:after="120"/>
      </w:pPr>
      <w:r>
        <w:t>Large self-supervised and vision–language foundation models provide feature representations that transfer broadly across visual tasks without task-specific pretraining. CLIP [5] aligns image and text features through contrastive learning on 400 million image–text pairs; DINOv2 [6] learns visual representations through self-distillation without labels. Both models produce features that often outperform supervised convolutional baselines on new tasks with minimal adaptation.</w:t>
      </w:r>
    </w:p>
    <w:p>
      <w:pPr>
        <w:spacing w:before="0" w:after="120"/>
      </w:pPr>
      <w:r>
        <w:t>LoRA [7] has become the dominant PEFT method for transformer-based models. It injects trainable low-rank decomposition matrices—parameterized as BA where B ∈ ℝ^(d×r) and A ∈ ℝ^(r×k), with rank r ≪ min(d, k)—into frozen attention weight matrices. This reduces trainable parameters by 99% or more while maintaining downstream accuracy. CLIP-Adapter [17] and Tip-Adapter [18] take complementary approaches, adding small learned projection modules on top of frozen CLIP features.</w:t>
      </w:r>
    </w:p>
    <w:p>
      <w:pPr>
        <w:spacing w:before="0" w:after="120"/>
      </w:pPr>
      <w:r>
        <w:t>In agriculture, Espejo-Garcia et al. [8] provide the most directly relevant study: they show that DINOv2 features with LoRA adaptation outperform supervised convolutional networks on disease and weed identification tasks. Liu et al. [9] demonstrate that CLIP with cross-modal PEFT achieves competitive accuracy on IP102 with substantially fewer trainable parameters than full fine-tuning. These studies establish that parameter-efficient adaptation of foundation models is viable in agriculture. They do not address the structure of the supervision signal itself.</w:t>
      </w:r>
    </w:p>
    <w:p>
      <w:pPr>
        <w:pStyle w:val="Heading2"/>
      </w:pPr>
      <w:r>
        <w:t>2.3. Agricultural Vision–Language Models</w:t>
      </w:r>
    </w:p>
    <w:p>
      <w:pPr>
        <w:spacing w:before="0" w:after="120"/>
      </w:pPr>
      <w:r>
        <w:t>Vision–language models are particularly attractive in agriculture because the text encoder admits natural-language class descriptions, offering a route to zero-shot transfer. Nguyen Quoc et al. [19] develop a vision–language foundation model for leaf disease identification. Zhang et al. [20] propose lightweight CLIP adaptation for few-shot plant disease recognition. Shafay et al. [21] combine vision–language features with LLM-based reasoning for decision-oriented tomato disease classification.</w:t>
      </w:r>
    </w:p>
    <w:p>
      <w:pPr>
        <w:spacing w:before="0" w:after="120"/>
      </w:pPr>
      <w:r>
        <w:t>In all of these approaches, the text encoder is used to generate per-class prompt embeddings matched against image features. The relational structure among classes—that two pathogen types from the same taxonomic order are semantically closer than two from different kingdoms—is not used in the training objective.</w:t>
      </w:r>
    </w:p>
    <w:p>
      <w:pPr>
        <w:pStyle w:val="Heading2"/>
      </w:pPr>
      <w:r>
        <w:t>2.4. Hierarchy-Aware and Ontology-Guided Learning</w:t>
      </w:r>
    </w:p>
    <w:p>
      <w:pPr>
        <w:spacing w:before="0" w:after="120"/>
      </w:pPr>
      <w:r>
        <w:t>A parallel line of work in general computer vision addresses the flat-label limitation directly. Bertinetto et al. [10] formalize mistake severity using a class hierarchy and propose objectives that penalize semantically distant errors more heavily. Garg et al. [11] show that hierarchy-aware features can simultaneously maintain top-1 accuracy while reducing mistake severity. Chan et al. [22] propose hierarchy-aware cross-entropy that distributes label mass among semantically related classes. Lu et al. [12] introduce bidirectional logit trees for fine-grained classification. Jain et al. [13] use a coarse classifier at test time to amend fine-grained predictions.</w:t>
      </w:r>
    </w:p>
    <w:p>
      <w:pPr>
        <w:spacing w:before="0" w:after="120"/>
      </w:pPr>
      <w:r>
        <w:t>This literature is developed almost exclusively on general-purpose benchmarks with single-axis hierarchies. Agricultural classes require multi-faceted representation: a disease class is simultaneously characterized by its host, organ, pathogen type, and taxonomic lineage. No prior work integrates a multi-faceted agricultural ontology into the fine-tuning of a vision–language foundation model.</w:t>
      </w:r>
    </w:p>
    <w:p>
      <w:pPr>
        <w:pStyle w:val="Heading1"/>
      </w:pPr>
      <w:r>
        <w:t>3. Methodology</w:t>
      </w:r>
    </w:p>
    <w:p>
      <w:pPr>
        <w:pStyle w:val="Heading2"/>
      </w:pPr>
      <w:r>
        <w:t>3.1. Overview</w:t>
      </w:r>
    </w:p>
    <w:p>
      <w:pPr>
        <w:spacing w:before="0" w:after="120"/>
      </w:pPr>
      <w:r>
        <w:t>AgroOnto-VLM adapts a frozen CLIP ViT-B/32 backbone to an agricultural classification task using low-rank adapters, and supervises adaptation with soft targets derived from a multi-faceted domain ontology rather than one-hot labels. Fig. 1 shows the overall architecture. At training time, each ground-truth class label is converted to a distribution over the class set using the ontology-derived similarity matrix. This distribution is combined with a standard hard label and a uniform smoothing term to form the composite training target. At inference, the adapted image encoder produces a feature vector that is compared against a frozen set of class text embeddings using cosine similarity, and the class with the highest similarity score is returned. No ontology access is required at inference time.</w:t>
      </w:r>
    </w:p>
    <w:p>
      <w:pPr>
        <w:spacing w:before="120" w:after="80"/>
        <w:jc w:val="center"/>
      </w:pPr>
      <w:r>
        <w:rPr>
          <w:b/>
          <w:color w:val="999999"/>
        </w:rPr>
        <w:t>[FIGURE 1 HERE]</w:t>
      </w:r>
    </w:p>
    <w:p>
      <w:pPr>
        <w:spacing w:after="200"/>
        <w:jc w:val="center"/>
      </w:pPr>
      <w:r>
        <w:rPr>
          <w:b w:val="0"/>
          <w:i w:val="0"/>
          <w:sz w:val="18"/>
        </w:rPr>
        <w:t>Fig. 1. System architecture of AgroOnto-VLM. The frozen CLIP backbone is adapted using LoRA modules (rank r=8) inserted into the final four transformer blocks. At training time, the ontology-derived soft target distribution q is computed from the ground-truth class and used in the composite loss L. At inference, only the image encoder and class text embeddings are used.</w:t>
      </w:r>
    </w:p>
    <w:p>
      <w:pPr>
        <w:pStyle w:val="Heading2"/>
      </w:pPr>
      <w:r>
        <w:t>3.2. Multi-Faceted Ontology Construction</w:t>
      </w:r>
    </w:p>
    <w:p>
      <w:pPr>
        <w:spacing w:before="0" w:after="120"/>
      </w:pPr>
      <w:r>
        <w:t>Let C = {c₁, …, c_K} denote the class set of a given dataset. Each class is annotated along seven facets: host crop, plant organ, pathogen type, taxonomic order, family, genus, and symptom. Formally, each class c_i is represented by a facet vector:</w:t>
      </w:r>
    </w:p>
    <w:p>
      <w:pPr>
        <w:spacing w:before="60" w:after="60"/>
        <w:ind w:left="720"/>
      </w:pPr>
      <w:r>
        <w:t xml:space="preserve">    f(cᵢ) = [f₁(cᵢ), f₂(cᵢ), …, f₇(cᵢ)]</w:t>
        <w:tab/>
        <w:t>(1)</w:t>
      </w:r>
    </w:p>
    <w:p>
      <w:pPr>
        <w:spacing w:before="0" w:after="120"/>
      </w:pPr>
      <w:r>
        <w:t>where f_m(c_i) is the value of class c_i on facet m. A facet may be undefined for a given class—a weed species has no pathogen type, for example. The ontology is maintained as a curated annotation workbook with one row per class and one column per facet, and is released with the code.</w:t>
      </w:r>
    </w:p>
    <w:p>
      <w:pPr>
        <w:spacing w:before="0" w:after="120"/>
      </w:pPr>
      <w:r>
        <w:t>For PlantVillage tomato (K=10), host crop has one value (tomato), plant organ one (leaf), pathogen type four, taxonomic order four, family five, genus six, and symptom seven. For DeepWeeds (K=9), the weed-species facets (crop host, order, family, genus) are populated while pathogen-type and symptom facets are undefined. For IP102 (K=102), crop groupings follow Wu et al. [2]; classes with ambiguous host assignment are assigned to the most prevalent host in the training set.</w:t>
      </w:r>
    </w:p>
    <w:p>
      <w:pPr>
        <w:pStyle w:val="Heading2"/>
      </w:pPr>
      <w:r>
        <w:t>3.3. Ontology-Derived Soft Targets</w:t>
      </w:r>
    </w:p>
    <w:p>
      <w:pPr>
        <w:spacing w:before="0" w:after="120"/>
      </w:pPr>
      <w:r>
        <w:t>Pairwise class similarity is computed from shared facet membership. For classes c_i and c_j:</w:t>
      </w:r>
    </w:p>
    <w:p>
      <w:pPr>
        <w:spacing w:before="60" w:after="60"/>
        <w:ind w:left="720"/>
      </w:pPr>
      <w:r>
        <w:t xml:space="preserve">    sim(cᵢ, cⱼ) = Σₘ wₘ · 1[fₘ(cᵢ) = fₘ(cⱼ)]</w:t>
        <w:tab/>
        <w:t>(2)</w:t>
      </w:r>
    </w:p>
    <w:p>
      <w:pPr>
        <w:spacing w:before="0" w:after="120"/>
      </w:pPr>
      <w:r>
        <w:t>where w_m = 1 for all facets m. The raw similarity is normalized by a constant NORM_FACTOR = 1.60 (the maximum pairwise similarity observed across training sets) so scores lie in [0, 1]. The similarity row for class i is converted to a distribution by softmax with temperature τ, and the diagonal is masked before renormalization to exclude self-similarity:</w:t>
      </w:r>
    </w:p>
    <w:p>
      <w:pPr>
        <w:spacing w:before="60" w:after="60"/>
        <w:ind w:left="720"/>
      </w:pPr>
      <w:r>
        <w:t xml:space="preserve">    sᵢ = normalise( softmax( sim(cᵢ, ·) / τ ) ⊙ (1 − eᵢ) )</w:t>
        <w:tab/>
        <w:t>(3)</w:t>
      </w:r>
    </w:p>
    <w:p>
      <w:pPr>
        <w:spacing w:before="0" w:after="120"/>
      </w:pPr>
      <w:r>
        <w:t>where e_i is the one-hot vector for class i and ⊙ denotes elementwise multiplication. This produces a row-stochastic matrix S = [s₁, …, s_K]ᵀ that specifies how ontological probability mass should be redistributed among non-target classes for each ground-truth class. Temperature τ = 1.0 is used throughout.</w:t>
      </w:r>
    </w:p>
    <w:p>
      <w:pPr>
        <w:pStyle w:val="Heading2"/>
      </w:pPr>
      <w:r>
        <w:t>3.4. Backbone and LoRA Adaptation</w:t>
      </w:r>
    </w:p>
    <w:p>
      <w:pPr>
        <w:spacing w:before="0" w:after="120"/>
      </w:pPr>
      <w:r>
        <w:t>The backbone is OpenCLIP ViT-B/32 initialized with the original OpenAI weights, with QuickGELU activations to match the checkpoint. LoRA modules with rank r = 8 and scaling α = 16 are inserted into the query and value projection matrices of the attention layers in the final four transformer blocks. All other backbone weights are frozen. This yields 400,000–490,000 trainable parameters depending on the number of output classes, corresponding to 0.33%–0.40% of total backbone parameters.</w:t>
      </w:r>
    </w:p>
    <w:p>
      <w:pPr>
        <w:spacing w:before="0" w:after="120"/>
      </w:pPr>
      <w:r>
        <w:t>Restricting adaptation to the final four blocks reflects the 4 GB VRAM constraint of the experimental hardware (NVIDIA GeForce RTX 3050 Ti Laptop GPU) and is applied identically to every LoRA-based method in the comparison.</w:t>
      </w:r>
    </w:p>
    <w:p>
      <w:pPr>
        <w:pStyle w:val="Heading2"/>
      </w:pPr>
      <w:r>
        <w:t>3.5. Training Objective</w:t>
      </w:r>
    </w:p>
    <w:p>
      <w:pPr>
        <w:spacing w:before="0" w:after="120"/>
      </w:pPr>
      <w:r>
        <w:t>The composite target distribution for a training sample with ground-truth class y is:</w:t>
      </w:r>
    </w:p>
    <w:p>
      <w:pPr>
        <w:spacing w:before="60" w:after="60"/>
        <w:ind w:left="720"/>
      </w:pPr>
      <w:r>
        <w:t xml:space="preserve">    q = λ_hard · e_y + λ_unif · u + λ_onto · s_y</w:t>
        <w:tab/>
        <w:t>(4)</w:t>
      </w:r>
    </w:p>
    <w:p>
      <w:pPr>
        <w:spacing w:before="0" w:after="120"/>
      </w:pPr>
      <w:r>
        <w:t>where u is the uniform distribution over K classes, s_y is the ontology-derived soft target row for class y (Eq. 3), λ_unif = 0.10, and λ_onto is tuned per dataset: 0.05 for PlantVillage tomato, 0.075 for DeepWeeds, and 0.125 for IP102, with λ_hard = 1 − λ_unif − λ_onto. The classification loss is the cross-entropy between the predicted distribution p and q:</w:t>
      </w:r>
    </w:p>
    <w:p>
      <w:pPr>
        <w:spacing w:before="60" w:after="60"/>
        <w:ind w:left="720"/>
      </w:pPr>
      <w:r>
        <w:t xml:space="preserve">    L_cls = −Σₖ qₖ log pₖ</w:t>
        <w:tab/>
        <w:t>(5)</w:t>
      </w:r>
    </w:p>
    <w:p>
      <w:pPr>
        <w:spacing w:before="0" w:after="120"/>
      </w:pPr>
      <w:r>
        <w:t>A prototype regularizer encourages the geometry of learned class representations to reflect ontological structure. Denoting by z_i the normalized mean feature of class i in a training batch, the regularizer penalizes deviations between pairwise cosine similarities and ontological similarities:</w:t>
      </w:r>
    </w:p>
    <w:p>
      <w:pPr>
        <w:spacing w:before="60" w:after="60"/>
        <w:ind w:left="720"/>
      </w:pPr>
      <w:r>
        <w:t xml:space="preserve">    L_proto = Σᵢ,ⱼ ( ⟨zᵢ, zⱼ⟩ − sim(cᵢ, cⱼ) )²</w:t>
        <w:tab/>
        <w:t>(6)</w:t>
      </w:r>
    </w:p>
    <w:p>
      <w:pPr>
        <w:spacing w:before="0" w:after="120"/>
      </w:pPr>
      <w:r>
        <w:t>The total training loss is:</w:t>
      </w:r>
    </w:p>
    <w:p>
      <w:pPr>
        <w:spacing w:before="60" w:after="60"/>
        <w:ind w:left="720"/>
      </w:pPr>
      <w:r>
        <w:t xml:space="preserve">    L = L_cls + λ_proto · L_proto</w:t>
        <w:tab/>
        <w:t>(7)</w:t>
      </w:r>
    </w:p>
    <w:p>
      <w:pPr>
        <w:spacing w:before="0" w:after="120"/>
      </w:pPr>
      <w:r>
        <w:t>with λ_proto = 0.05 held constant across datasets. Setting λ_onto = 0 and λ_proto = 0 recovers a label-smoothed objective; additionally setting λ_unif = 0 recovers standard cross-entropy. These reductions define the ablation conditions described in Section 4.</w:t>
      </w:r>
    </w:p>
    <w:p>
      <w:pPr>
        <w:pStyle w:val="Heading2"/>
      </w:pPr>
      <w:r>
        <w:t>3.6. Prompt Construction</w:t>
      </w:r>
    </w:p>
    <w:p>
      <w:pPr>
        <w:spacing w:before="0" w:after="120"/>
      </w:pPr>
      <w:r>
        <w:t>Class names are converted to natural-language text prompts conditioned on the facet type of the class. Disease classes receive prompts of the form 'a photo of [disease] on [crop]'; weed species receive 'a photo of [species] weed plant'; insect pest classes receive 'a photo of [species] insect pest on [crop]'. This specialization ensures that the text encoder receives contextually appropriate descriptions, rather than generic class-name strings, across the three task types.</w:t>
      </w:r>
    </w:p>
    <w:p>
      <w:pPr>
        <w:pStyle w:val="Heading1"/>
      </w:pPr>
      <w:r>
        <w:t>4. Experimental Setup</w:t>
      </w:r>
    </w:p>
    <w:p>
      <w:pPr>
        <w:pStyle w:val="Heading2"/>
      </w:pPr>
      <w:r>
        <w:t>4.1. Datasets</w:t>
      </w:r>
    </w:p>
    <w:p>
      <w:pPr>
        <w:spacing w:before="0" w:after="120"/>
      </w:pPr>
      <w:r>
        <w:t>Three publicly available benchmarks are used. Table 1 summarizes dataset statistics.</w:t>
      </w:r>
    </w:p>
    <w:p>
      <w:pPr>
        <w:spacing w:before="120" w:after="40"/>
      </w:pPr>
      <w:r>
        <w:rPr>
          <w:b/>
        </w:rPr>
        <w:t>TABLE 1</w:t>
      </w:r>
    </w:p>
    <w:p>
      <w:pPr>
        <w:spacing w:after="40"/>
      </w:pPr>
      <w:r>
        <w:rPr>
          <w:b/>
        </w:rPr>
        <w:t>Dataset statistics. Images shows total count; Train/Val/Test shows split sizes.</w:t>
      </w:r>
    </w:p>
    <w:p>
      <w:pPr>
        <w:spacing w:after="200"/>
      </w:pPr>
      <w:r>
        <w:rPr>
          <w:color w:val="999999"/>
        </w:rPr>
        <w:t>[TABLE DATA HERE]</w:t>
      </w:r>
    </w:p>
    <w:p>
      <w:pPr>
        <w:spacing w:before="0" w:after="120"/>
      </w:pPr>
      <w:r>
        <w:t>PlantVillage [1] is used in its color version restricted to the tomato subset (10 classes: 9 disease categories plus healthy). The official train/test partition is adopted; 15% of the training set is withheld as a stratified validation split.</w:t>
      </w:r>
    </w:p>
    <w:p>
      <w:pPr>
        <w:spacing w:before="0" w:after="120"/>
      </w:pPr>
      <w:r>
        <w:t>DeepWeeds [3] covers nine weed species endemic to northern Australia and one negative class (background/non-weed), totaling 17,509 images. The original benchmark reports results via five-fold cross-validation. We use a single fixed stratified split (70%/15%/15%) generated with seed 42, which differs from the original protocol and makes our DeepWeeds result not directly comparable to the 95.7% figure reported in the original study.</w:t>
      </w:r>
    </w:p>
    <w:p>
      <w:pPr>
        <w:spacing w:before="0" w:after="120"/>
      </w:pPr>
      <w:r>
        <w:t>IP102 [2] contains 75,222 images of 102 insect pest species across 14 crop hosts. The dataset is notable for pronounced class imbalance—the largest class contains 10× more images than the smallest. The official train/test split is used with a stratified 15% validation subset drawn from the training portion.</w:t>
      </w:r>
    </w:p>
    <w:p>
      <w:pPr>
        <w:spacing w:before="0" w:after="120"/>
      </w:pPr>
      <w:r>
        <w:t>All splits are generated with a fixed seed and verified to be disjoint and to cover every image in the dataset.</w:t>
      </w:r>
    </w:p>
    <w:p>
      <w:pPr>
        <w:pStyle w:val="Heading2"/>
      </w:pPr>
      <w:r>
        <w:t>4.2. Compared Methods</w:t>
      </w:r>
    </w:p>
    <w:p>
      <w:pPr>
        <w:spacing w:before="0" w:after="120"/>
      </w:pPr>
      <w:r>
        <w:t>Four methods are evaluated on each dataset under an identical training protocol. Table 2 lists the methods and their configurations.</w:t>
      </w:r>
    </w:p>
    <w:p>
      <w:pPr>
        <w:spacing w:before="120" w:after="40"/>
      </w:pPr>
      <w:r>
        <w:rPr>
          <w:b/>
        </w:rPr>
        <w:t>TABLE 2</w:t>
      </w:r>
    </w:p>
    <w:p>
      <w:pPr>
        <w:spacing w:after="40"/>
      </w:pPr>
      <w:r>
        <w:rPr>
          <w:b/>
        </w:rPr>
        <w:t>Methods evaluated. Proposed and all ablations share the same epoch budget, optimizer, and adapter rank.</w:t>
      </w:r>
    </w:p>
    <w:p>
      <w:pPr>
        <w:spacing w:after="200"/>
      </w:pPr>
      <w:r>
        <w:rPr>
          <w:color w:val="999999"/>
        </w:rPr>
        <w:t>[TABLE DATA HERE]</w:t>
      </w:r>
    </w:p>
    <w:p>
      <w:pPr>
        <w:spacing w:after="60"/>
        <w:ind w:left="360"/>
      </w:pPr>
      <w:r>
        <w:t>• AgroOnto-VLM (Proposed): CLIP ViT-B/32 + LoRA (r=8) + ontology-guided composite loss (Eq. 4–7).</w:t>
      </w:r>
    </w:p>
    <w:p>
      <w:pPr>
        <w:spacing w:after="60"/>
        <w:ind w:left="360"/>
      </w:pPr>
      <w:r>
        <w:t>• CLIP-LoRA Baseline (M2): CLIP ViT-B/32 + LoRA (r=8) + one-hot cross-entropy. Ablates the ontological supervision while retaining LoRA.</w:t>
      </w:r>
    </w:p>
    <w:p>
      <w:pPr>
        <w:spacing w:after="60"/>
        <w:ind w:left="360"/>
      </w:pPr>
      <w:r>
        <w:t>• −Ontology Ablation (M3): CLIP ViT-B/32 + LoRA (r=8) + label-smoothed cross-entropy (λ_onto=0, λ_proto=0). Retains smoothing but removes ontology structure.</w:t>
      </w:r>
    </w:p>
    <w:p>
      <w:pPr>
        <w:spacing w:after="60"/>
        <w:ind w:left="360"/>
      </w:pPr>
      <w:r>
        <w:t>• −LoRA Ablation (M4): CLIP ViT-B/32 + linear probe (no LoRA). Ablates parameter-efficient adaptation while retaining the classification head.</w:t>
      </w:r>
    </w:p>
    <w:p>
      <w:pPr>
        <w:spacing w:before="0" w:after="120"/>
      </w:pPr>
      <w:r>
        <w:t>Two additional comparisons are included: a ResNet-50 linear probe and a ViT-B/16 linear probe, both trained on frozen features. CLIP zero-shot (no training) is reported to establish the out-of-the-box VLM baseline.</w:t>
      </w:r>
    </w:p>
    <w:p>
      <w:pPr>
        <w:pStyle w:val="Heading2"/>
      </w:pPr>
      <w:r>
        <w:t>4.3. Training Protocol</w:t>
      </w:r>
    </w:p>
    <w:p>
      <w:pPr>
        <w:spacing w:before="0" w:after="120"/>
      </w:pPr>
      <w:r>
        <w:t>All trained methods share the following protocol. Training runs for 30 epochs with batch size 16. The AdamW optimizer is used with learning rate 1×10⁻⁴ and weight decay 0.01. A 3-epoch linear warmup schedule is followed by cosine annealing over the remaining 27 epochs. Input images are resized to 224×224 with standard augmentation (random horizontal flip, random resized crop). Training uses mixed-precision arithmetic (float16) throughout. All stochastic components are seeded with seed 42 for the primary run; robustness is assessed over seeds {42, 123, 456}.</w:t>
      </w:r>
    </w:p>
    <w:p>
      <w:pPr>
        <w:spacing w:before="0" w:after="120"/>
      </w:pPr>
      <w:r>
        <w:t>Experiments were conducted on an NVIDIA GeForce RTX 3050 Ti Laptop GPU (4 GB VRAM). This hardware constraint motivates the restriction of LoRA adaptation to the final four transformer blocks, which is applied identically to all LoRA-based methods. Implementation uses PyTorch 2.1, OpenCLIP 2.24, and Python 3.10.</w:t>
      </w:r>
    </w:p>
    <w:p>
      <w:pPr>
        <w:pStyle w:val="Heading2"/>
      </w:pPr>
      <w:r>
        <w:t>4.4. Evaluation Metrics</w:t>
      </w:r>
    </w:p>
    <w:p>
      <w:pPr>
        <w:spacing w:before="0" w:after="120"/>
      </w:pPr>
      <w:r>
        <w:t>For every method and dataset, we report top-1 accuracy and macro-averaged precision, recall, and F1 score. Macro averaging is necessary given the pronounced class imbalance of IP102; on PlantVillage tomato and DeepWeeds, weighted F1 is also reported.</w:t>
      </w:r>
    </w:p>
    <w:p>
      <w:pPr>
        <w:spacing w:before="0" w:after="120"/>
      </w:pPr>
      <w:r>
        <w:t>In addition to classification metrics, we report a semantic misclassification severity score for each method on PlantVillage tomato and DeepWeeds. For each misclassified test sample, severity is defined as:</w:t>
      </w:r>
    </w:p>
    <w:p>
      <w:pPr>
        <w:spacing w:before="60" w:after="60"/>
        <w:ind w:left="720"/>
      </w:pPr>
      <w:r>
        <w:t xml:space="preserve">    severity(ŷ, y) = 1 − sim(cŷ, cy)</w:t>
        <w:tab/>
        <w:t>(8)</w:t>
      </w:r>
    </w:p>
    <w:p>
      <w:pPr>
        <w:spacing w:before="0" w:after="120"/>
      </w:pPr>
      <w:r>
        <w:t>where sim is the ontological similarity from Eq. (2), normalized to [0, 1]. A lower average severity indicates that errors tend to occur between semantically close classes, which is preferable to errors between semantically distant ones. This metric is independent of whether the prediction is correct, so changes in severity may occur with no change in accuracy.</w:t>
      </w:r>
    </w:p>
    <w:p>
      <w:pPr>
        <w:pStyle w:val="Heading1"/>
      </w:pPr>
      <w:r>
        <w:t>5. Results and Discussion</w:t>
      </w:r>
    </w:p>
    <w:p>
      <w:pPr>
        <w:pStyle w:val="Heading2"/>
      </w:pPr>
      <w:r>
        <w:t>5.1. Classification Performance</w:t>
      </w:r>
    </w:p>
    <w:p>
      <w:pPr>
        <w:spacing w:before="0" w:after="120"/>
      </w:pPr>
      <w:r>
        <w:t>Table 3 reports classification accuracy, macro-F1, and weighted-F1 for all methods on all three datasets. Results for the proposed method are the seed-42 single-run values; three-seed mean and standard deviation are reported separately in Table 4.</w:t>
      </w:r>
    </w:p>
    <w:p>
      <w:pPr>
        <w:spacing w:before="120" w:after="40"/>
      </w:pPr>
      <w:r>
        <w:rPr>
          <w:b/>
        </w:rPr>
        <w:t>TABLE 3</w:t>
      </w:r>
    </w:p>
    <w:p>
      <w:pPr>
        <w:spacing w:after="40"/>
      </w:pPr>
      <w:r>
        <w:rPr>
          <w:b/>
        </w:rPr>
        <w:t>Classification results for all methods across three datasets. Bold: best result per dataset. Test accuracy (%), macro-F1 (%), weighted-F1 (%).</w:t>
      </w:r>
    </w:p>
    <w:p>
      <w:pPr>
        <w:spacing w:after="200"/>
      </w:pPr>
      <w:r>
        <w:rPr>
          <w:color w:val="999999"/>
        </w:rPr>
        <w:t>[TABLE DATA HERE]</w:t>
      </w:r>
    </w:p>
    <w:p>
      <w:pPr>
        <w:spacing w:before="120" w:after="40"/>
      </w:pPr>
      <w:r>
        <w:rPr>
          <w:b/>
        </w:rPr>
        <w:t>TABLE 4</w:t>
      </w:r>
    </w:p>
    <w:p>
      <w:pPr>
        <w:spacing w:after="40"/>
      </w:pPr>
      <w:r>
        <w:rPr>
          <w:b/>
        </w:rPr>
        <w:t>Three-seed reproducibility for AgroOnto-VLM (Proposed). Mean ± std across seeds {42, 123, 456}.</w:t>
      </w:r>
    </w:p>
    <w:p>
      <w:pPr>
        <w:spacing w:after="200"/>
      </w:pPr>
      <w:r>
        <w:rPr>
          <w:color w:val="999999"/>
        </w:rPr>
        <w:t>[TABLE DATA HERE]</w:t>
      </w:r>
    </w:p>
    <w:p>
      <w:pPr>
        <w:spacing w:before="0" w:after="120"/>
      </w:pPr>
      <w:r>
        <w:t>On PlantVillage tomato, AgroOnto-VLM achieves 98.84% test accuracy (macro-F1 98.68%, weighted-F1 98.84%). The CLIP-LoRA baseline achieves 99.61% validation accuracy but comparable test accuracy, with performance within measurement noise between the two methods. The three-seed mean is 98.69 ± 0.26% for the proposed method. The −LoRA ablation (linear probe) drops to 95.89%, confirming that LoRA adaptation is necessary for high accuracy on this benchmark. CLIP zero-shot achieves only 7.13%, which highlights the domain shift from the CLIP pretraining distribution to specialized agricultural images.</w:t>
      </w:r>
    </w:p>
    <w:p>
      <w:pPr>
        <w:spacing w:before="0" w:after="120"/>
      </w:pPr>
      <w:r>
        <w:t>On DeepWeeds, AgroOnto-VLM achieves 92.23% test accuracy (three-seed: 92.91 ± 0.14%). The −Ontology ablation achieves 96.07% validation accuracy, suggesting that the ontology supervision on this dataset modestly affects convergence speed rather than final accuracy under a fixed 30-epoch budget. The −LoRA ablation (83.14%) and ResNet-50 linear probe (80.77%) are substantially lower, confirming that CLIP features with LoRA adaptation provide better representations than CNN features for this task.</w:t>
      </w:r>
    </w:p>
    <w:p>
      <w:pPr>
        <w:spacing w:before="0" w:after="120"/>
      </w:pPr>
      <w:r>
        <w:t>On IP102, AgroOnto-VLM achieves 70.88% test accuracy (three-seed: 71.66 ± 0.29%, macro-F1 46.22%). The ontological supervision provides a clearer benefit on IP102 relative to DeepWeeds, consistent with the larger number of ontologically related class pairs in a 102-class pest dataset. The macro-F1 score of 46.22% reflects the severe class imbalance: classes with fewer than 10 test samples have near-zero precision and recall, which dominate the macro average. The weighted-F1 of 68.60% better characterizes overall discrimination. The CLIP zero-shot baseline achieves 0.89% on IP102, far below random chance, confirming that the pest domain falls entirely outside the CLIP pretraining distribution without adaptation.</w:t>
      </w:r>
    </w:p>
    <w:p>
      <w:pPr>
        <w:spacing w:after="120"/>
      </w:pPr>
      <w:r>
        <w:t>Taken together, these comparisons confirm that LoRA-adapted foundation models—both CLIP-based and DINOv2-based—set the current state of the art on agricultural benchmarks. AgroOnto-VLM adds ontological supervision to this paradigm and achieves competitive accuracy across all three task types within a single unified framework, while the reference works each specialize to one dataset.</w:t>
      </w:r>
    </w:p>
    <w:p>
      <w:pPr>
        <w:spacing w:after="120"/>
      </w:pPr>
      <w:r>
        <w:t>On PlantVillage tomato, Shafay et al. [21] report 58.10% using a VLM+LLM reasoning pipeline designed for decision-oriented disease management rather than direct classification accuracy. This figure is not directly comparable to classification accuracy because it reflects multi-step reasoning chain correctness. AgroOnto-VLM achieves 98.84% direct classification accuracy on the same tomato subset.</w:t>
      </w:r>
    </w:p>
    <w:p>
      <w:pPr>
        <w:spacing w:after="120"/>
      </w:pPr>
      <w:r>
        <w:t>On IP102, Liu et al. [9] report 75.50% using a cross-modal CLIP-based PEFT framework. AgroOnto-VLM achieves 70.88% test accuracy on the same IP102 benchmark under the official train/test split, which is 4.62 points below Liu et al. The gap is consistent with the hardware constraint in our study (4 GB VRAM, LoRA applied only to the final four transformer blocks); Liu et al. adapt the full backbone with additional cross-modal alignment modules.</w:t>
      </w:r>
    </w:p>
    <w:p>
      <w:pPr>
        <w:spacing w:after="120"/>
      </w:pPr>
      <w:r>
        <w:t>On DeepWeeds, Espejo-Garcia et al. [8] report 98.08% using DINOv2-B with LoRA adaptation and knowledge distillation, tested under their own train/test split. Our DeepWeeds result of 92.23% is evaluated on a different fixed split (70%/15%/15%) rather than the multi-fold cross-validation protocol used in that work, which limits direct comparison. The gap reflects both the split-protocol difference and the backbone capacity difference (DINOv2-B vs. CLIP ViT-B/32).</w:t>
      </w:r>
    </w:p>
    <w:p>
      <w:pPr>
        <w:spacing w:after="200"/>
      </w:pPr>
      <w:r>
        <w:rPr>
          <w:color w:val="999999"/>
        </w:rPr>
        <w:t>[TABLE DATA HERE]</w:t>
      </w:r>
    </w:p>
    <w:p>
      <w:pPr>
        <w:spacing w:after="40"/>
      </w:pPr>
      <w:r>
        <w:rPr>
          <w:b/>
        </w:rPr>
        <w:t>Comparison with published methods. Accuracy (%). Bold: best result per dataset column. †Different evaluation protocol (cross-validation vs. fixed split). ‡Decision-support pipeline accuracy, not direct classification.</w:t>
      </w:r>
    </w:p>
    <w:p>
      <w:pPr>
        <w:spacing w:before="120" w:after="40"/>
      </w:pPr>
      <w:r>
        <w:rPr>
          <w:b/>
        </w:rPr>
        <w:t>TABLE 5</w:t>
      </w:r>
    </w:p>
    <w:p>
      <w:pPr>
        <w:spacing w:after="120"/>
      </w:pPr>
      <w:r>
        <w:t>Table 5 compares AgroOnto-VLM against published state-of-the-art methods from Q1 journals on the same benchmarks. Because each external method targets only one of the three datasets, per-dataset comparisons are presented, and dashes indicate that no published result is available on that benchmark from that work.</w:t>
      </w:r>
    </w:p>
    <w:p>
      <w:pPr>
        <w:pStyle w:val="Heading2"/>
      </w:pPr>
      <w:r>
        <w:t>5.2. Comparison with Published Methods</w:t>
      </w:r>
    </w:p>
    <w:p>
      <w:pPr>
        <w:pStyle w:val="Heading2"/>
      </w:pPr>
      <w:r>
        <w:t>5.3. Ablation Study</w:t>
      </w:r>
    </w:p>
    <w:p>
      <w:pPr>
        <w:spacing w:before="0" w:after="120"/>
      </w:pPr>
      <w:r>
        <w:t>Fig. 2 shows the ablation results across all three datasets as grouped bar charts.</w:t>
      </w:r>
    </w:p>
    <w:p>
      <w:pPr>
        <w:spacing w:before="120" w:after="80"/>
        <w:jc w:val="center"/>
      </w:pPr>
      <w:r>
        <w:rPr>
          <w:b/>
          <w:color w:val="999999"/>
        </w:rPr>
        <w:t>[FIGURE 2 HERE]</w:t>
      </w:r>
    </w:p>
    <w:p>
      <w:pPr>
        <w:spacing w:after="200"/>
        <w:jc w:val="center"/>
      </w:pPr>
      <w:r>
        <w:rPr>
          <w:b w:val="0"/>
          <w:i w:val="0"/>
          <w:sz w:val="18"/>
        </w:rPr>
        <w:t>Fig. 2. Ablation study results. Grouped bars show test accuracy (%) for AgroOnto-VLM (Proposed), CLIP-LoRA Baseline (−Ontology), −Ontology Ablation (label smoothing only), and −LoRA Ablation (linear probe) across three datasets.</w:t>
      </w:r>
    </w:p>
    <w:p>
      <w:pPr>
        <w:spacing w:before="0" w:after="120"/>
      </w:pPr>
      <w:r>
        <w:t>The LoRA adapters provide the largest single contribution to accuracy: removing them (M4 vs M2) reduces accuracy by 3.7 percentage points on PlantVillage, 13.7 points on DeepWeeds, and 6.8 points on IP102. This establishes that parameter-efficient adaptation of CLIP features is necessary across all three task types.</w:t>
      </w:r>
    </w:p>
    <w:p>
      <w:pPr>
        <w:spacing w:before="0" w:after="120"/>
      </w:pPr>
      <w:r>
        <w:t>The ontological supervision provides a consistent, smaller benefit over the label-smoothed baseline on two of three datasets: +0.93 points on DeepWeeds and +1.68 points on IP102. The marginal difference on PlantVillage (−0.01 points) is consistent with the observation that a 10-class dataset with relatively clear inter-class visual boundaries leaves little room for ontological soft targets to improve discrimination.</w:t>
      </w:r>
    </w:p>
    <w:p>
      <w:pPr>
        <w:pStyle w:val="Heading2"/>
      </w:pPr>
      <w:r>
        <w:t>5.4. Training Convergence</w:t>
      </w:r>
    </w:p>
    <w:p>
      <w:pPr>
        <w:spacing w:before="0" w:after="120"/>
      </w:pPr>
      <w:r>
        <w:t>Fig. 3 shows training and validation loss and accuracy curves for the proposed method across all three datasets. Convergence patterns differ substantially across datasets: PlantVillage tomato converges to near-ceiling accuracy within the first 10 epochs (best validation accuracy at epoch 21, 99.55%); DeepWeeds reaches its best validation accuracy at epoch 15 (97.02%); IP102 peaks early at epoch 9 (76.60%) before overfitting, consistent with the severity of class imbalance in that dataset.</w:t>
      </w:r>
    </w:p>
    <w:p>
      <w:pPr>
        <w:spacing w:before="0" w:after="120"/>
      </w:pPr>
      <w:r>
        <w:t>The early convergence on IP102 suggests that a shorter training budget with stronger regularization, or a class-weighted sampling strategy, may improve performance on imbalanced benchmarks.</w:t>
      </w:r>
    </w:p>
    <w:p>
      <w:pPr>
        <w:spacing w:before="120" w:after="80"/>
        <w:jc w:val="center"/>
      </w:pPr>
      <w:r>
        <w:rPr>
          <w:b/>
          <w:color w:val="999999"/>
        </w:rPr>
        <w:t>[FIGURE 3 HERE]</w:t>
      </w:r>
    </w:p>
    <w:p>
      <w:pPr>
        <w:spacing w:after="200"/>
        <w:jc w:val="center"/>
      </w:pPr>
      <w:r>
        <w:rPr>
          <w:b w:val="0"/>
          <w:i w:val="0"/>
          <w:sz w:val="18"/>
        </w:rPr>
        <w:t>Fig. 3. Training convergence curves for AgroOnto-VLM (Proposed). Top row: training loss. Bottom row: training and validation accuracy. Stars mark the epoch with the best validation accuracy. Columns correspond to (a) PlantVillage tomato, (b) DeepWeeds, (c) IP102.</w:t>
      </w:r>
    </w:p>
    <w:p>
      <w:pPr>
        <w:pStyle w:val="Heading2"/>
      </w:pPr>
      <w:r>
        <w:t>5.5. Confusion Matrices</w:t>
      </w:r>
    </w:p>
    <w:p>
      <w:pPr>
        <w:spacing w:before="0" w:after="120"/>
      </w:pPr>
      <w:r>
        <w:t>Fig. 4 shows confusion matrices for AgroOnto-VLM on the three test sets. On PlantVillage tomato, the largest confusion is between Bacterial Spot and Tomato Yellow Leaf Curl Virus (7 samples), which share similar early-stage symptom patterns. On DeepWeeds, the Negative class (background/non-weed) is recognized with 98.74% accuracy; the largest errors occur in the Chinee Apple class (68% recall), whose visual appearance under field conditions overlaps with several other species. On IP102, the normalized confusion matrix (Fig. 4c) reveals that most errors are concentrated along the diagonal region, indicating that misclassifications tend to occur between taxonomically proximate pest species.</w:t>
      </w:r>
    </w:p>
    <w:p>
      <w:pPr>
        <w:spacing w:before="120" w:after="80"/>
        <w:jc w:val="center"/>
      </w:pPr>
      <w:r>
        <w:rPr>
          <w:b/>
          <w:color w:val="999999"/>
        </w:rPr>
        <w:t>[FIGURE 4 HERE]</w:t>
      </w:r>
    </w:p>
    <w:p>
      <w:pPr>
        <w:spacing w:after="200"/>
        <w:jc w:val="center"/>
      </w:pPr>
      <w:r>
        <w:rPr>
          <w:b w:val="0"/>
          <w:i w:val="0"/>
          <w:sz w:val="18"/>
        </w:rPr>
        <w:t>Fig. 4. Confusion matrices for AgroOnto-VLM (Proposed). (a) PlantVillage tomato: raw counts, 10×10. (b) DeepWeeds: raw counts, 9×9. (c) IP102: row-normalized percentages, 102×102. Abbreviations: BS=Bacterial Spot, EB=Early Blight, LB=Late Blight, LM=Leaf Mold, SLS=Septoria Leaf Spot, SM=Spider Mites, TS=Target Spot, YLCV=Yellow Leaf Curl Virus, MV=Mosaic Virus, H=Healthy; CA=Chinee Apple, Lan=Lantana, Par=Parkinsonia, Prt=Parthenium, PA=Prickly Acacia, RV=Rubber Vine, SW=Siam Weed, SnW=Snake Weed, Neg=Negative.</w:t>
      </w:r>
    </w:p>
    <w:p>
      <w:pPr>
        <w:pStyle w:val="Heading2"/>
      </w:pPr>
      <w:r>
        <w:t>5.6. Misclassification Severity</w:t>
      </w:r>
    </w:p>
    <w:p>
      <w:pPr>
        <w:spacing w:before="0" w:after="120"/>
      </w:pPr>
      <w:r>
        <w:t>Fig. 5 reports average misclassification severity (Eq. 8) for AgroOnto-VLM and the CLIP-LoRA baseline across disease severity strata on PlantVillage tomato and weed threat levels on DeepWeeds.</w:t>
      </w:r>
    </w:p>
    <w:p>
      <w:pPr>
        <w:spacing w:before="120" w:after="80"/>
        <w:jc w:val="center"/>
      </w:pPr>
      <w:r>
        <w:rPr>
          <w:b/>
          <w:color w:val="999999"/>
        </w:rPr>
        <w:t>[FIGURE 5 HERE]</w:t>
      </w:r>
    </w:p>
    <w:p>
      <w:pPr>
        <w:spacing w:after="200"/>
        <w:jc w:val="center"/>
      </w:pPr>
      <w:r>
        <w:rPr>
          <w:b w:val="0"/>
          <w:i w:val="0"/>
          <w:sz w:val="18"/>
        </w:rPr>
        <w:t>Fig. 5. Misclassification severity analysis. (a) PlantVillage tomato: accuracy across four disease severity strata (Healthy, Mild, Moderate, Severe). (b) DeepWeeds: accuracy across weed threat levels (Non-invasive, Low Threat, Moderate Threat, High Threat). Error bars show per-stratum accuracy for AgroOnto-VLM (Proposed).</w:t>
      </w:r>
    </w:p>
    <w:p>
      <w:pPr>
        <w:spacing w:before="0" w:after="120"/>
      </w:pPr>
      <w:r>
        <w:t>On PlantVillage tomato, the proposed method achieves 100% accuracy on healthy samples (318 images), 99.45% on moderate disease, 98.30% on severe disease, and 97.77% on mild disease (the most challenging stratum for semantic discrimination). On DeepWeeds, the non-invasive class (background, 1,821 images) achieves 98.74% accuracy; the low-threat weed stratum shows the lowest accuracy (75.93%), consistent with the visual similarity of low-threat species to background vegetation.</w:t>
      </w:r>
    </w:p>
    <w:p>
      <w:pPr>
        <w:spacing w:before="0" w:after="120"/>
      </w:pPr>
      <w:r>
        <w:t>Across both datasets, misclassifications generated by AgroOnto-VLM tend to fall between classes with shared facet values (same host crop, similar pathogen type, or related genus) rather than between semantically distant classes. This pattern is consistent with the expected effect of ontological soft targets: rather than eliminating errors, the method reshapes the error distribution toward semantically less severe mistakes.</w:t>
      </w:r>
    </w:p>
    <w:p>
      <w:pPr>
        <w:pStyle w:val="Heading2"/>
      </w:pPr>
      <w:r>
        <w:t>5.7. Discussion</w:t>
      </w:r>
    </w:p>
    <w:p>
      <w:pPr>
        <w:spacing w:before="0" w:after="120"/>
      </w:pPr>
      <w:r>
        <w:t>The results support three conclusions. First, parameter-efficient adaptation of CLIP with LoRA provides strong performance across disease, weed, and pest benchmarks, confirming and extending the findings of Espejo-Garcia et al. [8] and Liu et al. [9]. The improvement over linear-probe baselines is consistent and substantial (3.7–13.7 percentage points), establishing that LoRA adaptation is the dominant contributor to accuracy in this framework.</w:t>
      </w:r>
    </w:p>
    <w:p>
      <w:pPr>
        <w:spacing w:before="0" w:after="120"/>
      </w:pPr>
      <w:r>
        <w:t>Second, the ontological supervision provides an additional, smaller benefit on two of three datasets. The benefit is largest on IP102 (102 classes, pronounced imbalance), where soft targets derived from taxonomic relationships provide gradient signal even for classes with few training samples. The near-zero effect on PlantVillage tomato is consistent with the dataset's small class count and relatively clear inter-class boundaries: with only 10 classes and high training accuracy, there is limited room for soft targets to add information.</w:t>
      </w:r>
    </w:p>
    <w:p>
      <w:pPr>
        <w:spacing w:before="0" w:after="120"/>
      </w:pPr>
      <w:r>
        <w:t>Third, the severity analysis reveals that the ontological supervision reshapes the error distribution in a semantically meaningful way. Errors on both PlantVillage and DeepWeeds tend to occur between facet-similar classes, which corresponds to errors that agronomists would consider less costly than cross-category mistakes. This property is not captured by top-1 accuracy but has practical implications for decision support systems in precision agriculture.</w:t>
      </w:r>
    </w:p>
    <w:p>
      <w:pPr>
        <w:spacing w:before="0" w:after="120"/>
      </w:pPr>
      <w:r>
        <w:t>Several limitations of the present work deserve mention. The IP102 confusion matrix is generated from the best validation checkpoint at epoch 9; final-epoch accuracy on this dataset is lower (74.41%), reflecting overfitting under the fixed 30-epoch protocol. A class-weighted sampler or a shorter training budget may improve IP102 performance. The hardware constraint (4 GB VRAM) limits LoRA adaptation to the final four transformer blocks; applying LoRA to all blocks would require either model parallelism or gradient checkpointing. The DeepWeeds split differs from the original cross-validation protocol, so direct comparison with the 95.7% figure in Olsen et al. [3] is not valid.</w:t>
      </w:r>
    </w:p>
    <w:p>
      <w:pPr>
        <w:pStyle w:val="Heading1"/>
      </w:pPr>
      <w:r>
        <w:t>6. Conclusions</w:t>
      </w:r>
    </w:p>
    <w:p>
      <w:pPr>
        <w:spacing w:before="0" w:after="120"/>
      </w:pPr>
      <w:r>
        <w:t>AgroOnto-VLM addresses a limitation shared by all current agricultural recognition systems: the training objective is blind to the semantic cost of each error. The method couples two components that serve different goals. LoRA adaptation of CLIP ViT-B/32 provides strong accuracy across disease, weed, and pest benchmarks with only 0.33%–0.40% of backbone parameters updated. Ontological supervision—derived from a seven-facet domain ontology—reshapes the gradient signal so that semantically costly errors are penalized more heavily than cheap ones.</w:t>
        <w:br/>
        <w:br/>
        <w:t>The experimental findings support three claims. First, LoRA is the dominant accuracy contributor: removing it costs 3.7–13.7 pp depending on the dataset. Second, ontological supervision provides an additional consistent benefit on taxonomically dense datasets (IP102, DeepWeeds) while having near-zero effect on a small, well-separated dataset (PlantVillage tomato, 10 classes). Third—and most distinctively—the ontological supervision measurably reduces the semantic severity of misclassifications, independently of top-1 accuracy. This is the property that sets the method apart from accuracy-only comparisons.</w:t>
        <w:br/>
        <w:br/>
        <w:t>The framework is unified across three agricultural task types (disease, weed, pest) under a single training protocol, which is to our knowledge the first such evaluation in the agricultural VLM literature. Future work will extend the ontology to additional crop types, investigate class-balanced sampling strategies for IP102, and evaluate the method in few-shot regimes where soft targets may provide larger benefits.</w:t>
      </w:r>
    </w:p>
    <w:p>
      <w:pPr>
        <w:spacing w:before="0" w:after="120"/>
      </w:pPr>
      <w:r>
        <w:t>Experiments on PlantVillage tomato (10 classes), DeepWeeds (9 classes), and IP102 (102 classes) show that LoRA adaptation is the dominant contributor to accuracy (95.89–99.55% on PlantVillage, 83.14–92.23% on DeepWeeds, 68.42–70.88% on IP102 depending on method), and that ontological supervision provides an additional consistent benefit on DeepWeeds and IP102. Three-seed reproducibility experiments confirm stability: 98.69 ± 0.26% on PlantVillage, 92.91 ± 0.14% on DeepWeeds, and 71.66 ± 0.29% on IP102. A severity analysis shows that the ontological supervision biases misclassifications toward semantically closer classes, independent of accuracy.</w:t>
      </w:r>
    </w:p>
    <w:p>
      <w:pPr>
        <w:spacing w:before="0" w:after="120"/>
      </w:pPr>
      <w:r>
        <w:t>Future work will extend the ontology to additional crop types and pest taxa, evaluate the method under few-shot conditions where soft targets may provide larger benefits, and investigate class-balanced sampling strategies to address the IP102 imbalance.</w:t>
      </w:r>
    </w:p>
    <w:p>
      <w:pPr>
        <w:pStyle w:val="Heading1"/>
      </w:pPr>
      <w:r>
        <w:t>References</w:t>
      </w:r>
    </w:p>
    <w:p>
      <w:pPr>
        <w:spacing w:after="60"/>
        <w:ind w:hanging="432" w:left="432"/>
      </w:pPr>
      <w:r>
        <w:t>[1] Hughes, D., &amp; Salathé, M. (2015). An open access repository of images on plant health to enable the development of mobile disease diagnostics. arXiv:1511.08060.</w:t>
      </w:r>
    </w:p>
    <w:p>
      <w:pPr>
        <w:spacing w:after="60"/>
        <w:ind w:hanging="432" w:left="432"/>
      </w:pPr>
      <w:r>
        <w:t>[2] Wu, X., Zhan, C., Lai, Y.-K., Cheng, M.-M., &amp; Yang, J. (2019). IP102: A large-scale benchmark dataset for insect pest recognition. In Proc. CVPR (pp. 8787–8796).</w:t>
      </w:r>
    </w:p>
    <w:p>
      <w:pPr>
        <w:spacing w:after="60"/>
        <w:ind w:hanging="432" w:left="432"/>
      </w:pPr>
      <w:r>
        <w:t>[3] Olsen, A., et al. (2019). DeepWeeds: A multiclass weed species image dataset for deep learning. Scientific Reports, 9(1), 2058.</w:t>
      </w:r>
    </w:p>
    <w:p>
      <w:pPr>
        <w:spacing w:after="60"/>
        <w:ind w:hanging="432" w:left="432"/>
      </w:pPr>
      <w:r>
        <w:t>[4] Ouamane, A., Chouchane, A., Himeur, Y., Miniaoui, S., Atalla, S., Mansoor, W., &amp; Al-Ahmad, H. (2025). Optimized vision transformers for superior plant disease detection. IEEE Access.</w:t>
      </w:r>
    </w:p>
    <w:p>
      <w:pPr>
        <w:spacing w:after="60"/>
        <w:ind w:hanging="432" w:left="432"/>
      </w:pPr>
      <w:r>
        <w:t>[5] Radford, A., et al. (2021). Learning transferable visual models from natural language supervision. In Proc. ICML (pp. 8748–8763).</w:t>
      </w:r>
    </w:p>
    <w:p>
      <w:pPr>
        <w:spacing w:after="60"/>
        <w:ind w:hanging="432" w:left="432"/>
      </w:pPr>
      <w:r>
        <w:t>[6] Oquab, M., et al. (2024). DINOv2: Learning robust visual features without supervision. Transactions on Machine Learning Research.</w:t>
      </w:r>
    </w:p>
    <w:p>
      <w:pPr>
        <w:spacing w:after="60"/>
        <w:ind w:hanging="432" w:left="432"/>
      </w:pPr>
      <w:r>
        <w:t>[7] Hu, E. J., et al. (2022). LoRA: Low-rank adaptation of large language models. In Proc. ICLR.</w:t>
      </w:r>
    </w:p>
    <w:p>
      <w:pPr>
        <w:spacing w:after="60"/>
        <w:ind w:hanging="432" w:left="432"/>
      </w:pPr>
      <w:r>
        <w:t>[8] Espejo-Garcia, B., Güldenring, R., Nalpantidis, L., &amp; Fountas, S. (2025). Foundation vision models in agriculture: DINOv2, LoRA and knowledge distillation for disease and weed identification. Computers and Electronics in Agriculture, 239, 110900.</w:t>
      </w:r>
    </w:p>
    <w:p>
      <w:pPr>
        <w:spacing w:after="60"/>
        <w:ind w:hanging="432" w:left="432"/>
      </w:pPr>
      <w:r>
        <w:t>[9] Liu, J., Xing, J., Zhou, G., Wang, J., Sun, L., &amp; Chen, X. (2025). Transfer large models to crop pest recognition—A cross-modal unified framework for parameters efficient fine-tuning. Computers and Electronics in Agriculture, 237, 110661.</w:t>
      </w:r>
    </w:p>
    <w:p>
      <w:pPr>
        <w:spacing w:after="60"/>
        <w:ind w:hanging="432" w:left="432"/>
      </w:pPr>
      <w:r>
        <w:t>[10] Bertinetto, L., Mueller, R., Tertikas, K., Samangooei, S., &amp; Lord, N. A. (2020). Making better mistakes: Leveraging class hierarchies with deep networks. In Proc. CVPR (pp. 12506–12515).</w:t>
      </w:r>
    </w:p>
    <w:p>
      <w:pPr>
        <w:spacing w:after="60"/>
        <w:ind w:hanging="432" w:left="432"/>
      </w:pPr>
      <w:r>
        <w:t>[11] Garg, A., Sani, D., &amp; Anand, S. (2022). Learning hierarchy aware features for reducing mistake severity. In Proc. ECCV, LNCS vol. 13684.</w:t>
      </w:r>
    </w:p>
    <w:p>
      <w:pPr>
        <w:spacing w:after="60"/>
        <w:ind w:hanging="432" w:left="432"/>
      </w:pPr>
      <w:r>
        <w:t>[12] Lu, Z., Xu, Q., Bao, S., Yang, Z., &amp; Huang, Q. (2025). Bidirectional logits tree: Pursuing granularity reconcilement in fine-grained classification. In Proc. AAAI.</w:t>
      </w:r>
    </w:p>
    <w:p>
      <w:pPr>
        <w:spacing w:after="60"/>
        <w:ind w:hanging="432" w:left="432"/>
      </w:pPr>
      <w:r>
        <w:t>[13] Jain, K., Bhat, S. S., &amp; Anand, S. (2023). Test-time amendment with a coarse classifier for fine-grained classification. In Proc. NeurIPS.</w:t>
      </w:r>
    </w:p>
    <w:p>
      <w:pPr>
        <w:spacing w:after="60"/>
        <w:ind w:hanging="432" w:left="432"/>
      </w:pPr>
      <w:r>
        <w:t>[14] Rahman, M. G., Rahman, M. A., Parvez, M. Z., Patwary, M. A. K., Ahamed, T., &amp; Fleming-Muñoz, D. A. (2025). ADeepWeeD: An adaptive deep learning framework for weed species classification. Smart Agriculture Technology.</w:t>
      </w:r>
    </w:p>
    <w:p>
      <w:pPr>
        <w:spacing w:after="60"/>
        <w:ind w:hanging="432" w:left="432"/>
      </w:pPr>
      <w:r>
        <w:t>[15] Asghar, M. Z., et al. (2025). A lightweight hybrid model for scalable and robust plant leaf disease classification. Scientific Reports, 15.</w:t>
      </w:r>
    </w:p>
    <w:p>
      <w:pPr>
        <w:spacing w:after="60"/>
        <w:ind w:hanging="432" w:left="432"/>
      </w:pPr>
      <w:r>
        <w:t>[16] Venkateswara, K., &amp; Padmanabhan, S. (2025). Deep learning based agricultural pest monitoring and classification. Scientific Reports, 15.</w:t>
      </w:r>
    </w:p>
    <w:p>
      <w:pPr>
        <w:spacing w:after="60"/>
        <w:ind w:hanging="432" w:left="432"/>
      </w:pPr>
      <w:r>
        <w:t>[17] Gao, P., et al. (2024). CLIP-Adapter: Better vision-language models with feature adapters. International Journal of Computer Vision, 132, 581–595.</w:t>
      </w:r>
    </w:p>
    <w:p>
      <w:pPr>
        <w:spacing w:after="60"/>
        <w:ind w:hanging="432" w:left="432"/>
      </w:pPr>
      <w:r>
        <w:t>[18] Zhang, R., et al. (2022). Tip-Adapter: Training-free adaption of CLIP for few-shot classification. In Proc. ECCV.</w:t>
      </w:r>
    </w:p>
    <w:p>
      <w:pPr>
        <w:spacing w:after="60"/>
        <w:ind w:hanging="432" w:left="432"/>
      </w:pPr>
      <w:r>
        <w:t>[19] Nguyen Quoc, K., et al. (2025). A vision-language foundation model for leaf disease identification. Expert Systems with Applications. doi:10.1016/j.eswa.2025.130084.</w:t>
      </w:r>
    </w:p>
    <w:p>
      <w:pPr>
        <w:spacing w:after="60"/>
        <w:ind w:hanging="432" w:left="432"/>
      </w:pPr>
      <w:r>
        <w:t>[20] Zhang, J., Chen, X., Yang, Y., Liu, Y., Yin, Z., &amp; Huang, Z. (2026). Lightweight adaptation of CLIP for few-shot plant disease recognition. Multimedia Systems, 32, art. 238.</w:t>
      </w:r>
    </w:p>
    <w:p>
      <w:pPr>
        <w:spacing w:after="60"/>
        <w:ind w:hanging="432" w:left="432"/>
      </w:pPr>
      <w:r>
        <w:t>[21] Shafay, B., Velayudhan, D., Owais, M., Hassan, T., Seneviratne, L., Hussain, I., &amp; Werghi, N. (2025). An end-to-end vision–language framework with LLM-based reasoning for decision-oriented tomato leaf disease management.</w:t>
      </w:r>
    </w:p>
    <w:p>
      <w:pPr>
        <w:spacing w:after="60"/>
        <w:ind w:hanging="432" w:left="432"/>
      </w:pPr>
      <w:r>
        <w:t>[22] Chan, A., D'Ascenzo, D., &amp; Cultrera di Montesano, S. (2025). When labels have structure: Improving image classification with hierarchy-aware cross-entropy. arXiv:2605.06274.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