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OGDC — Illustrative Supply Chain Map</w:t>
      </w:r>
    </w:p>
    <w:p>
      <w:pPr>
        <w:spacing w:after="200"/>
      </w:pPr>
      <w:r>
        <w:rPr>
          <w:i/>
          <w:iCs/>
          <w:color w:val="555555"/>
        </w:rPr>
        <w:t xml:space="preserve">Product: Crude Oil  |  Supply Chain Analytics — Semester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E2E2" w:val="clear"/>
            <w:tcMar>
              <w:top w:type="dxa" w:w="150"/>
              <w:left w:type="dxa" w:w="150"/>
              <w:bottom w:type="dxa" w:w="150"/>
              <w:right w:type="dxa" w:w="150"/>
            </w:tcMar>
          </w:tcPr>
          <w:p>
            <w:r>
              <w:rPr>
                <w:b/>
                <w:bCs/>
                <w:i/>
                <w:iCs/>
              </w:rPr>
              <w:t xml:space="preserve">Illustrative supply chain map, calibrated to OGDC disclosed sector and scale — not actual company supplier, distribution, or process information.</w:t>
            </w:r>
          </w:p>
        </w:tc>
      </w:tr>
    </w:tbl>
    <w:p>
      <w:pPr>
        <w:spacing w:after="100"/>
      </w:pPr>
    </w:p>
    <w:p>
      <w:pPr>
        <w:pStyle w:val="Heading1"/>
        <w:spacing w:after="150" w:before="300"/>
      </w:pPr>
      <w:r>
        <w:t xml:space="preserve">Company Context Used to Calibrate</w:t>
      </w:r>
    </w:p>
    <w:p>
      <w:pPr>
        <w:spacing w:after="160"/>
      </w:pPr>
      <w:r>
        <w:t xml:space="preserve">OGDC (Oil &amp; Gas Development Company Limited) is Pakistan's largest E&amp;P company, a large national player, state-controlled, operating fields across Sindh, Punjab, KPK, and Balochistan. For this project, “Oil” refers to crude oil produced from OGDC's fields and sold onward (primarily to refineries), since OGDC is an upstream producer, not a downstream refiner or retailer of finished petroleum products. This distinction matters — the supply chain below reflects an upstream extraction-to-refinery chain, not a gas-station fuel chain.</w:t>
      </w:r>
    </w:p>
    <w:p>
      <w:pPr>
        <w:pStyle w:val="Heading1"/>
        <w:spacing w:after="150" w:before="300"/>
      </w:pPr>
      <w:r>
        <w:t xml:space="preserve">1. Upstream (Tier 2 and Tier 1 Suppliers)</w:t>
      </w:r>
    </w:p>
    <w:p>
      <w:pPr>
        <w:spacing w:after="160"/>
      </w:pPr>
      <w:r>
        <w:t xml:space="preserve">These are the inputs into OGDC's production process (not the crude oil itself, which OGDC extracts) — i.e., the goods/services OGDC needs to run wells and field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70"/>
      </w:tblGrid>
      <w:tr>
        <w:trPr>
          <w:tblHeader/>
        </w:trPr>
        <w:tc>
          <w:tcPr>
            <w:tcW w:type="dxa" w:w="2621"/>
            <w:shd w:fill="1F3864" w:val="clear"/>
            <w:tcMar>
              <w:top w:type="dxa" w:w="100"/>
              <w:left w:type="dxa" w:w="120"/>
              <w:bottom w:type="dxa" w:w="100"/>
              <w:right w:type="dxa" w:w="120"/>
            </w:tcMar>
          </w:tcPr>
          <w:p>
            <w:r>
              <w:rPr>
                <w:b/>
                <w:bCs/>
                <w:color w:val="FFFFFF"/>
              </w:rPr>
              <w:t xml:space="preserve">Raw Material Category</w:t>
            </w:r>
          </w:p>
        </w:tc>
        <w:tc>
          <w:tcPr>
            <w:tcW w:type="dxa" w:w="3370"/>
            <w:shd w:fill="1F3864" w:val="clear"/>
            <w:tcMar>
              <w:top w:type="dxa" w:w="100"/>
              <w:left w:type="dxa" w:w="120"/>
              <w:bottom w:type="dxa" w:w="100"/>
              <w:right w:type="dxa" w:w="120"/>
            </w:tcMar>
          </w:tcPr>
          <w:p>
            <w:r>
              <w:rPr>
                <w:b/>
                <w:bCs/>
                <w:color w:val="FFFFFF"/>
              </w:rPr>
              <w:t xml:space="preserve">Tier 1 Supplier (converts input)</w:t>
            </w:r>
          </w:p>
        </w:tc>
        <w:tc>
          <w:tcPr>
            <w:tcW w:type="dxa" w:w="3370"/>
            <w:shd w:fill="1F3864" w:val="clear"/>
            <w:tcMar>
              <w:top w:type="dxa" w:w="100"/>
              <w:left w:type="dxa" w:w="120"/>
              <w:bottom w:type="dxa" w:w="100"/>
              <w:right w:type="dxa" w:w="120"/>
            </w:tcMar>
          </w:tcPr>
          <w:p>
            <w:r>
              <w:rPr>
                <w:b/>
                <w:bCs/>
                <w:color w:val="FFFFFF"/>
              </w:rPr>
              <w:t xml:space="preserve">Tier 2 Source (raw origin)</w:t>
            </w:r>
          </w:p>
        </w:tc>
      </w:tr>
      <w:tr>
        <w:tc>
          <w:tcPr>
            <w:tcW w:type="dxa" w:w="2621"/>
            <w:shd w:fill="FFFFFF" w:val="clear"/>
            <w:tcMar>
              <w:top w:type="dxa" w:w="100"/>
              <w:left w:type="dxa" w:w="120"/>
              <w:bottom w:type="dxa" w:w="100"/>
              <w:right w:type="dxa" w:w="120"/>
            </w:tcMar>
          </w:tcPr>
          <w:p>
            <w:r>
              <w:t xml:space="preserve">Steel tubulars &amp; casing pipe</w:t>
            </w:r>
          </w:p>
        </w:tc>
        <w:tc>
          <w:tcPr>
            <w:tcW w:type="dxa" w:w="3370"/>
            <w:shd w:fill="FFFFFF" w:val="clear"/>
            <w:tcMar>
              <w:top w:type="dxa" w:w="100"/>
              <w:left w:type="dxa" w:w="120"/>
              <w:bottom w:type="dxa" w:w="100"/>
              <w:right w:type="dxa" w:w="120"/>
            </w:tcMar>
          </w:tcPr>
          <w:p>
            <w:r>
              <w:t xml:space="preserve">Domestic/regional pipe mills fabricating oilfield-grade casing and tubing</w:t>
            </w:r>
          </w:p>
        </w:tc>
        <w:tc>
          <w:tcPr>
            <w:tcW w:type="dxa" w:w="3370"/>
            <w:shd w:fill="FFFFFF" w:val="clear"/>
            <w:tcMar>
              <w:top w:type="dxa" w:w="100"/>
              <w:left w:type="dxa" w:w="120"/>
              <w:bottom w:type="dxa" w:w="100"/>
              <w:right w:type="dxa" w:w="120"/>
            </w:tcMar>
          </w:tcPr>
          <w:p>
            <w:r>
              <w:t xml:space="preserve">Steel billet/coil — largely imported (China, Middle East) or from Pakistan Steel-linked rolling mills</w:t>
            </w:r>
          </w:p>
        </w:tc>
      </w:tr>
      <w:tr>
        <w:tc>
          <w:tcPr>
            <w:tcW w:type="dxa" w:w="2621"/>
            <w:shd w:fill="F2F2F2" w:val="clear"/>
            <w:tcMar>
              <w:top w:type="dxa" w:w="100"/>
              <w:left w:type="dxa" w:w="120"/>
              <w:bottom w:type="dxa" w:w="100"/>
              <w:right w:type="dxa" w:w="120"/>
            </w:tcMar>
          </w:tcPr>
          <w:p>
            <w:r>
              <w:t xml:space="preserve">Drilling fluids &amp; chemicals</w:t>
            </w:r>
          </w:p>
        </w:tc>
        <w:tc>
          <w:tcPr>
            <w:tcW w:type="dxa" w:w="3370"/>
            <w:shd w:fill="F2F2F2" w:val="clear"/>
            <w:tcMar>
              <w:top w:type="dxa" w:w="100"/>
              <w:left w:type="dxa" w:w="120"/>
              <w:bottom w:type="dxa" w:w="100"/>
              <w:right w:type="dxa" w:w="120"/>
            </w:tcMar>
          </w:tcPr>
          <w:p>
            <w:r>
              <w:t xml:space="preserve">Oilfield services chemical blenders (e.g., mud engineering firms)</w:t>
            </w:r>
          </w:p>
        </w:tc>
        <w:tc>
          <w:tcPr>
            <w:tcW w:type="dxa" w:w="3370"/>
            <w:shd w:fill="F2F2F2" w:val="clear"/>
            <w:tcMar>
              <w:top w:type="dxa" w:w="100"/>
              <w:left w:type="dxa" w:w="120"/>
              <w:bottom w:type="dxa" w:w="100"/>
              <w:right w:type="dxa" w:w="120"/>
            </w:tcMar>
          </w:tcPr>
          <w:p>
            <w:r>
              <w:t xml:space="preserve">Barite, bentonite, and specialty polymers — imported (China, Gulf states) with some domestic bentonite</w:t>
            </w:r>
          </w:p>
        </w:tc>
      </w:tr>
      <w:tr>
        <w:tc>
          <w:tcPr>
            <w:tcW w:type="dxa" w:w="2621"/>
            <w:shd w:fill="FFFFFF" w:val="clear"/>
            <w:tcMar>
              <w:top w:type="dxa" w:w="100"/>
              <w:left w:type="dxa" w:w="120"/>
              <w:bottom w:type="dxa" w:w="100"/>
              <w:right w:type="dxa" w:w="120"/>
            </w:tcMar>
          </w:tcPr>
          <w:p>
            <w:r>
              <w:t xml:space="preserve">Drilling rigs &amp; well-services equipment</w:t>
            </w:r>
          </w:p>
        </w:tc>
        <w:tc>
          <w:tcPr>
            <w:tcW w:type="dxa" w:w="3370"/>
            <w:shd w:fill="FFFFFF" w:val="clear"/>
            <w:tcMar>
              <w:top w:type="dxa" w:w="100"/>
              <w:left w:type="dxa" w:w="120"/>
              <w:bottom w:type="dxa" w:w="100"/>
              <w:right w:type="dxa" w:w="120"/>
            </w:tcMar>
          </w:tcPr>
          <w:p>
            <w:r>
              <w:t xml:space="preserve">International/regional oilfield service contractors providing rigs, wireline, cementing</w:t>
            </w:r>
          </w:p>
        </w:tc>
        <w:tc>
          <w:tcPr>
            <w:tcW w:type="dxa" w:w="3370"/>
            <w:shd w:fill="FFFFFF" w:val="clear"/>
            <w:tcMar>
              <w:top w:type="dxa" w:w="100"/>
              <w:left w:type="dxa" w:w="120"/>
              <w:bottom w:type="dxa" w:w="100"/>
              <w:right w:type="dxa" w:w="120"/>
            </w:tcMar>
          </w:tcPr>
          <w:p>
            <w:r>
              <w:t xml:space="preserve">Heavy equipment manufactured abroad (US, China, Europe) and imported/leased into Pakistan</w:t>
            </w:r>
          </w:p>
        </w:tc>
      </w:tr>
      <w:tr>
        <w:tc>
          <w:tcPr>
            <w:tcW w:type="dxa" w:w="2621"/>
            <w:shd w:fill="F2F2F2" w:val="clear"/>
            <w:tcMar>
              <w:top w:type="dxa" w:w="100"/>
              <w:left w:type="dxa" w:w="120"/>
              <w:bottom w:type="dxa" w:w="100"/>
              <w:right w:type="dxa" w:w="120"/>
            </w:tcMar>
          </w:tcPr>
          <w:p>
            <w:r>
              <w:t xml:space="preserve">Diesel/fuel for field operations &amp; power generation</w:t>
            </w:r>
          </w:p>
        </w:tc>
        <w:tc>
          <w:tcPr>
            <w:tcW w:type="dxa" w:w="3370"/>
            <w:shd w:fill="F2F2F2" w:val="clear"/>
            <w:tcMar>
              <w:top w:type="dxa" w:w="100"/>
              <w:left w:type="dxa" w:w="120"/>
              <w:bottom w:type="dxa" w:w="100"/>
              <w:right w:type="dxa" w:w="120"/>
            </w:tcMar>
          </w:tcPr>
          <w:p>
            <w:r>
              <w:t xml:space="preserve">Local fuel marketing companies supplying field sites</w:t>
            </w:r>
          </w:p>
        </w:tc>
        <w:tc>
          <w:tcPr>
            <w:tcW w:type="dxa" w:w="3370"/>
            <w:shd w:fill="F2F2F2" w:val="clear"/>
            <w:tcMar>
              <w:top w:type="dxa" w:w="100"/>
              <w:left w:type="dxa" w:w="120"/>
              <w:bottom w:type="dxa" w:w="100"/>
              <w:right w:type="dxa" w:w="120"/>
            </w:tcMar>
          </w:tcPr>
          <w:p>
            <w:r>
              <w:t xml:space="preserve">Refined product from domestic refineries or imported POL cargoes</w:t>
            </w:r>
          </w:p>
        </w:tc>
      </w:tr>
    </w:tbl>
    <w:p>
      <w:pPr>
        <w:spacing w:after="150"/>
      </w:pPr>
    </w:p>
    <w:p>
      <w:pPr>
        <w:pStyle w:val="Heading1"/>
        <w:spacing w:after="150" w:before="300"/>
      </w:pPr>
      <w:r>
        <w:t xml:space="preserve">2. Manufacturing (Internal Operations — “Production Process”)</w:t>
      </w:r>
    </w:p>
    <w:p>
      <w:pPr>
        <w:spacing w:after="160"/>
      </w:pPr>
      <w:r>
        <w:t xml:space="preserve">For an E&amp;P company, “manufacturing” is the extraction and processing sequence:</w:t>
      </w:r>
    </w:p>
    <w:p>
      <w:pPr>
        <w:pStyle w:val="ListParagraph"/>
        <w:numPr>
          <w:ilvl w:val="0"/>
          <w:numId w:val="2"/>
        </w:numPr>
        <w:spacing w:after="80"/>
      </w:pPr>
      <w:r>
        <w:t xml:space="preserve">Exploration &amp; well drilling — seismic survey, drilling of exploratory/development wells</w:t>
      </w:r>
    </w:p>
    <w:p>
      <w:pPr>
        <w:pStyle w:val="ListParagraph"/>
        <w:numPr>
          <w:ilvl w:val="0"/>
          <w:numId w:val="2"/>
        </w:numPr>
        <w:spacing w:after="80"/>
      </w:pPr>
      <w:r>
        <w:t xml:space="preserve">Well completion &amp; production testing — casing, perforation, initial flow testing</w:t>
      </w:r>
    </w:p>
    <w:p>
      <w:pPr>
        <w:pStyle w:val="ListParagraph"/>
        <w:numPr>
          <w:ilvl w:val="0"/>
          <w:numId w:val="2"/>
        </w:numPr>
        <w:spacing w:after="80"/>
      </w:pPr>
      <w:r>
        <w:t xml:space="preserve">Extraction &amp; wellhead processing — crude lifted to surface, gathered via flowlines</w:t>
      </w:r>
    </w:p>
    <w:p>
      <w:pPr>
        <w:pStyle w:val="ListParagraph"/>
        <w:numPr>
          <w:ilvl w:val="0"/>
          <w:numId w:val="2"/>
        </w:numPr>
        <w:spacing w:after="80"/>
      </w:pPr>
      <w:r>
        <w:t xml:space="preserve">Field-level separation &amp; treatment — separating oil, gas, and produced water; basic dehydration/desalting at a Central Processing Facility (CPF)</w:t>
      </w:r>
    </w:p>
    <w:p>
      <w:pPr>
        <w:pStyle w:val="ListParagraph"/>
        <w:numPr>
          <w:ilvl w:val="0"/>
          <w:numId w:val="2"/>
        </w:numPr>
        <w:spacing w:after="80"/>
      </w:pPr>
      <w:r>
        <w:t xml:space="preserve">Storage &amp; custody transfer — crude held in field storage tanks, metered, and handed off for transport</w:t>
      </w:r>
    </w:p>
    <w:p>
      <w:pPr>
        <w:spacing w:after="80"/>
      </w:pPr>
    </w:p>
    <w:p>
      <w:pPr>
        <w:spacing w:after="160"/>
      </w:pPr>
      <w:r>
        <w:t xml:space="preserve">Likely bottleneck: Stage 1 (Exploration &amp; well drilling). Drilling a well can take weeks to months depending on depth and geology, requires rig mobilization (often the scarcest resource in-country), and carries the highest uncertainty (dry holes, technical delays). Once a well is producing, downstream field processing is comparatively continuous and predictable — drilling is the long-lead, capital-intensive, schedule-driving stage.</w:t>
      </w:r>
    </w:p>
    <w:p>
      <w:pPr>
        <w:pStyle w:val="Heading1"/>
        <w:spacing w:after="150" w:before="300"/>
      </w:pPr>
      <w:r>
        <w:t xml:space="preserve">3. Downstream (Distribution to Customer)</w:t>
      </w:r>
    </w:p>
    <w:p>
      <w:pPr>
        <w:spacing w:after="160"/>
      </w:pPr>
      <w:r>
        <w:t xml:space="preserve">Crude oil doesn't go through retail-style distribution; it moves through a short, infrastructure-bound chain:</w:t>
      </w:r>
    </w:p>
    <w:p>
      <w:pPr>
        <w:pStyle w:val="ListParagraph"/>
        <w:numPr>
          <w:ilvl w:val="0"/>
          <w:numId w:val="2"/>
        </w:numPr>
        <w:spacing w:after="80"/>
      </w:pPr>
      <w:r>
        <w:t xml:space="preserve">Field storage → Pipeline or tanker transport → Refinery (the “customer”)</w:t>
      </w:r>
    </w:p>
    <w:p>
      <w:pPr>
        <w:pStyle w:val="ListParagraph"/>
        <w:numPr>
          <w:ilvl w:val="0"/>
          <w:numId w:val="2"/>
        </w:numPr>
        <w:spacing w:after="80"/>
      </w:pPr>
      <w:r>
        <w:t xml:space="preserve">OGDC's crude is typically sold to Pakistani refineries (e.g., via long-term offtake arrangements), which then refine it into products like petrol, diesel, and furnace oil, which then go through a separate downstream chain (refinery → OMC depots → petrol stations → end consumers)</w:t>
      </w:r>
    </w:p>
    <w:p>
      <w:pPr>
        <w:spacing w:after="80"/>
      </w:pPr>
    </w:p>
    <w:p>
      <w:pPr>
        <w:spacing w:after="160"/>
      </w:pPr>
      <w:r>
        <w:t xml:space="preserve">Tiers for OGDC's own product (crude) to reach its direct customer: roughly 1–2 tiers — field/CPF → pipeline or road tanker → refinery gate. It's a short chain compared to manufactured consumer goods, because the “customer” here is an industrial buyer, not an end consumer.</w:t>
      </w:r>
    </w:p>
    <w:p>
      <w:pPr>
        <w:pStyle w:val="Heading1"/>
        <w:spacing w:after="150" w:before="300"/>
      </w:pPr>
      <w:r>
        <w:t xml:space="preserve">4. Information &amp; Financial Flow</w:t>
      </w:r>
    </w:p>
    <w:p>
      <w:pPr>
        <w:pStyle w:val="ListParagraph"/>
        <w:numPr>
          <w:ilvl w:val="0"/>
          <w:numId w:val="2"/>
        </w:numPr>
        <w:spacing w:after="80"/>
      </w:pPr>
      <w:r>
        <w:t xml:space="preserve">Demand information flows backward as refineries communicate monthly/quarterly crude offtake nominations to OGDC based on their refining throughput plans, which in turn informs OGDC's production and storage scheduling.</w:t>
      </w:r>
    </w:p>
    <w:p>
      <w:pPr>
        <w:pStyle w:val="ListParagraph"/>
        <w:numPr>
          <w:ilvl w:val="0"/>
          <w:numId w:val="2"/>
        </w:numPr>
        <w:spacing w:after="80"/>
      </w:pPr>
      <w:r>
        <w:t xml:space="preserve">Payment likely flows through negotiated crude oil sale agreements with a government-regulated pricing formula, settled on monthly invoicing with payment terms that, in Pakistan's energy sector, are often affected by circular debt delays rather than strict cash-on-delivery.</w:t>
      </w:r>
    </w:p>
    <w:p>
      <w:pPr>
        <w:pStyle w:val="Heading1"/>
        <w:spacing w:after="150" w:before="300"/>
      </w:pPr>
      <w:r>
        <w:t xml:space="preserve">5. Simple 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7" w:val="clear"/>
            <w:tcMar>
              <w:top w:type="dxa" w:w="200"/>
              <w:left w:type="dxa" w:w="200"/>
              <w:bottom w:type="dxa" w:w="200"/>
              <w:right w:type="dxa" w:w="200"/>
            </w:tcMar>
          </w:tcPr>
          <w:p>
            <w:pPr>
              <w:jc w:val="center"/>
            </w:pPr>
            <w:r>
              <w:rPr>
                <w:b/>
                <w:bCs/>
              </w:rPr>
              <w:t xml:space="preserve">Imported Steel/Chemicals → Oilfield Service/Equipment Suppliers → OGDC Field Operations (Drilling &amp; Extraction) → Central Processing Facility (Separation/Treatment) → Field Storage → Pipeline/Tanker Transport → Refinery (Customer)</w:t>
            </w:r>
          </w:p>
        </w:tc>
      </w:tr>
    </w:tbl>
    <w:p>
      <w:pPr>
        <w:spacing w:after="200"/>
      </w:pPr>
    </w:p>
    <w:p>
      <w:pPr>
        <w:pStyle w:val="Heading1"/>
        <w:spacing w:after="150" w:before="300"/>
      </w:pPr>
      <w:r>
        <w:t xml:space="preserve">6. Lead 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872"/>
        <w:gridCol w:w="4118"/>
      </w:tblGrid>
      <w:tr>
        <w:trPr>
          <w:tblHeader/>
        </w:trPr>
        <w:tc>
          <w:tcPr>
            <w:tcW w:type="dxa" w:w="3370"/>
            <w:shd w:fill="1F3864" w:val="clear"/>
            <w:tcMar>
              <w:top w:type="dxa" w:w="100"/>
              <w:left w:type="dxa" w:w="120"/>
              <w:bottom w:type="dxa" w:w="100"/>
              <w:right w:type="dxa" w:w="120"/>
            </w:tcMar>
          </w:tcPr>
          <w:p>
            <w:r>
              <w:rPr>
                <w:b/>
                <w:bCs/>
                <w:color w:val="FFFFFF"/>
              </w:rPr>
              <w:t xml:space="preserve">Link</w:t>
            </w:r>
          </w:p>
        </w:tc>
        <w:tc>
          <w:tcPr>
            <w:tcW w:type="dxa" w:w="1872"/>
            <w:shd w:fill="1F3864" w:val="clear"/>
            <w:tcMar>
              <w:top w:type="dxa" w:w="100"/>
              <w:left w:type="dxa" w:w="120"/>
              <w:bottom w:type="dxa" w:w="100"/>
              <w:right w:type="dxa" w:w="120"/>
            </w:tcMar>
          </w:tcPr>
          <w:p>
            <w:r>
              <w:rPr>
                <w:b/>
                <w:bCs/>
                <w:color w:val="FFFFFF"/>
              </w:rPr>
              <w:t xml:space="preserve">Plausible Lead Time</w:t>
            </w:r>
          </w:p>
        </w:tc>
        <w:tc>
          <w:tcPr>
            <w:tcW w:type="dxa" w:w="4118"/>
            <w:shd w:fill="1F3864" w:val="clear"/>
            <w:tcMar>
              <w:top w:type="dxa" w:w="100"/>
              <w:left w:type="dxa" w:w="120"/>
              <w:bottom w:type="dxa" w:w="100"/>
              <w:right w:type="dxa" w:w="120"/>
            </w:tcMar>
          </w:tcPr>
          <w:p>
            <w:r>
              <w:rPr>
                <w:b/>
                <w:bCs/>
                <w:color w:val="FFFFFF"/>
              </w:rPr>
              <w:t xml:space="preserve">Reasoning</w:t>
            </w:r>
          </w:p>
        </w:tc>
      </w:tr>
      <w:tr>
        <w:tc>
          <w:tcPr>
            <w:tcW w:type="dxa" w:w="3370"/>
            <w:shd w:fill="FFFFFF" w:val="clear"/>
            <w:tcMar>
              <w:top w:type="dxa" w:w="100"/>
              <w:left w:type="dxa" w:w="120"/>
              <w:bottom w:type="dxa" w:w="100"/>
              <w:right w:type="dxa" w:w="120"/>
            </w:tcMar>
          </w:tcPr>
          <w:p>
            <w:r>
              <w:t xml:space="preserve">Equipment/chemical supplier → Field site</w:t>
            </w:r>
          </w:p>
        </w:tc>
        <w:tc>
          <w:tcPr>
            <w:tcW w:type="dxa" w:w="1872"/>
            <w:shd w:fill="FFFFFF" w:val="clear"/>
            <w:tcMar>
              <w:top w:type="dxa" w:w="100"/>
              <w:left w:type="dxa" w:w="120"/>
              <w:bottom w:type="dxa" w:w="100"/>
              <w:right w:type="dxa" w:w="120"/>
            </w:tcMar>
          </w:tcPr>
          <w:p>
            <w:r>
              <w:t xml:space="preserve">15–45 days</w:t>
            </w:r>
          </w:p>
        </w:tc>
        <w:tc>
          <w:tcPr>
            <w:tcW w:type="dxa" w:w="4118"/>
            <w:shd w:fill="FFFFFF" w:val="clear"/>
            <w:tcMar>
              <w:top w:type="dxa" w:w="100"/>
              <w:left w:type="dxa" w:w="120"/>
              <w:bottom w:type="dxa" w:w="100"/>
              <w:right w:type="dxa" w:w="120"/>
            </w:tcMar>
          </w:tcPr>
          <w:p>
            <w:r>
              <w:t xml:space="preserve">Import clearance, inland transport to often-remote field locations</w:t>
            </w:r>
          </w:p>
        </w:tc>
      </w:tr>
      <w:tr>
        <w:tc>
          <w:tcPr>
            <w:tcW w:type="dxa" w:w="3370"/>
            <w:shd w:fill="F2F2F2" w:val="clear"/>
            <w:tcMar>
              <w:top w:type="dxa" w:w="100"/>
              <w:left w:type="dxa" w:w="120"/>
              <w:bottom w:type="dxa" w:w="100"/>
              <w:right w:type="dxa" w:w="120"/>
            </w:tcMar>
          </w:tcPr>
          <w:p>
            <w:r>
              <w:t xml:space="preserve">Well spud → First production</w:t>
            </w:r>
          </w:p>
        </w:tc>
        <w:tc>
          <w:tcPr>
            <w:tcW w:type="dxa" w:w="1872"/>
            <w:shd w:fill="F2F2F2" w:val="clear"/>
            <w:tcMar>
              <w:top w:type="dxa" w:w="100"/>
              <w:left w:type="dxa" w:w="120"/>
              <w:bottom w:type="dxa" w:w="100"/>
              <w:right w:type="dxa" w:w="120"/>
            </w:tcMar>
          </w:tcPr>
          <w:p>
            <w:r>
              <w:t xml:space="preserve">30–90 days</w:t>
            </w:r>
          </w:p>
        </w:tc>
        <w:tc>
          <w:tcPr>
            <w:tcW w:type="dxa" w:w="4118"/>
            <w:shd w:fill="F2F2F2" w:val="clear"/>
            <w:tcMar>
              <w:top w:type="dxa" w:w="100"/>
              <w:left w:type="dxa" w:w="120"/>
              <w:bottom w:type="dxa" w:w="100"/>
              <w:right w:type="dxa" w:w="120"/>
            </w:tcMar>
          </w:tcPr>
          <w:p>
            <w:r>
              <w:t xml:space="preserve">Depends on well depth, geology, and rig availability/mobilization</w:t>
            </w:r>
          </w:p>
        </w:tc>
      </w:tr>
      <w:tr>
        <w:tc>
          <w:tcPr>
            <w:tcW w:type="dxa" w:w="3370"/>
            <w:shd w:fill="FFFFFF" w:val="clear"/>
            <w:tcMar>
              <w:top w:type="dxa" w:w="100"/>
              <w:left w:type="dxa" w:w="120"/>
              <w:bottom w:type="dxa" w:w="100"/>
              <w:right w:type="dxa" w:w="120"/>
            </w:tcMar>
          </w:tcPr>
          <w:p>
            <w:r>
              <w:t xml:space="preserve">CPF processing → Field storage</w:t>
            </w:r>
          </w:p>
        </w:tc>
        <w:tc>
          <w:tcPr>
            <w:tcW w:type="dxa" w:w="1872"/>
            <w:shd w:fill="FFFFFF" w:val="clear"/>
            <w:tcMar>
              <w:top w:type="dxa" w:w="100"/>
              <w:left w:type="dxa" w:w="120"/>
              <w:bottom w:type="dxa" w:w="100"/>
              <w:right w:type="dxa" w:w="120"/>
            </w:tcMar>
          </w:tcPr>
          <w:p>
            <w:r>
              <w:t xml:space="preserve">1–3 days</w:t>
            </w:r>
          </w:p>
        </w:tc>
        <w:tc>
          <w:tcPr>
            <w:tcW w:type="dxa" w:w="4118"/>
            <w:shd w:fill="FFFFFF" w:val="clear"/>
            <w:tcMar>
              <w:top w:type="dxa" w:w="100"/>
              <w:left w:type="dxa" w:w="120"/>
              <w:bottom w:type="dxa" w:w="100"/>
              <w:right w:type="dxa" w:w="120"/>
            </w:tcMar>
          </w:tcPr>
          <w:p>
            <w:r>
              <w:t xml:space="preserve">Near-continuous separation and treatment process</w:t>
            </w:r>
          </w:p>
        </w:tc>
      </w:tr>
      <w:tr>
        <w:tc>
          <w:tcPr>
            <w:tcW w:type="dxa" w:w="3370"/>
            <w:shd w:fill="F2F2F2" w:val="clear"/>
            <w:tcMar>
              <w:top w:type="dxa" w:w="100"/>
              <w:left w:type="dxa" w:w="120"/>
              <w:bottom w:type="dxa" w:w="100"/>
              <w:right w:type="dxa" w:w="120"/>
            </w:tcMar>
          </w:tcPr>
          <w:p>
            <w:r>
              <w:t xml:space="preserve">Field storage → Refinery (via pipeline)</w:t>
            </w:r>
          </w:p>
        </w:tc>
        <w:tc>
          <w:tcPr>
            <w:tcW w:type="dxa" w:w="1872"/>
            <w:shd w:fill="F2F2F2" w:val="clear"/>
            <w:tcMar>
              <w:top w:type="dxa" w:w="100"/>
              <w:left w:type="dxa" w:w="120"/>
              <w:bottom w:type="dxa" w:w="100"/>
              <w:right w:type="dxa" w:w="120"/>
            </w:tcMar>
          </w:tcPr>
          <w:p>
            <w:r>
              <w:t xml:space="preserve">1–2 days</w:t>
            </w:r>
          </w:p>
        </w:tc>
        <w:tc>
          <w:tcPr>
            <w:tcW w:type="dxa" w:w="4118"/>
            <w:shd w:fill="F2F2F2" w:val="clear"/>
            <w:tcMar>
              <w:top w:type="dxa" w:w="100"/>
              <w:left w:type="dxa" w:w="120"/>
              <w:bottom w:type="dxa" w:w="100"/>
              <w:right w:type="dxa" w:w="120"/>
            </w:tcMar>
          </w:tcPr>
          <w:p>
            <w:r>
              <w:t xml:space="preserve">Pipeline transport is fast once connected</w:t>
            </w:r>
          </w:p>
        </w:tc>
      </w:tr>
      <w:tr>
        <w:tc>
          <w:tcPr>
            <w:tcW w:type="dxa" w:w="3370"/>
            <w:shd w:fill="FFFFFF" w:val="clear"/>
            <w:tcMar>
              <w:top w:type="dxa" w:w="100"/>
              <w:left w:type="dxa" w:w="120"/>
              <w:bottom w:type="dxa" w:w="100"/>
              <w:right w:type="dxa" w:w="120"/>
            </w:tcMar>
          </w:tcPr>
          <w:p>
            <w:r>
              <w:t xml:space="preserve">Field storage → Refinery (via road tanker, if no pipeline)</w:t>
            </w:r>
          </w:p>
        </w:tc>
        <w:tc>
          <w:tcPr>
            <w:tcW w:type="dxa" w:w="1872"/>
            <w:shd w:fill="FFFFFF" w:val="clear"/>
            <w:tcMar>
              <w:top w:type="dxa" w:w="100"/>
              <w:left w:type="dxa" w:w="120"/>
              <w:bottom w:type="dxa" w:w="100"/>
              <w:right w:type="dxa" w:w="120"/>
            </w:tcMar>
          </w:tcPr>
          <w:p>
            <w:r>
              <w:t xml:space="preserve">3–7 days</w:t>
            </w:r>
          </w:p>
        </w:tc>
        <w:tc>
          <w:tcPr>
            <w:tcW w:type="dxa" w:w="4118"/>
            <w:shd w:fill="FFFFFF" w:val="clear"/>
            <w:tcMar>
              <w:top w:type="dxa" w:w="100"/>
              <w:left w:type="dxa" w:w="120"/>
              <w:bottom w:type="dxa" w:w="100"/>
              <w:right w:type="dxa" w:w="120"/>
            </w:tcMar>
          </w:tcPr>
          <w:p>
            <w:r>
              <w:t xml:space="preserve">Slower, dependent on road tanker scheduling and distance</w:t>
            </w:r>
          </w:p>
        </w:tc>
      </w:tr>
    </w:tbl>
    <w:p>
      <w:pPr>
        <w:spacing w:after="200"/>
      </w:pPr>
    </w:p>
    <w:p>
      <w:pPr>
        <w:pStyle w:val="Heading1"/>
        <w:spacing w:after="150" w:before="300"/>
      </w:pPr>
      <w:r>
        <w:t xml:space="preserve">Assumptions</w:t>
      </w:r>
    </w:p>
    <w:p>
      <w:pPr>
        <w:spacing w:after="160"/>
      </w:pPr>
      <w:r>
        <w:t xml:space="preserve">This map assumes OGDC's “product” is crude oil sold to domestic refineries, since OGDC is an upstream E&amp;P company rather than a manufacturer of a finished consumer product — a key structural assumption that shapes the entire chain. I assumed generic input categories (steel tubulars, drilling chemicals, rig services) based on standard oilfield operations rather than any OGDC-specific procurement disclosure, since sourcing details for a state-linked E&amp;P company aren't typically public at this granularity. Lead times are industry-typical estimates for Pakistan's oil sector, not company-reported figures, and could vary significantly by specific field (e.g., mature fields in Sindh vs. newer/harder-to-access blocks). The most uncertain elements are the exact refinery offtake relationships and payment terms, since Pakistan's energy sector payment flows are affected by circular debt dynamics not reflected in a simplified model. A real internal supply chain map would show named suppliers and contracts, actual well-by-well production and drilling schedules, specific refinery allocation agreements, and precise logistics routing — none of which are available from public information and all of which I have deliberately avoided inventing.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2026-09-08T12:09:29.794Z</dcterms:created>
  <dcterms:modified xsi:type="dcterms:W3CDTF">2026-09-08T12:09:29.804Z</dcterms:modified>
</cp:coreProperties>
</file>

<file path=docProps/custom.xml><?xml version="1.0" encoding="utf-8"?>
<Properties xmlns="http://schemas.openxmlformats.org/officeDocument/2006/custom-properties" xmlns:vt="http://schemas.openxmlformats.org/officeDocument/2006/docPropsVTypes"/>
</file>