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OGDC: Illustrative Supply Chain Map for Crude Oil</w:t>
      </w:r>
    </w:p>
    <w:p>
      <w:pPr>
        <w:jc w:val="center"/>
      </w:pPr>
      <w:r>
        <w:rPr>
          <w:b/>
          <w:sz w:val="19"/>
        </w:rPr>
        <w:t>Illustrative supply chain map, calibrated to OGDC disclosed sector and scale — not actual company supplier, distribution, or process information.</w:t>
      </w:r>
    </w:p>
    <w:p>
      <w:r>
        <w:rPr>
          <w:b/>
        </w:rPr>
        <w:t xml:space="preserve">Product scope: </w:t>
      </w:r>
      <w:r>
        <w:t>Crude oil produced by Oil &amp; Gas Development Company Limited (OGDCL/OGDC) from its Pakistani oil and gas fields. This is an upstream E&amp;P product rather than a manufactured consumer product, so “manufacturing” is interpreted here as extraction, field processing, stabilization, storage, and dispatch.</w:t>
      </w:r>
    </w:p>
    <w:p>
      <w:r>
        <w:rPr>
          <w:b/>
        </w:rPr>
        <w:t xml:space="preserve">Company context: </w:t>
      </w:r>
      <w:r>
        <w:t>OGDC is a large national E&amp;P company with producing assets across Pakistan. The map treats refineries as the direct customers for OGDC crude oil and keeps the refinery-to-retail chain separate because those are downstream stages for refined petroleum products.</w:t>
      </w:r>
    </w:p>
    <w:p>
      <w:pPr>
        <w:pStyle w:val="Heading1"/>
      </w:pPr>
      <w:r>
        <w:t>1. Upstream — Tier 2 and Tier 1 suppliers</w:t>
      </w:r>
    </w:p>
    <w:p>
      <w:r>
        <w:t>Because crude oil is extracted rather than manufactured from purchased raw materials, these categories are best understood as critical production inputs and operating supplies.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D9EAF7"/>
          </w:tcPr>
          <w:p>
            <w:r/>
            <w:r>
              <w:rPr>
                <w:rFonts w:ascii="Arial" w:hAnsi="Arial"/>
                <w:b/>
                <w:sz w:val="18"/>
              </w:rPr>
              <w:t>Input category</w:t>
            </w:r>
          </w:p>
        </w:tc>
        <w:tc>
          <w:tcPr>
            <w:tcW w:type="dxa" w:w="2664"/>
            <w:vAlign w:val="center"/>
            <w:shd w:fill="D9EAF7"/>
          </w:tcPr>
          <w:p>
            <w:r/>
            <w:r>
              <w:rPr>
                <w:rFonts w:ascii="Arial" w:hAnsi="Arial"/>
                <w:b/>
                <w:sz w:val="18"/>
              </w:rPr>
              <w:t>Plausible Tier 1 supplier type</w:t>
            </w:r>
          </w:p>
        </w:tc>
        <w:tc>
          <w:tcPr>
            <w:tcW w:type="dxa" w:w="2880"/>
            <w:vAlign w:val="center"/>
            <w:shd w:fill="D9EAF7"/>
          </w:tcPr>
          <w:p>
            <w:r/>
            <w:r>
              <w:rPr>
                <w:rFonts w:ascii="Arial" w:hAnsi="Arial"/>
                <w:b/>
                <w:sz w:val="18"/>
              </w:rPr>
              <w:t>Plausible Tier 2 source</w:t>
            </w:r>
          </w:p>
        </w:tc>
        <w:tc>
          <w:tcPr>
            <w:tcW w:type="dxa" w:w="2448"/>
            <w:vAlign w:val="center"/>
            <w:shd w:fill="D9EAF7"/>
          </w:tcPr>
          <w:p>
            <w:r/>
            <w:r>
              <w:rPr>
                <w:rFonts w:ascii="Arial" w:hAnsi="Arial"/>
                <w:b/>
                <w:sz w:val="18"/>
              </w:rPr>
              <w:t>Role in crude-oil production</w:t>
            </w:r>
          </w:p>
        </w:tc>
      </w:tr>
      <w:tr>
        <w:tc>
          <w:tcPr>
            <w:tcW w:type="dxa" w:w="2088"/>
            <w:vAlign w:val="center"/>
          </w:tcPr>
          <w:p>
            <w:r/>
            <w:r>
              <w:rPr>
                <w:rFonts w:ascii="Arial" w:hAnsi="Arial"/>
                <w:b w:val="0"/>
                <w:sz w:val="18"/>
              </w:rPr>
              <w:t>Oil-well casing, tubing &amp; line pipe</w:t>
            </w:r>
          </w:p>
        </w:tc>
        <w:tc>
          <w:tcPr>
            <w:tcW w:type="dxa" w:w="2664"/>
            <w:vAlign w:val="center"/>
          </w:tcPr>
          <w:p>
            <w:r/>
            <w:r>
              <w:rPr>
                <w:rFonts w:ascii="Arial" w:hAnsi="Arial"/>
                <w:b w:val="0"/>
                <w:sz w:val="18"/>
              </w:rPr>
              <w:t>OCTG/steel tubular distributor or specialist oilfield-equipment supplier</w:t>
            </w:r>
          </w:p>
        </w:tc>
        <w:tc>
          <w:tcPr>
            <w:tcW w:type="dxa" w:w="2880"/>
            <w:vAlign w:val="center"/>
          </w:tcPr>
          <w:p>
            <w:r/>
            <w:r>
              <w:rPr>
                <w:rFonts w:ascii="Arial" w:hAnsi="Arial"/>
                <w:b w:val="0"/>
                <w:sz w:val="18"/>
              </w:rPr>
              <w:t>Domestic steel/tube production plus imported steel/OCTG feedstock from major international steel-producing markets</w:t>
            </w:r>
          </w:p>
        </w:tc>
        <w:tc>
          <w:tcPr>
            <w:tcW w:type="dxa" w:w="2448"/>
            <w:vAlign w:val="center"/>
          </w:tcPr>
          <w:p>
            <w:r/>
            <w:r>
              <w:rPr>
                <w:rFonts w:ascii="Arial" w:hAnsi="Arial"/>
                <w:b w:val="0"/>
                <w:sz w:val="18"/>
              </w:rPr>
              <w:t>Provides casing/tubing for wells and flow/gathering lines.</w:t>
            </w:r>
          </w:p>
        </w:tc>
      </w:tr>
      <w:tr>
        <w:tc>
          <w:tcPr>
            <w:tcW w:type="dxa" w:w="2088"/>
            <w:vAlign w:val="center"/>
          </w:tcPr>
          <w:p>
            <w:r/>
            <w:r>
              <w:rPr>
                <w:rFonts w:ascii="Arial" w:hAnsi="Arial"/>
                <w:b w:val="0"/>
                <w:sz w:val="18"/>
              </w:rPr>
              <w:t>Drilling fluids / mud chemicals</w:t>
            </w:r>
          </w:p>
        </w:tc>
        <w:tc>
          <w:tcPr>
            <w:tcW w:type="dxa" w:w="2664"/>
            <w:vAlign w:val="center"/>
          </w:tcPr>
          <w:p>
            <w:r/>
            <w:r>
              <w:rPr>
                <w:rFonts w:ascii="Arial" w:hAnsi="Arial"/>
                <w:b w:val="0"/>
                <w:sz w:val="18"/>
              </w:rPr>
              <w:t>Oilfield drilling-fluid service company that blends and supplies drilling mud systems</w:t>
            </w:r>
          </w:p>
        </w:tc>
        <w:tc>
          <w:tcPr>
            <w:tcW w:type="dxa" w:w="2880"/>
            <w:vAlign w:val="center"/>
          </w:tcPr>
          <w:p>
            <w:r/>
            <w:r>
              <w:rPr>
                <w:rFonts w:ascii="Arial" w:hAnsi="Arial"/>
                <w:b w:val="0"/>
                <w:sz w:val="18"/>
              </w:rPr>
              <w:t>Chemical manufacturers; some chemicals may be domestic, with specialty additives potentially imported</w:t>
            </w:r>
          </w:p>
        </w:tc>
        <w:tc>
          <w:tcPr>
            <w:tcW w:type="dxa" w:w="2448"/>
            <w:vAlign w:val="center"/>
          </w:tcPr>
          <w:p>
            <w:r/>
            <w:r>
              <w:rPr>
                <w:rFonts w:ascii="Arial" w:hAnsi="Arial"/>
                <w:b w:val="0"/>
                <w:sz w:val="18"/>
              </w:rPr>
              <w:t>Controls well pressure, removes cuttings and supports drilling.</w:t>
            </w:r>
          </w:p>
        </w:tc>
      </w:tr>
      <w:tr>
        <w:tc>
          <w:tcPr>
            <w:tcW w:type="dxa" w:w="2088"/>
            <w:vAlign w:val="center"/>
          </w:tcPr>
          <w:p>
            <w:r/>
            <w:r>
              <w:rPr>
                <w:rFonts w:ascii="Arial" w:hAnsi="Arial"/>
                <w:b w:val="0"/>
                <w:sz w:val="18"/>
              </w:rPr>
              <w:t>Production chemicals</w:t>
            </w:r>
          </w:p>
        </w:tc>
        <w:tc>
          <w:tcPr>
            <w:tcW w:type="dxa" w:w="2664"/>
            <w:vAlign w:val="center"/>
          </w:tcPr>
          <w:p>
            <w:r/>
            <w:r>
              <w:rPr>
                <w:rFonts w:ascii="Arial" w:hAnsi="Arial"/>
                <w:b w:val="0"/>
                <w:sz w:val="18"/>
              </w:rPr>
              <w:t>Oilfield chemical-treatment/service company supplying demulsifiers, corrosion inhibitors and scale-control chemicals</w:t>
            </w:r>
          </w:p>
        </w:tc>
        <w:tc>
          <w:tcPr>
            <w:tcW w:type="dxa" w:w="2880"/>
            <w:vAlign w:val="center"/>
          </w:tcPr>
          <w:p>
            <w:r/>
            <w:r>
              <w:rPr>
                <w:rFonts w:ascii="Arial" w:hAnsi="Arial"/>
                <w:b w:val="0"/>
                <w:sz w:val="18"/>
              </w:rPr>
              <w:t>Domestic chemical manufacturer and/or imported specialty chemical producer</w:t>
            </w:r>
          </w:p>
        </w:tc>
        <w:tc>
          <w:tcPr>
            <w:tcW w:type="dxa" w:w="2448"/>
            <w:vAlign w:val="center"/>
          </w:tcPr>
          <w:p>
            <w:r/>
            <w:r>
              <w:rPr>
                <w:rFonts w:ascii="Arial" w:hAnsi="Arial"/>
                <w:b w:val="0"/>
                <w:sz w:val="18"/>
              </w:rPr>
              <w:t>Supports oil/water separation, corrosion control and flow assurance.</w:t>
            </w:r>
          </w:p>
        </w:tc>
      </w:tr>
      <w:tr>
        <w:tc>
          <w:tcPr>
            <w:tcW w:type="dxa" w:w="2088"/>
            <w:vAlign w:val="center"/>
          </w:tcPr>
          <w:p>
            <w:r/>
            <w:r>
              <w:rPr>
                <w:rFonts w:ascii="Arial" w:hAnsi="Arial"/>
                <w:b w:val="0"/>
                <w:sz w:val="18"/>
              </w:rPr>
              <w:t>Mechanical, electrical &amp; instrumentation spares</w:t>
            </w:r>
          </w:p>
        </w:tc>
        <w:tc>
          <w:tcPr>
            <w:tcW w:type="dxa" w:w="2664"/>
            <w:vAlign w:val="center"/>
          </w:tcPr>
          <w:p>
            <w:r/>
            <w:r>
              <w:rPr>
                <w:rFonts w:ascii="Arial" w:hAnsi="Arial"/>
                <w:b w:val="0"/>
                <w:sz w:val="18"/>
              </w:rPr>
              <w:t>Industrial/oilfield equipment distributor or maintenance contractor</w:t>
            </w:r>
          </w:p>
        </w:tc>
        <w:tc>
          <w:tcPr>
            <w:tcW w:type="dxa" w:w="2880"/>
            <w:vAlign w:val="center"/>
          </w:tcPr>
          <w:p>
            <w:r/>
            <w:r>
              <w:rPr>
                <w:rFonts w:ascii="Arial" w:hAnsi="Arial"/>
                <w:b w:val="0"/>
                <w:sz w:val="18"/>
              </w:rPr>
              <w:t>Component manufacturers; many specialty components may be imported</w:t>
            </w:r>
          </w:p>
        </w:tc>
        <w:tc>
          <w:tcPr>
            <w:tcW w:type="dxa" w:w="2448"/>
            <w:vAlign w:val="center"/>
          </w:tcPr>
          <w:p>
            <w:r/>
            <w:r>
              <w:rPr>
                <w:rFonts w:ascii="Arial" w:hAnsi="Arial"/>
                <w:b w:val="0"/>
                <w:sz w:val="18"/>
              </w:rPr>
              <w:t>Supports pumps, valves, motors, meters, sensors and maintenance of production/processing systems.</w:t>
            </w:r>
          </w:p>
        </w:tc>
      </w:tr>
    </w:tbl>
    <w:p>
      <w:pPr>
        <w:spacing w:after="20"/>
      </w:pPr>
    </w:p>
    <w:p>
      <w:r>
        <w:t>OGDC engineering disclosures support this general structure: petroleum/facilities engineering activities include procurement of OCTG materials, well-completion equipment, rotating and stationary equipment, corrosion-control chemicals, pipeline integrity systems and custody-transfer metering/instrumentation.</w:t>
      </w:r>
    </w:p>
    <w:p>
      <w:pPr>
        <w:pStyle w:val="Heading1"/>
      </w:pPr>
      <w:r>
        <w:t>2. Manufacturing / internal operations</w:t>
      </w:r>
    </w:p>
    <w:p>
      <w:r>
        <w:t>For crude oil, the internal flow is more accurately described as production and field processing:</w:t>
      </w:r>
    </w:p>
    <w:p>
      <w:pPr>
        <w:pStyle w:val="ListNumber"/>
      </w:pPr>
      <w:r>
        <w:t>1. Exploration &amp; well development</w:t>
      </w:r>
    </w:p>
    <w:p>
      <w:pPr>
        <w:pStyle w:val="ListNumber"/>
      </w:pPr>
      <w:r>
        <w:t>2. Drilling and well completion</w:t>
      </w:r>
    </w:p>
    <w:p>
      <w:pPr>
        <w:pStyle w:val="ListNumber"/>
      </w:pPr>
      <w:r>
        <w:t>3. Wellhead production &amp; gathering</w:t>
      </w:r>
    </w:p>
    <w:p>
      <w:pPr>
        <w:pStyle w:val="ListNumber"/>
      </w:pPr>
      <w:r>
        <w:t>4. Separation/stabilization and treatment</w:t>
      </w:r>
    </w:p>
    <w:p>
      <w:pPr>
        <w:pStyle w:val="ListNumber"/>
      </w:pPr>
      <w:r>
        <w:t>5. Storage, metering &amp; dispatch</w:t>
      </w:r>
    </w:p>
    <w:p>
      <w:r>
        <w:rPr>
          <w:b/>
        </w:rPr>
        <w:t xml:space="preserve">Exploration &amp; development: </w:t>
      </w:r>
      <w:r>
        <w:t>Geological/geophysical work identifies prospects and development plans are prepared.</w:t>
      </w:r>
    </w:p>
    <w:p>
      <w:r>
        <w:rPr>
          <w:b/>
        </w:rPr>
        <w:t xml:space="preserve">Drilling &amp; completion: </w:t>
      </w:r>
      <w:r>
        <w:t>Wells are drilled, cased and completed so hydrocarbons can flow safely to the surface.</w:t>
      </w:r>
    </w:p>
    <w:p>
      <w:r>
        <w:rPr>
          <w:b/>
        </w:rPr>
        <w:t xml:space="preserve">Wellhead production &amp; gathering: </w:t>
      </w:r>
      <w:r>
        <w:t>Produced fluids move from individual wells through flow lines and gathering infrastructure toward field processing facilities.</w:t>
      </w:r>
    </w:p>
    <w:p>
      <w:r>
        <w:rPr>
          <w:b/>
        </w:rPr>
        <w:t xml:space="preserve">Separation/stabilization: </w:t>
      </w:r>
      <w:r>
        <w:t>Oil, gas and produced water are separated; crude oil is treated/stabilized to achieve the required saleable specification.</w:t>
      </w:r>
    </w:p>
    <w:p>
      <w:r>
        <w:rPr>
          <w:b/>
        </w:rPr>
        <w:t xml:space="preserve">Storage, metering &amp; dispatch: </w:t>
      </w:r>
      <w:r>
        <w:t>Saleable crude is held in storage, measured through custody-transfer metering and loaded for transportation to a refinery/receiving point.</w:t>
      </w:r>
    </w:p>
    <w:p>
      <w:r>
        <w:rPr>
          <w:b/>
        </w:rPr>
        <w:t xml:space="preserve">Most likely bottleneck: </w:t>
      </w:r>
      <w:r>
        <w:t>Drilling and well completion is the most time-consuming stage because it requires a rig, specialist crews, well construction/completion, testing and safety controls. In the ongoing flow, field-processing reliability and transportation from remote fields can also become bottlenecks.</w:t>
      </w:r>
    </w:p>
    <w:p>
      <w:pPr>
        <w:pStyle w:val="Heading1"/>
      </w:pPr>
      <w:r>
        <w:t>3. Downstream — distribution to customer</w:t>
      </w:r>
    </w:p>
    <w:p>
      <w:r>
        <w:t>For OGDC crude oil, the downstream chain is shorter than a typical consumer-goods chain because the direct customer is normally a refinery. OGDC public materials identify refineries as primary clients for crude oil and condensate, and transportation documentation provides for delivery from fields to refinery receiving points.</w:t>
      </w:r>
    </w:p>
    <w:p>
      <w:r>
        <w:rPr>
          <w:b/>
        </w:rPr>
        <w:t>Illustrative downstream flow:</w:t>
      </w:r>
    </w:p>
    <w:p>
      <w:r>
        <w:t>OGDC field/processing facility → pipeline and/or contracted crude-oil road transporter → refinery receiving/storage facility → refinery processing → petroleum-product distribution network → industrial/commercial or retail customer</w:t>
      </w:r>
    </w:p>
    <w:p>
      <w:r>
        <w:rPr>
          <w:b/>
        </w:rPr>
        <w:t xml:space="preserve">Approximate tiers for OGDC crude itself: </w:t>
      </w:r>
      <w:r>
        <w:t>about 1 major external downstream tier before the direct customer: OGDC field → transporter/pipeline → refinery. The later refinery-to-retailer stages belong to the supply chain of refined products made from the crude.</w:t>
      </w:r>
    </w:p>
    <w:p>
      <w:pPr>
        <w:pStyle w:val="Heading1"/>
      </w:pPr>
      <w:r>
        <w:t>4. Information &amp; financial flow</w:t>
      </w:r>
    </w:p>
    <w:p>
      <w:r>
        <w:rPr>
          <w:b/>
        </w:rPr>
        <w:t xml:space="preserve">Demand / information flow: </w:t>
      </w:r>
      <w:r>
        <w:t>Refinery demand, nominations and delivery requirements would plausibly flow backward: refinery → OGDC commercial/sales planning → field production scheduling → processing/storage → transport, with operational information exchanged with transport contractors.</w:t>
      </w:r>
    </w:p>
    <w:p>
      <w:r>
        <w:rPr>
          <w:b/>
        </w:rPr>
        <w:t xml:space="preserve">Payment flow: </w:t>
      </w:r>
      <w:r>
        <w:t>A plausible B2B structure is refinery/customer payment to OGDC under agreed commercial credit/payment terms after invoicing and custody-transfer confirmation; OGDC separately pays suppliers and transport contractors under their contracts. Exact terms are not assumed here.</w:t>
      </w:r>
    </w:p>
    <w:p>
      <w:pPr>
        <w:pStyle w:val="Heading1"/>
      </w:pPr>
      <w:r>
        <w:t>5. Simple text diagram</w:t>
      </w:r>
    </w:p>
    <w:p>
      <w:pPr>
        <w:jc w:val="center"/>
      </w:pPr>
      <w:r>
        <w:rPr>
          <w:b/>
          <w:sz w:val="18"/>
        </w:rPr>
        <w:t>Tier 2 raw-material sources → Tier 1 oilfield suppliers/service companies → OGDC exploration &amp; development → OGDC drilling &amp; well completion → OGDC wellhead production &amp; gathering → OGDC separation / crude stabilization / treatment → OGDC crude storage &amp; custody-transfer metering → Pipeline / contracted crude-oil transporter → Refinery receiving/storage facility (direct customer) → Refinery processing → OMC / wholesale distribution → Retail station / industrial customer → Final petroleum-product consumer</w:t>
      </w:r>
    </w:p>
    <w:p>
      <w:pPr>
        <w:pStyle w:val="Heading1"/>
      </w:pPr>
      <w:r>
        <w:t>6. Lead time estimates</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D9EAF7"/>
          </w:tcPr>
          <w:p>
            <w:r/>
            <w:r>
              <w:rPr>
                <w:rFonts w:ascii="Arial" w:hAnsi="Arial"/>
                <w:b/>
                <w:sz w:val="18"/>
              </w:rPr>
              <w:t>Major link</w:t>
            </w:r>
          </w:p>
        </w:tc>
        <w:tc>
          <w:tcPr>
            <w:tcW w:type="dxa" w:w="1728"/>
            <w:vAlign w:val="center"/>
            <w:shd w:fill="D9EAF7"/>
          </w:tcPr>
          <w:p>
            <w:r/>
            <w:r>
              <w:rPr>
                <w:rFonts w:ascii="Arial" w:hAnsi="Arial"/>
                <w:b/>
                <w:sz w:val="18"/>
              </w:rPr>
              <w:t>Illustrative lead time</w:t>
            </w:r>
          </w:p>
        </w:tc>
        <w:tc>
          <w:tcPr>
            <w:tcW w:type="dxa" w:w="4752"/>
            <w:vAlign w:val="center"/>
            <w:shd w:fill="D9EAF7"/>
          </w:tcPr>
          <w:p>
            <w:r/>
            <w:r>
              <w:rPr>
                <w:rFonts w:ascii="Arial" w:hAnsi="Arial"/>
                <w:b/>
                <w:sz w:val="18"/>
              </w:rPr>
              <w:t>Reasoning</w:t>
            </w:r>
          </w:p>
        </w:tc>
      </w:tr>
      <w:tr>
        <w:tc>
          <w:tcPr>
            <w:tcW w:type="dxa" w:w="3456"/>
            <w:vAlign w:val="center"/>
          </w:tcPr>
          <w:p>
            <w:r/>
            <w:r>
              <w:rPr>
                <w:rFonts w:ascii="Arial" w:hAnsi="Arial"/>
                <w:b w:val="0"/>
                <w:sz w:val="18"/>
              </w:rPr>
              <w:t>Tier 2 raw-material source → Tier 1 supplier</w:t>
            </w:r>
          </w:p>
        </w:tc>
        <w:tc>
          <w:tcPr>
            <w:tcW w:type="dxa" w:w="1728"/>
            <w:vAlign w:val="center"/>
          </w:tcPr>
          <w:p>
            <w:r/>
            <w:r>
              <w:rPr>
                <w:rFonts w:ascii="Arial" w:hAnsi="Arial"/>
                <w:b w:val="0"/>
                <w:sz w:val="18"/>
              </w:rPr>
              <w:t>15–60 days</w:t>
            </w:r>
          </w:p>
        </w:tc>
        <w:tc>
          <w:tcPr>
            <w:tcW w:type="dxa" w:w="4752"/>
            <w:vAlign w:val="center"/>
          </w:tcPr>
          <w:p>
            <w:r/>
            <w:r>
              <w:rPr>
                <w:rFonts w:ascii="Arial" w:hAnsi="Arial"/>
                <w:b w:val="0"/>
                <w:sz w:val="18"/>
              </w:rPr>
              <w:t>Domestic steel/chemicals can move faster; imported specialty materials may require production, shipping, customs and inland transport.</w:t>
            </w:r>
          </w:p>
        </w:tc>
      </w:tr>
      <w:tr>
        <w:tc>
          <w:tcPr>
            <w:tcW w:type="dxa" w:w="3456"/>
            <w:vAlign w:val="center"/>
          </w:tcPr>
          <w:p>
            <w:r/>
            <w:r>
              <w:rPr>
                <w:rFonts w:ascii="Arial" w:hAnsi="Arial"/>
                <w:b w:val="0"/>
                <w:sz w:val="18"/>
              </w:rPr>
              <w:t>Tier 1 supplier → OGDC field/operating location</w:t>
            </w:r>
          </w:p>
        </w:tc>
        <w:tc>
          <w:tcPr>
            <w:tcW w:type="dxa" w:w="1728"/>
            <w:vAlign w:val="center"/>
          </w:tcPr>
          <w:p>
            <w:r/>
            <w:r>
              <w:rPr>
                <w:rFonts w:ascii="Arial" w:hAnsi="Arial"/>
                <w:b w:val="0"/>
                <w:sz w:val="18"/>
              </w:rPr>
              <w:t>7–45 days</w:t>
            </w:r>
          </w:p>
        </w:tc>
        <w:tc>
          <w:tcPr>
            <w:tcW w:type="dxa" w:w="4752"/>
            <w:vAlign w:val="center"/>
          </w:tcPr>
          <w:p>
            <w:r/>
            <w:r>
              <w:rPr>
                <w:rFonts w:ascii="Arial" w:hAnsi="Arial"/>
                <w:b w:val="0"/>
                <w:sz w:val="18"/>
              </w:rPr>
              <w:t>Routine chemicals/spares may dispatch quickly; OCTG, large equipment or imported components need longer planning and transport.</w:t>
            </w:r>
          </w:p>
        </w:tc>
      </w:tr>
      <w:tr>
        <w:tc>
          <w:tcPr>
            <w:tcW w:type="dxa" w:w="3456"/>
            <w:vAlign w:val="center"/>
          </w:tcPr>
          <w:p>
            <w:r/>
            <w:r>
              <w:rPr>
                <w:rFonts w:ascii="Arial" w:hAnsi="Arial"/>
                <w:b w:val="0"/>
                <w:sz w:val="18"/>
              </w:rPr>
              <w:t>OGDC wellhead → field processing facility</w:t>
            </w:r>
          </w:p>
        </w:tc>
        <w:tc>
          <w:tcPr>
            <w:tcW w:type="dxa" w:w="1728"/>
            <w:vAlign w:val="center"/>
          </w:tcPr>
          <w:p>
            <w:r/>
            <w:r>
              <w:rPr>
                <w:rFonts w:ascii="Arial" w:hAnsi="Arial"/>
                <w:b w:val="0"/>
                <w:sz w:val="18"/>
              </w:rPr>
              <w:t>Hours to 1 day</w:t>
            </w:r>
          </w:p>
        </w:tc>
        <w:tc>
          <w:tcPr>
            <w:tcW w:type="dxa" w:w="4752"/>
            <w:vAlign w:val="center"/>
          </w:tcPr>
          <w:p>
            <w:r/>
            <w:r>
              <w:rPr>
                <w:rFonts w:ascii="Arial" w:hAnsi="Arial"/>
                <w:b w:val="0"/>
                <w:sz w:val="18"/>
              </w:rPr>
              <w:t>Dedicated flow/gathering infrastructure makes this an internal continuous-flow movement rather than a conventional distribution shipment.</w:t>
            </w:r>
          </w:p>
        </w:tc>
      </w:tr>
      <w:tr>
        <w:tc>
          <w:tcPr>
            <w:tcW w:type="dxa" w:w="3456"/>
            <w:vAlign w:val="center"/>
          </w:tcPr>
          <w:p>
            <w:r/>
            <w:r>
              <w:rPr>
                <w:rFonts w:ascii="Arial" w:hAnsi="Arial"/>
                <w:b w:val="0"/>
                <w:sz w:val="18"/>
              </w:rPr>
              <w:t>Processing → OGDC crude storage / metering</w:t>
            </w:r>
          </w:p>
        </w:tc>
        <w:tc>
          <w:tcPr>
            <w:tcW w:type="dxa" w:w="1728"/>
            <w:vAlign w:val="center"/>
          </w:tcPr>
          <w:p>
            <w:r/>
            <w:r>
              <w:rPr>
                <w:rFonts w:ascii="Arial" w:hAnsi="Arial"/>
                <w:b w:val="0"/>
                <w:sz w:val="18"/>
              </w:rPr>
              <w:t>Same day to 1 day</w:t>
            </w:r>
          </w:p>
        </w:tc>
        <w:tc>
          <w:tcPr>
            <w:tcW w:type="dxa" w:w="4752"/>
            <w:vAlign w:val="center"/>
          </w:tcPr>
          <w:p>
            <w:r/>
            <w:r>
              <w:rPr>
                <w:rFonts w:ascii="Arial" w:hAnsi="Arial"/>
                <w:b w:val="0"/>
                <w:sz w:val="18"/>
              </w:rPr>
              <w:t>Generally an internal field movement within the production system.</w:t>
            </w:r>
          </w:p>
        </w:tc>
      </w:tr>
      <w:tr>
        <w:tc>
          <w:tcPr>
            <w:tcW w:type="dxa" w:w="3456"/>
            <w:vAlign w:val="center"/>
          </w:tcPr>
          <w:p>
            <w:r/>
            <w:r>
              <w:rPr>
                <w:rFonts w:ascii="Arial" w:hAnsi="Arial"/>
                <w:b w:val="0"/>
                <w:sz w:val="18"/>
              </w:rPr>
              <w:t>OGDC field → refinery receiving point</w:t>
            </w:r>
          </w:p>
        </w:tc>
        <w:tc>
          <w:tcPr>
            <w:tcW w:type="dxa" w:w="1728"/>
            <w:vAlign w:val="center"/>
          </w:tcPr>
          <w:p>
            <w:r/>
            <w:r>
              <w:rPr>
                <w:rFonts w:ascii="Arial" w:hAnsi="Arial"/>
                <w:b w:val="0"/>
                <w:sz w:val="18"/>
              </w:rPr>
              <w:t>1–7 days</w:t>
            </w:r>
          </w:p>
        </w:tc>
        <w:tc>
          <w:tcPr>
            <w:tcW w:type="dxa" w:w="4752"/>
            <w:vAlign w:val="center"/>
          </w:tcPr>
          <w:p>
            <w:r/>
            <w:r>
              <w:rPr>
                <w:rFonts w:ascii="Arial" w:hAnsi="Arial"/>
                <w:b w:val="0"/>
                <w:sz w:val="18"/>
              </w:rPr>
              <w:t>Pipeline movements can be relatively short once scheduled; road transport is more sensitive to distance, loading slots, road conditions and security.</w:t>
            </w:r>
          </w:p>
        </w:tc>
      </w:tr>
      <w:tr>
        <w:tc>
          <w:tcPr>
            <w:tcW w:type="dxa" w:w="3456"/>
            <w:vAlign w:val="center"/>
          </w:tcPr>
          <w:p>
            <w:r/>
            <w:r>
              <w:rPr>
                <w:rFonts w:ascii="Arial" w:hAnsi="Arial"/>
                <w:b w:val="0"/>
                <w:sz w:val="18"/>
              </w:rPr>
              <w:t>Refinery → wholesale/OMC network</w:t>
            </w:r>
          </w:p>
        </w:tc>
        <w:tc>
          <w:tcPr>
            <w:tcW w:type="dxa" w:w="1728"/>
            <w:vAlign w:val="center"/>
          </w:tcPr>
          <w:p>
            <w:r/>
            <w:r>
              <w:rPr>
                <w:rFonts w:ascii="Arial" w:hAnsi="Arial"/>
                <w:b w:val="0"/>
                <w:sz w:val="18"/>
              </w:rPr>
              <w:t>1–5 days</w:t>
            </w:r>
          </w:p>
        </w:tc>
        <w:tc>
          <w:tcPr>
            <w:tcW w:type="dxa" w:w="4752"/>
            <w:vAlign w:val="center"/>
          </w:tcPr>
          <w:p>
            <w:r/>
            <w:r>
              <w:rPr>
                <w:rFonts w:ascii="Arial" w:hAnsi="Arial"/>
                <w:b w:val="0"/>
                <w:sz w:val="18"/>
              </w:rPr>
              <w:t>Illustrative range depending on refinery schedules, product demand and distribution arrangements.</w:t>
            </w:r>
          </w:p>
        </w:tc>
      </w:tr>
      <w:tr>
        <w:tc>
          <w:tcPr>
            <w:tcW w:type="dxa" w:w="3456"/>
            <w:vAlign w:val="center"/>
          </w:tcPr>
          <w:p>
            <w:r/>
            <w:r>
              <w:rPr>
                <w:rFonts w:ascii="Arial" w:hAnsi="Arial"/>
                <w:b w:val="0"/>
                <w:sz w:val="18"/>
              </w:rPr>
              <w:t>OMC/wholesaler → retail/industrial customer</w:t>
            </w:r>
          </w:p>
        </w:tc>
        <w:tc>
          <w:tcPr>
            <w:tcW w:type="dxa" w:w="1728"/>
            <w:vAlign w:val="center"/>
          </w:tcPr>
          <w:p>
            <w:r/>
            <w:r>
              <w:rPr>
                <w:rFonts w:ascii="Arial" w:hAnsi="Arial"/>
                <w:b w:val="0"/>
                <w:sz w:val="18"/>
              </w:rPr>
              <w:t>1–3 days</w:t>
            </w:r>
          </w:p>
        </w:tc>
        <w:tc>
          <w:tcPr>
            <w:tcW w:type="dxa" w:w="4752"/>
            <w:vAlign w:val="center"/>
          </w:tcPr>
          <w:p>
            <w:r/>
            <w:r>
              <w:rPr>
                <w:rFonts w:ascii="Arial" w:hAnsi="Arial"/>
                <w:b w:val="0"/>
                <w:sz w:val="18"/>
              </w:rPr>
              <w:t>Usually a short replenishment cycle once refined product is available at the distribution point.</w:t>
            </w:r>
          </w:p>
        </w:tc>
      </w:tr>
    </w:tbl>
    <w:p>
      <w:pPr>
        <w:spacing w:after="20"/>
      </w:pPr>
    </w:p>
    <w:p>
      <w:pPr>
        <w:pStyle w:val="Heading1"/>
      </w:pPr>
      <w:r>
        <w:t>Supply-chain observation</w:t>
      </w:r>
    </w:p>
    <w:p>
      <w:r>
        <w:t>Unlike an FMCG chain, OGDC’s crude-oil supply chain is primarily a continuous-flow, asset-intensive system rather than a warehouse-and-retailer system. The critical variables are therefore reservoir performance, well availability, processing capacity, storage, transportation capacity, refinery nominations and production curtailment—not retail shelf inventory.</w:t>
      </w:r>
    </w:p>
    <w:p>
      <w:pPr>
        <w:pStyle w:val="Heading1"/>
      </w:pPr>
      <w:r>
        <w:t>Assumptions</w:t>
      </w:r>
    </w:p>
    <w:p>
      <w:r>
        <w:t>This map assumes “oil” means OGDC-produced crude oil, rather than petrol or diesel sold at retail stations. Drilling materials, production chemicals, tubulars, equipment and instrumentation are treated as upstream supply-chain inputs because crude oil is extracted from geological reservoirs rather than manufactured from conventional raw materials. Supplier names, exact sourcing countries, transportation routes, inventory policies, credit periods and lead times are illustrative because OGDC does not publicly disclose a complete supplier-by-supplier supply-chain map. The biggest uncertainty is the exact field-to-refinery route, since OGDC has numerous producing assets across Pakistan and transport arrangements can vary by field and customer. A real internal supply-chain map would likely show individual field locations, well-level production volumes, supplier contracts, procurement lead times, pipeline/road capacity, storage levels, refinery nominations, inventory buffers, operational data and detailed financial terms that this academic illustration cannot capture.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OGDC Crude Oil Supply Chain — Illustrative Academic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