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E5A85"/>
          <w:sz w:val="30"/>
        </w:rPr>
        <w:t>SIH26059</w:t>
      </w:r>
    </w:p>
    <w:p>
      <w:pPr>
        <w:pStyle w:val="Title"/>
        <w:jc w:val="center"/>
      </w:pPr>
      <w:r>
        <w:t>Antarctic Voyage Decision Support Blueprint</w:t>
      </w:r>
    </w:p>
    <w:p>
      <w:pPr>
        <w:jc w:val="center"/>
      </w:pPr>
      <w:r>
        <w:rPr>
          <w:rFonts w:ascii="Arial" w:hAnsi="Arial"/>
          <w:b/>
          <w:sz w:val="26"/>
        </w:rPr>
        <w:t>Southern Passage  |  Evidence and implementation status</w:t>
      </w:r>
    </w:p>
    <w:p>
      <w:pPr>
        <w:jc w:val="center"/>
      </w:pPr>
      <w:r>
        <w:rPr>
          <w:i/>
        </w:rPr>
        <w:t>Ministry of Earth Sciences  |  Smart India Hackathon 2026</w:t>
      </w:r>
    </w:p>
    <w:p/>
    <w:p>
      <w:pPr>
        <w:spacing w:after="120" w:line="269" w:lineRule="auto"/>
      </w:pPr>
      <w:r>
        <w:t>A build-status-aware blueprint for the SIH26059 request: forecast Antarctic sea ice, estimate iceberg trajectories, and support safer, more economical voyage planning. It distinguishes implemented and measured capabilities from research candidates and future work.</w:t>
      </w:r>
    </w:p>
    <w:p>
      <w:pPr>
        <w:spacing w:after="120" w:line="269" w:lineRule="auto"/>
      </w:pPr>
      <w:r>
        <w:t>Prepared from the supplied challenge analysis, project implementation, model reports, and data documentation. Evidence snapshot: 30 September 2026.</w:t>
      </w:r>
    </w:p>
    <w:p>
      <w:r>
        <w:br w:type="page"/>
      </w:r>
    </w:p>
    <w:p>
      <w:pPr>
        <w:pStyle w:val="Heading1"/>
        <w:spacing w:before="300" w:after="120"/>
      </w:pPr>
      <w:r>
        <w:rPr>
          <w:color w:val="000000"/>
        </w:rPr>
        <w:t>Executive summary</w:t>
      </w:r>
    </w:p>
    <w:p>
      <w:pPr>
        <w:spacing w:after="120" w:line="269" w:lineRule="auto"/>
      </w:pPr>
      <w:r>
        <w:t>The ministry-facing deliverable implied by SIH26059 is an integrated decision-support system: gridded sea-ice outlooks, iceberg position/trajectory information, and route alternatives overlaid on a polar map, with evidence that the forecast and route trade-offs are meaningful. The supplied problem analysis recommends proving a held-out historical scenario rather than relying on a visual-only demo.</w:t>
      </w:r>
    </w:p>
    <w:p>
      <w:pPr>
        <w:spacing w:after="120" w:line="269" w:lineRule="auto"/>
      </w:pPr>
      <w:r>
        <w:t>Southern Passage is a research prototype toward that deliverable—not an operational navigation product. It includes an API, a restrained map interface, manifest-verified observation data, research SIC models and evaluation tools, historical iceberg observations, route-exposure diagnostics, and ministry integration guidance. It does not yet connect its research SIC estimates, iceberg tracks, or motion fields into operational route optimization.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Capability</w:t>
            </w:r>
          </w:p>
        </w:tc>
        <w:tc>
          <w:tcPr>
            <w:tcW w:type="dxa" w:w="5904"/>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Current evidence</w:t>
            </w:r>
          </w:p>
        </w:tc>
        <w:tc>
          <w:tcPr>
            <w:tcW w:type="dxa" w:w="1944"/>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Status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Sea-ice prediction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1989–2016 frozen model tested on 2017–2024; area-weighted RMSE 0.041849 vs 0.041944 persistence. Small gain; ice-edge disagreement marginally worse.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Research-only; not promoted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Independent sensor transfer</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Sparse VIIRS subsets and 2025–26 platform checks; gains are small, spatially correlated and not route-scale.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Diagnostic only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Iceberg drift</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Official BYU/NIC track back-test: constant velocity helps at 1–2 d but degrades at 3–14 d; calibrated longer-lead corridors under-cover.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No operational predictor</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Sea-ice motion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Official 2023 and 2024 NSIDC-0116 files acquired and aligned. A coefficient selected on 2023 reduced 2024 pooled one-day SIC MAE by 3.13% and RMSE by 4.50% against persistence.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Retrospective research; timing unverified</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Navigation</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Observed SIC route-exposure sampling and illustrative voyage map; no vessel-class route optimizer or safety model.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Not navigation advice</w:t>
            </w:r>
          </w:p>
        </w:tc>
      </w:tr>
    </w:tbl>
    <w:p>
      <w:pPr>
        <w:spacing w:after="40"/>
      </w:pPr>
    </w:p>
    <w:p>
      <w:pPr>
        <w:spacing w:after="120" w:line="269" w:lineRule="auto"/>
      </w:pPr>
      <w:r>
        <w:t>Recommendation: present the build as a transparent, reproducible research demonstrator and continue toward the full SIH vision in gated stages. Do not claim production readiness, forecast superiority, safe routing, fuel savings, or ministry integration until the evidence and governance gates in this document are met.</w:t>
      </w:r>
    </w:p>
    <w:p>
      <w:pPr>
        <w:pStyle w:val="Heading1"/>
        <w:spacing w:before="300" w:after="120"/>
      </w:pPr>
      <w:r>
        <w:rPr>
          <w:color w:val="000000"/>
        </w:rPr>
        <w:t>Challenge interpretation and demo narrative</w:t>
      </w:r>
    </w:p>
    <w:p>
      <w:pPr>
        <w:spacing w:after="120" w:line="269" w:lineRule="auto"/>
      </w:pPr>
      <w:r>
        <w:t>The challenge groups three substantial problems: sea-ice forecasting, iceberg trajectory prediction, and ice-aware voyage routing. A defensible first-phase storyline is: show what is observed, state what a research model estimates, expose uncertainty and data age, and explain why a route-exposure sample is not a clearance decision. The strongest later judging proof is a frozen-date hindcast with forecast-versus-observation comparison and an independently validated route-cost trade-off.</w:t>
      </w:r>
    </w:p>
    <w:p>
      <w:pPr>
        <w:pStyle w:val="ListBullet"/>
        <w:spacing w:after="60"/>
      </w:pPr>
      <w:r>
        <w:t>User: voyage-planning and science staff reviewing an Antarctic transit scenario.</w:t>
      </w:r>
    </w:p>
    <w:p>
      <w:pPr>
        <w:pStyle w:val="ListBullet"/>
        <w:spacing w:after="60"/>
      </w:pPr>
      <w:r>
        <w:t>Output target: timestamped ice concentration/edge fields, iceberg observations and (after validation) trajectories, route alternatives with explicit vessel assumptions, uncertainty, provenance and rationale.</w:t>
      </w:r>
    </w:p>
    <w:p>
      <w:pPr>
        <w:pStyle w:val="ListBullet"/>
        <w:spacing w:after="60"/>
      </w:pPr>
      <w:r>
        <w:t>Present boundary: qualified people and official ice services remain authoritative; all present predictions and route-related screens are research-only.</w:t>
      </w:r>
    </w:p>
    <w:p>
      <w:pPr>
        <w:pStyle w:val="Heading1"/>
        <w:spacing w:before="300" w:after="120"/>
      </w:pPr>
      <w:r>
        <w:rPr>
          <w:color w:val="000000"/>
        </w:rPr>
        <w:t>What is actually built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Layer</w:t>
            </w:r>
          </w:p>
        </w:tc>
        <w:tc>
          <w:tcPr>
            <w:tcW w:type="dxa" w:w="4680"/>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Implemented today</w:t>
            </w:r>
          </w:p>
        </w:tc>
        <w:tc>
          <w:tcPr>
            <w:tcW w:type="dxa" w:w="3240"/>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Important boundary</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Web application</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Browser-based polar research workspace; illustrative voyage scenario; separate observed-data mode; observation, data-age, historical iceberg and route-exposure views.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Illustrative layers are not forecasts. No browser decision consumes the trained model to route a vessel.</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API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FastAPI research service, health/readiness and metadata, bounded SIC research forecast, observed SIC/source-status, historical iceberg tracks and route-exposure endpoints.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Caller-supplied forecast grids are not source-authenticated; readiness is not safety approval.</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Data lineage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Read-only mounted datasets, manifests and checksum validation; source metadata checker; provenance and limitation fields.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Monitoring snapshot is operator-refreshed; no automated ingest, alerting or failover.</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Model research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Chronological SIC regression/baselines and evaluation, observed-track iceberg diagnostics, optional NSIDC motion alignment and advection evaluator.</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No ConvLSTM production model, live drift forecast, calibrated route risk, or learned routing policy.</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Packaging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Pinned container base/dependencies, non-root service, readiness probe, security controls, automated tests and separate optional geospatial CI.</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Ministry identity, deployment, audit and security review remain integration work.</w:t>
            </w:r>
          </w:p>
        </w:tc>
      </w:tr>
    </w:tbl>
    <w:p>
      <w:pPr>
        <w:spacing w:after="40"/>
      </w:pPr>
    </w:p>
    <w:p>
      <w:pPr>
        <w:pStyle w:val="Heading1"/>
        <w:spacing w:before="300" w:after="120"/>
      </w:pPr>
      <w:r>
        <w:rPr>
          <w:color w:val="000000"/>
        </w:rPr>
        <w:t>Measured research results</w:t>
      </w:r>
    </w:p>
    <w:p>
      <w:pPr>
        <w:spacing w:after="120" w:line="269" w:lineRule="auto"/>
      </w:pPr>
      <w:r>
        <w:t>Sea ice: the checksum-verified G02202 v6 model trained on 1989–2016 has only a 0.000095 absolute reduction in area-weighted RMSE versus persistence on the 2017–2024 holdout (0.041849 vs 0.041944). At a 15% SIC threshold, ice-edge disagreement is slightly worse than persistence (0.325542 vs 0.325353 million km² per day); SIE absolute error is effectively tied. Rolling-origin results over 1997–2016 also show only about 0.4% RMSE reduction. Recursive/direct multi-lead tests are mixed. These results argue against operational promotion.</w:t>
      </w:r>
    </w:p>
    <w:p>
      <w:pPr>
        <w:spacing w:after="120" w:line="269" w:lineRule="auto"/>
      </w:pPr>
      <w:r>
        <w:t>Independent VIIRS transfer checks are small, sparse and spatially correlated. For the June–August 2024 regional sample, the multi-decadal artifact scored 0.11261 native-grid RMSE versus 0.11590 persistence, but this is not a formal grid-aligned or route-corridor evaluation. September 2026 platform subsets show similarly modest gains and differ in masks and coverage; they are not sensor rankings.</w:t>
      </w:r>
    </w:p>
    <w:p>
      <w:pPr>
        <w:spacing w:after="120" w:line="269" w:lineRule="auto"/>
      </w:pPr>
      <w:r>
        <w:t>Icebergs: official BYU/NIC source-measured positions show uncalibrated constant velocity reduces mean error at 1–2 days (2.497 vs 3.100 km) but is worse at 3–14 days. A 1–2 day 90% error radius covered 94.2% of held-out reports at 10.05 km; longer-lead persistence corridors covered 87.5% and 85.6%. These empirical radii are not encounter probabilities or safe-clearance distances.</w:t>
      </w:r>
    </w:p>
    <w:p>
      <w:pPr>
        <w:spacing w:after="120" w:line="269" w:lineRule="auto"/>
      </w:pPr>
      <w:r>
        <w:t>Sea-ice motion: 2023 and 2024 official NSIDC-0116 Southern Hemisphere daily files were authenticated, verified and aligned to G02202. A persistence/advection blend selected on the 2023 fitting period (lambda 0.7) was frozen for all evaluable 2024 issue dates. It reduced pooled one-day SIC MAE by 3.13% and RMSE by 4.50% against persistence over about 5.42 million correlated common-valid cell-days. This is a same-product retrospective hindcast, not area-weighted or route-scale skill. Publication timing of the motion fields is unverified, so it does not establish a deployable forecast. Source manifests and evaluation reports retain file hashes and date-level coverage.</w:t>
      </w:r>
    </w:p>
    <w:p>
      <w:pPr>
        <w:pStyle w:val="Heading1"/>
        <w:spacing w:before="300" w:after="120"/>
      </w:pPr>
      <w:r>
        <w:rPr>
          <w:color w:val="000000"/>
        </w:rPr>
        <w:t>Data, models, and open-source choices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Source/tool</w:t>
            </w:r>
          </w:p>
        </w:tc>
        <w:tc>
          <w:tcPr>
            <w:tcW w:type="dxa" w:w="4104"/>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Role and current use</w:t>
            </w:r>
          </w:p>
        </w:tc>
        <w:tc>
          <w:tcPr>
            <w:tcW w:type="dxa" w:w="3384"/>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Limit or next action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NOAA/NSIDC G02202 v6 SIC</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Long record for reproducible SIC baselines and hindcasts; annual files and manifests are verified.</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Document QA masks and product version; expand independent seasons/regions and route-corridor evaluation.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NOAA PolarWatch VIIRS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Different-sensor regional observation/transfer checks; mounted data include S-NPP, NOAA-20 and NOAA-21.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Sparse/lagged scenes; define approved product precedence, freshness and failover.</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BYU/NIC iceberg v8</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Historical source-measured track evaluation and observation display.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Selected large bergs only; published record cutoff 2025-04-22; not live or complete obstacle coverage.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NSIDC-0116 motion</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Authenticated 2023–2024 daily files; vector rotation, geodesic displacement, target-grid alignment and chronological evaluator.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Real-file hindcast completed; publication timing, independent-sensor transfer and operational availability remain unverified.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ERA5 / Copernicus Marine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Potential atmospheric/ocean forcing for future motion research.</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Not yet integrated into an operationally validated model; confirm variables, licenses, timing and grid transformations.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xarray, Rasterio, pyproj, SciPy, netCDF4</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Open-source geospatial/scientific pipeline; isolated optional dependency environment and CI tests.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Pin, scan and qualify versions before approved deployment.</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OpenDrift / IceNet / PyTorch</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Useful research baselines/reference implementations for future iceberg/sea-ice model experiments.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Not currently the served model stack; verify Antarctic fit, exact preprocessing, license and reproducibility before adoption.</w:t>
            </w:r>
          </w:p>
        </w:tc>
      </w:tr>
    </w:tbl>
    <w:p>
      <w:pPr>
        <w:spacing w:after="40"/>
      </w:pPr>
    </w:p>
    <w:p>
      <w:pPr>
        <w:spacing w:after="120" w:line="269" w:lineRule="auto"/>
      </w:pPr>
      <w:r>
        <w:t>Training stance: a larger neural model is not automatically better. Keep persistence and simple regression as mandatory baselines. NSIDC motion has been acquired and evaluated retrospectively; wind and ocean forcing, real-time availability and independent regional validation still need work before multimodal training. Split by time, freeze all preprocessing and hyperparameters before test periods, report lead-specific and region/season-stratified metrics, and preserve manifests, checksums, code versions and model hashes.</w:t>
      </w:r>
    </w:p>
    <w:p>
      <w:pPr>
        <w:pStyle w:val="Heading1"/>
        <w:spacing w:before="300" w:after="120"/>
      </w:pPr>
      <w:r>
        <w:rPr>
          <w:color w:val="000000"/>
        </w:rPr>
        <w:t>Architecture and ministry integration</w:t>
      </w:r>
    </w:p>
    <w:p>
      <w:pPr>
        <w:spacing w:after="120" w:line="269" w:lineRule="auto"/>
      </w:pPr>
      <w:r>
        <w:t>Current shape: a browser interface calls a FastAPI service; science/data preparation runs as reproducible Python tooling against mounted, checksummed archives; a container packages the API. The service provides bounded requests, research status and explicit provenance/limitations. It is deployable as a controlled demonstrator, but it is not ministry-integrated or certified.</w:t>
      </w:r>
    </w:p>
    <w:p>
      <w:pPr>
        <w:pStyle w:val="ListBullet"/>
        <w:spacing w:after="60"/>
      </w:pPr>
      <w:r>
        <w:t>Place the service behind the ministry gateway; use ministry OIDC, role-based authorization, TLS, network restrictions and managed workload secrets. Never expose the bearer credential to browser code.</w:t>
      </w:r>
    </w:p>
    <w:p>
      <w:pPr>
        <w:pStyle w:val="ListBullet"/>
        <w:spacing w:after="60"/>
      </w:pPr>
      <w:r>
        <w:t>Have the gateway create the trusted request/actor audit record; application access logs intentionally avoid route coordinates and request bodies. Define privacy, retention and append-only audit controls with the ministry.</w:t>
      </w:r>
    </w:p>
    <w:p>
      <w:pPr>
        <w:pStyle w:val="ListBullet"/>
        <w:spacing w:after="60"/>
      </w:pPr>
      <w:r>
        <w:t>Add trusted ingestion that validates provider/product/version, timestamps, projection/grid, QA, freshness and checksums. Missing, stale or invalid input must fail closed, never imply a passable route.</w:t>
      </w:r>
    </w:p>
    <w:p>
      <w:pPr>
        <w:pStyle w:val="ListBullet"/>
        <w:spacing w:after="60"/>
      </w:pPr>
      <w:r>
        <w:t>Define operations: monitoring and alert ownership, vulnerability/license review, image signing, patching, backup/recovery, incident response, rollback, service objectives and data-source fallback.</w:t>
      </w:r>
    </w:p>
    <w:p>
      <w:pPr>
        <w:pStyle w:val="ListBullet"/>
        <w:spacing w:after="60"/>
      </w:pPr>
      <w:r>
        <w:t>Require named scientific and maritime-safety owners to approve vessel-specific constraints, uncertainty treatment, validation, thresholds and human sign-off before a pilot.</w:t>
      </w:r>
    </w:p>
    <w:p>
      <w:pPr>
        <w:pStyle w:val="Heading1"/>
        <w:spacing w:before="300" w:after="120"/>
      </w:pPr>
      <w:r>
        <w:rPr>
          <w:color w:val="000000"/>
        </w:rPr>
        <w:t>Phased path to the requested system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Phase</w:t>
            </w:r>
          </w:p>
        </w:tc>
        <w:tc>
          <w:tcPr>
            <w:tcW w:type="dxa" w:w="4464"/>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Deliverable</w:t>
            </w:r>
          </w:p>
        </w:tc>
        <w:tc>
          <w:tcPr>
            <w:tcW w:type="dxa" w:w="3312"/>
            <w:shd w:fill="1732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rial" w:hAnsi="Arial"/>
                <w:b/>
                <w:color w:val="FFFFFF"/>
                <w:sz w:val="18"/>
              </w:rPr>
              <w:t>Exit evidence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1 — Research prototype (current)</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Observation and model-evidence workspace; provenance-first API; historical SIC/iceberg research and real-file motion hindcasts.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Repeatable tests/reports; limitations visible; no operational route claim.</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2 — Real-motion research</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Authenticated NSIDC-0116 files acquired for 2023–2024; checksummed alignment and 2023-to-2024 retrospective advection evaluation completed.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Next: independent sensor/region review, source availability audit, error calibration and multi-year replication.</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3 — Integrated voyage demonstrator</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Only after science review: link frozen forecast/track scenarios to a route-cost graph with explicit vessel assumptions and route alternatives.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0" w:lineRule="auto"/>
            </w:pPr>
            <w:r>
              <w:rPr>
                <w:rFonts w:ascii="Arial" w:hAnsi="Arial"/>
                <w:sz w:val="17"/>
              </w:rPr>
              <w:t>Independent scenario replay; hard-constraint tests; route corridor metrics and human-readable rationale.</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4 — Ministry pilot readiness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Identity/gateway, trusted ingestion, audit, monitoring, safety case, deployment controls and human workflow.</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F3F5F7"/>
          </w:tcPr>
          <w:p>
            <w:pPr>
              <w:spacing w:after="0" w:line="240" w:lineRule="auto"/>
            </w:pPr>
            <w:r>
              <w:rPr>
                <w:rFonts w:ascii="Arial" w:hAnsi="Arial"/>
                <w:sz w:val="17"/>
              </w:rPr>
              <w:t>Written ministry/scientific/maritime approvals and successful staging acceptance tests.</w:t>
            </w:r>
          </w:p>
        </w:tc>
      </w:tr>
    </w:tbl>
    <w:p>
      <w:pPr>
        <w:spacing w:after="40"/>
      </w:pPr>
    </w:p>
    <w:p>
      <w:pPr>
        <w:spacing w:after="120" w:line="269" w:lineRule="auto"/>
      </w:pPr>
      <w:r>
        <w:t>The NSIDC motion study uses real authenticated files, but the blend is a simple fitted research coefficient, not a trained operational forecast model. Its 2024 result is restricted to common-valid cells and cannot support a route recommendation. The next scientific gate is to establish when source fields were actually available and independently test the method across years, regions and sensors.</w:t>
      </w:r>
    </w:p>
    <w:p>
      <w:pPr>
        <w:pStyle w:val="Heading1"/>
        <w:spacing w:before="300" w:after="120"/>
      </w:pPr>
      <w:r>
        <w:rPr>
          <w:color w:val="000000"/>
        </w:rPr>
        <w:t>Risks and responsible use</w:t>
      </w:r>
    </w:p>
    <w:p>
      <w:pPr>
        <w:pStyle w:val="ListBullet"/>
        <w:spacing w:after="60"/>
      </w:pPr>
      <w:r>
        <w:t>Science risk: the served SIC regression barely improves on persistence and some metrics regress. The separate motion hindcast has a larger retrospective gain but no availability proof. Keep both baseline comparisons and limits visible.</w:t>
      </w:r>
    </w:p>
    <w:p>
      <w:pPr>
        <w:pStyle w:val="ListBullet"/>
        <w:spacing w:after="60"/>
      </w:pPr>
      <w:r>
        <w:t>Coverage risk: satellite gaps, stale products and selected iceberg records can omit hazards. Expose age/coverage and unavailable states.</w:t>
      </w:r>
    </w:p>
    <w:p>
      <w:pPr>
        <w:pStyle w:val="ListBullet"/>
        <w:spacing w:after="60"/>
      </w:pPr>
      <w:r>
        <w:t>Navigation risk: vessel ice class, bathymetry, operational ice charts, propulsion/fuel curves, encounter risk and safety thresholds are not modeled. Do not label a route “safe.”</w:t>
      </w:r>
    </w:p>
    <w:p>
      <w:pPr>
        <w:pStyle w:val="ListBullet"/>
        <w:spacing w:after="60"/>
      </w:pPr>
      <w:r>
        <w:t>Data/model risk: protect against temporal leakage, undocumented reprojection, changing data latency and mismatched product grids; retain complete provenance.</w:t>
      </w:r>
    </w:p>
    <w:p>
      <w:pPr>
        <w:pStyle w:val="ListBullet"/>
        <w:spacing w:after="60"/>
      </w:pPr>
      <w:r>
        <w:t>Governance risk: this is not a ministry-approved or certified application. Keep an unmistakable research-only notice and require human review.</w:t>
      </w:r>
    </w:p>
    <w:p>
      <w:pPr>
        <w:pStyle w:val="Heading1"/>
        <w:spacing w:before="300" w:after="120"/>
      </w:pPr>
      <w:r>
        <w:rPr>
          <w:color w:val="000000"/>
        </w:rPr>
        <w:t>Recommended demo and short pitch</w:t>
      </w:r>
    </w:p>
    <w:p>
      <w:pPr>
        <w:spacing w:after="120" w:line="269" w:lineRule="auto"/>
      </w:pPr>
      <w:r>
        <w:t>Demo: open the observed-data view and identify its timestamp, sensor and source status; show the frozen SIC model alongside persistence and its mixed results; inspect dated BYU/NIC positions; explain that the route swath is observed exposure context; then show the real-file NSIDC motion report with its 2023 coefficient source, frozen 2024 score, date coverage and timing caveat.</w:t>
      </w:r>
    </w:p>
    <w:p>
      <w:pPr>
        <w:spacing w:after="120" w:line="269" w:lineRule="auto"/>
      </w:pPr>
      <w:r>
        <w:t>Pitch: “Southern Passage brings Antarctic sea-ice observations, research forecasts, iceberg evidence and voyage context into one inspectable workspace. We compare each research method against persistence. A motion blend chosen on 2023 data reduced 2024 historical one-day SIC error by about 3% MAE and 4.5% RMSE on valid cells. The finding is reproducible, while source availability and route-level use still need independent validation.”</w:t>
      </w:r>
    </w:p>
    <w:p>
      <w:pPr>
        <w:pStyle w:val="Heading1"/>
        <w:spacing w:before="300" w:after="120"/>
      </w:pPr>
      <w:r>
        <w:rPr>
          <w:color w:val="000000"/>
        </w:rPr>
        <w:t>Primary sources and repositories</w:t>
      </w:r>
    </w:p>
    <w:p>
      <w:pPr>
        <w:spacing w:after="60"/>
      </w:pPr>
      <w:r>
        <w:t xml:space="preserve">1. </w:t>
      </w:r>
      <w:hyperlink r:id="rId9">
        <w:r>
          <w:rPr>
            <w:color w:val="0563C1"/>
            <w:u w:val="single"/>
          </w:rPr>
          <w:t>SIH Buddy problem analysis provided by team</w:t>
        </w:r>
      </w:hyperlink>
    </w:p>
    <w:p>
      <w:pPr>
        <w:spacing w:after="60"/>
      </w:pPr>
      <w:r>
        <w:t xml:space="preserve">2. </w:t>
      </w:r>
      <w:hyperlink r:id="rId10">
        <w:r>
          <w:rPr>
            <w:color w:val="0563C1"/>
            <w:u w:val="single"/>
          </w:rPr>
          <w:t>NSIDC NOAA Climate Data Record passive microwave sea-ice concentration</w:t>
        </w:r>
      </w:hyperlink>
    </w:p>
    <w:p>
      <w:pPr>
        <w:spacing w:after="60"/>
      </w:pPr>
      <w:r>
        <w:t xml:space="preserve">3. </w:t>
      </w:r>
      <w:hyperlink r:id="rId11">
        <w:r>
          <w:rPr>
            <w:color w:val="0563C1"/>
            <w:u w:val="single"/>
          </w:rPr>
          <w:t>NSIDC Polar Pathfinder Daily 25 km EASE Grid Sea Ice Motion Vectors</w:t>
        </w:r>
      </w:hyperlink>
    </w:p>
    <w:p>
      <w:pPr>
        <w:spacing w:after="60"/>
      </w:pPr>
      <w:r>
        <w:t xml:space="preserve">4. </w:t>
      </w:r>
      <w:hyperlink r:id="rId12">
        <w:r>
          <w:rPr>
            <w:color w:val="0563C1"/>
            <w:u w:val="single"/>
          </w:rPr>
          <w:t>BYU NIC Antarctic Iceberg Tracking Database</w:t>
        </w:r>
      </w:hyperlink>
    </w:p>
    <w:p>
      <w:pPr>
        <w:spacing w:after="60"/>
      </w:pPr>
      <w:r>
        <w:t xml:space="preserve">5. </w:t>
      </w:r>
      <w:hyperlink r:id="rId13">
        <w:r>
          <w:rPr>
            <w:color w:val="0563C1"/>
            <w:u w:val="single"/>
          </w:rPr>
          <w:t>ERA5 global reanalysis reference</w:t>
        </w:r>
      </w:hyperlink>
    </w:p>
    <w:p>
      <w:pPr>
        <w:spacing w:after="60"/>
      </w:pPr>
      <w:r>
        <w:t xml:space="preserve">6. </w:t>
      </w:r>
      <w:hyperlink r:id="rId14">
        <w:r>
          <w:rPr>
            <w:color w:val="0563C1"/>
            <w:u w:val="single"/>
          </w:rPr>
          <w:t>Copernicus Marine Toolbox official documentation</w:t>
        </w:r>
      </w:hyperlink>
    </w:p>
    <w:p>
      <w:pPr>
        <w:spacing w:after="60"/>
      </w:pPr>
      <w:r>
        <w:t xml:space="preserve">7. </w:t>
      </w:r>
      <w:hyperlink r:id="rId15">
        <w:r>
          <w:rPr>
            <w:color w:val="0563C1"/>
            <w:u w:val="single"/>
          </w:rPr>
          <w:t>IceNet core library repository</w:t>
        </w:r>
      </w:hyperlink>
    </w:p>
    <w:p>
      <w:pPr>
        <w:spacing w:after="60"/>
      </w:pPr>
      <w:r>
        <w:t xml:space="preserve">8. </w:t>
      </w:r>
      <w:hyperlink r:id="rId16">
        <w:r>
          <w:rPr>
            <w:color w:val="0563C1"/>
            <w:u w:val="single"/>
          </w:rPr>
          <w:t>IceNet operational pipeline repository</w:t>
        </w:r>
      </w:hyperlink>
    </w:p>
    <w:p>
      <w:pPr>
        <w:spacing w:after="60"/>
      </w:pPr>
      <w:r>
        <w:t xml:space="preserve">9. </w:t>
      </w:r>
      <w:hyperlink r:id="rId17">
        <w:r>
          <w:rPr>
            <w:color w:val="0563C1"/>
            <w:u w:val="single"/>
          </w:rPr>
          <w:t>OpenDrift repository</w:t>
        </w:r>
      </w:hyperlink>
    </w:p>
    <w:p>
      <w:pPr>
        <w:spacing w:after="60"/>
      </w:pPr>
      <w:r>
        <w:t xml:space="preserve">10. </w:t>
      </w:r>
      <w:hyperlink r:id="rId18">
        <w:r>
          <w:rPr>
            <w:color w:val="0563C1"/>
            <w:u w:val="single"/>
          </w:rPr>
          <w:t>OpenDrift v1.0 scientific paper</w:t>
        </w:r>
      </w:hyperlink>
    </w:p>
    <w:p>
      <w:pPr>
        <w:spacing w:after="60"/>
      </w:pPr>
      <w:r>
        <w:t xml:space="preserve">11. </w:t>
      </w:r>
      <w:hyperlink r:id="rId19">
        <w:r>
          <w:rPr>
            <w:color w:val="0563C1"/>
            <w:u w:val="single"/>
          </w:rPr>
          <w:t>Pathfinding and optimization for vessels in ice literature review</w:t>
        </w:r>
      </w:hyperlink>
    </w:p>
    <w:p>
      <w:pPr>
        <w:spacing w:after="60"/>
      </w:pPr>
      <w:r>
        <w:t xml:space="preserve">12. </w:t>
      </w:r>
      <w:hyperlink r:id="rId20">
        <w:r>
          <w:rPr>
            <w:color w:val="0563C1"/>
            <w:u w:val="single"/>
          </w:rPr>
          <w:t>IceNet probabilistic deep-learning paper</w:t>
        </w:r>
      </w:hyperlink>
    </w:p>
    <w:p>
      <w:pPr>
        <w:spacing w:after="60"/>
      </w:pPr>
      <w:r>
        <w:t xml:space="preserve">13. </w:t>
      </w:r>
      <w:hyperlink r:id="rId21">
        <w:r>
          <w:rPr>
            <w:color w:val="0563C1"/>
            <w:u w:val="single"/>
          </w:rPr>
          <w:t>Analytical iceberg drift model</w:t>
        </w:r>
      </w:hyperlink>
    </w:p>
    <w:sectPr>
      <w:footerReference w:type="default" r:id="rId22"/>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SIH26059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hbuddy.com/" TargetMode="External"/><Relationship Id="rId10" Type="http://schemas.openxmlformats.org/officeDocument/2006/relationships/hyperlink" Target="https://nsidc.org/data/g02202/versions/6" TargetMode="External"/><Relationship Id="rId11" Type="http://schemas.openxmlformats.org/officeDocument/2006/relationships/hyperlink" Target="https://nsidc.org/data/nsidc-0116" TargetMode="External"/><Relationship Id="rId12" Type="http://schemas.openxmlformats.org/officeDocument/2006/relationships/hyperlink" Target="https://www.scp.byu.edu/iceberg/default.html" TargetMode="External"/><Relationship Id="rId13" Type="http://schemas.openxmlformats.org/officeDocument/2006/relationships/hyperlink" Target="https://doi.org/10.1002/qj.3803" TargetMode="External"/><Relationship Id="rId14" Type="http://schemas.openxmlformats.org/officeDocument/2006/relationships/hyperlink" Target="https://toolbox-docs.marine.copernicus.eu/en/stable/usage/quickoverview.html" TargetMode="External"/><Relationship Id="rId15" Type="http://schemas.openxmlformats.org/officeDocument/2006/relationships/hyperlink" Target="https://github.com/icenet-ai/icenet" TargetMode="External"/><Relationship Id="rId16" Type="http://schemas.openxmlformats.org/officeDocument/2006/relationships/hyperlink" Target="https://github.com/icenet-ai/icenet-pipeline" TargetMode="External"/><Relationship Id="rId17" Type="http://schemas.openxmlformats.org/officeDocument/2006/relationships/hyperlink" Target="https://github.com/OpenDrift/opendrift" TargetMode="External"/><Relationship Id="rId18" Type="http://schemas.openxmlformats.org/officeDocument/2006/relationships/hyperlink" Target="https://gmd.copernicus.org/articles/11/1405/2018/" TargetMode="External"/><Relationship Id="rId19" Type="http://schemas.openxmlformats.org/officeDocument/2006/relationships/hyperlink" Target="https://nrc-publications.canada.ca/fra/voir/td/?id=b323558e-366a-4933-aa60-1570ac4237b2" TargetMode="External"/><Relationship Id="rId20" Type="http://schemas.openxmlformats.org/officeDocument/2006/relationships/hyperlink" Target="https://www.nature.com/articles/s41467-021-25257-4" TargetMode="External"/><Relationship Id="rId21" Type="http://schemas.openxmlformats.org/officeDocument/2006/relationships/hyperlink" Target="https://doi.org/10.1175/JPO-D-16-0262.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