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GuideRail Smart Guided Troubleshooting Solution Report</w:t>
      </w:r>
    </w:p>
    <w:p>
      <w:pPr>
        <w:pStyle w:val="Subtitle"/>
        <w:spacing w:after="280"/>
      </w:pPr>
      <w:r>
        <w:t>Research and build report for Samsung PRISM Y2026 GenAI Hackathon Track 2</w:t>
      </w:r>
    </w:p>
    <w:p>
      <w:pPr>
        <w:spacing w:after="240"/>
      </w:pPr>
      <w:r>
        <w:rPr>
          <w:rFonts w:ascii="Aptos" w:hAnsi="Aptos"/>
          <w:b/>
          <w:color w:val="6B48B7"/>
          <w:sz w:val="18"/>
        </w:rPr>
        <w:t>THEME 02 - SMART GUIDED TROUBLESHOOTING</w:t>
      </w:r>
    </w:p>
    <w:p>
      <w:r>
        <w:rPr>
          <w:b/>
          <w:color w:val="0C7557"/>
        </w:rPr>
        <w:t>Status: full application foundation completed</w:t>
      </w:r>
      <w:r>
        <w:t xml:space="preserve"> — final submission still needs the official starter dataset, team identity, repository URL, demo video, and release tag.</w:t>
      </w:r>
    </w:p>
    <w:p>
      <w:pPr>
        <w:pStyle w:val="Heading1"/>
      </w:pPr>
      <w:r>
        <w:t>1. Executive summary</w:t>
      </w:r>
    </w:p>
    <w:p>
      <w:r>
        <w:t>GuideRail converts free-form device complaints into validated, ordered troubleshooting plans with exact Settings deeplinks. Its central design choice is to treat generation as a constrained proposal, not as the source of truth. Retrieval supplies approved evidence; a deterministic validation gate enforces the response schema, step grammar, category ordering, deeplink membership, and safe fallback behavior.</w:t>
      </w:r>
    </w:p>
    <w:p>
      <w:pPr>
        <w:pStyle w:val="ListBullet"/>
        <w:spacing w:after="60"/>
      </w:pPr>
      <w:r>
        <w:t>One complaint can produce multiple issue goals, preserving the multi-issue requirement.</w:t>
      </w:r>
    </w:p>
    <w:p>
      <w:pPr>
        <w:pStyle w:val="ListBullet"/>
        <w:spacing w:after="60"/>
      </w:pPr>
      <w:r>
        <w:t>Every actionable Settings route must match the supplied catalog exactly; web URLs and invented paths are rejected.</w:t>
      </w:r>
    </w:p>
    <w:p>
      <w:pPr>
        <w:pStyle w:val="ListBullet"/>
        <w:spacing w:after="60"/>
      </w:pPr>
      <w:r>
        <w:t>Only fully validated plans enter the semantic cache, preventing cached hallucinations from becoming permanent.</w:t>
      </w:r>
    </w:p>
    <w:p>
      <w:pPr>
        <w:pStyle w:val="ListBullet"/>
        <w:spacing w:after="60"/>
      </w:pPr>
      <w:r>
        <w:t>Unknown or weak-evidence complaints fail closed with a named fallback instead of a confident fabricated plan.</w:t>
      </w:r>
    </w:p>
    <w:p>
      <w:pPr>
        <w:pStyle w:val="ListBullet"/>
        <w:spacing w:after="60"/>
      </w:pPr>
      <w:r>
        <w:t>The reference implementation exposes POST /v1/troubleshoot and GET /health and includes a responsive demonstration interface.</w:t>
      </w:r>
    </w:p>
    <w:p>
      <w:pPr>
        <w:pStyle w:val="Heading1"/>
      </w:pPr>
      <w:r>
        <w:t>2. Requirement traceability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232"/>
            <w:vAlign w:val="center"/>
            <w:tcMar>
              <w:top w:w="100" w:type="dxa"/>
              <w:start w:w="110" w:type="dxa"/>
              <w:bottom w:w="100" w:type="dxa"/>
              <w:end w:w="110" w:type="dxa"/>
            </w:tcMar>
            <w:shd w:fill="6B48B7"/>
          </w:tcPr>
          <w:p>
            <w:pPr>
              <w:spacing w:after="0"/>
            </w:pPr>
            <w:r/>
            <w:r>
              <w:rPr>
                <w:rFonts w:ascii="Aptos" w:hAnsi="Aptos"/>
                <w:b/>
                <w:color w:val="FFFFFF"/>
                <w:sz w:val="18"/>
              </w:rPr>
              <w:t>Demand</w:t>
            </w:r>
          </w:p>
        </w:tc>
        <w:tc>
          <w:tcPr>
            <w:tcW w:type="dxa" w:w="6120"/>
            <w:vAlign w:val="center"/>
            <w:tcMar>
              <w:top w:w="100" w:type="dxa"/>
              <w:start w:w="110" w:type="dxa"/>
              <w:bottom w:w="100" w:type="dxa"/>
              <w:end w:w="110" w:type="dxa"/>
            </w:tcMar>
            <w:shd w:fill="6B48B7"/>
          </w:tcPr>
          <w:p>
            <w:pPr>
              <w:spacing w:after="0"/>
            </w:pPr>
            <w:r/>
            <w:r>
              <w:rPr>
                <w:rFonts w:ascii="Aptos" w:hAnsi="Aptos"/>
                <w:b/>
                <w:color w:val="FFFFFF"/>
                <w:sz w:val="18"/>
              </w:rPr>
              <w:t>Design response</w:t>
            </w:r>
          </w:p>
        </w:tc>
        <w:tc>
          <w:tcPr>
            <w:tcW w:type="dxa" w:w="2232"/>
            <w:vAlign w:val="center"/>
            <w:tcMar>
              <w:top w:w="100" w:type="dxa"/>
              <w:start w:w="110" w:type="dxa"/>
              <w:bottom w:w="100" w:type="dxa"/>
              <w:end w:w="110" w:type="dxa"/>
            </w:tcMar>
            <w:shd w:fill="6B48B7"/>
          </w:tcPr>
          <w:p>
            <w:pPr>
              <w:spacing w:after="0"/>
            </w:pPr>
            <w:r/>
            <w:r>
              <w:rPr>
                <w:rFonts w:ascii="Aptos" w:hAnsi="Aptos"/>
                <w:b/>
                <w:color w:val="FFFFFF"/>
                <w:sz w:val="18"/>
              </w:rPr>
              <w:t>Current evidence</w:t>
            </w:r>
          </w:p>
        </w:tc>
      </w:tr>
      <w:tr>
        <w:trPr>
          <w:cantSplit w:val="true"/>
        </w:trPr>
        <w:tc>
          <w:tcPr>
            <w:tcW w:type="dxa" w:w="2232"/>
            <w:vAlign w:val="center"/>
            <w:tcMar>
              <w:top w:w="100" w:type="dxa"/>
              <w:start w:w="110" w:type="dxa"/>
              <w:bottom w:w="100" w:type="dxa"/>
              <w:end w:w="110" w:type="dxa"/>
            </w:tcMar>
          </w:tcPr>
          <w:p>
            <w:pPr>
              <w:spacing w:after="0"/>
            </w:pPr>
            <w:r/>
            <w:r>
              <w:rPr>
                <w:rFonts w:ascii="Aptos" w:hAnsi="Aptos"/>
                <w:b w:val="0"/>
                <w:color w:val="252638"/>
                <w:sz w:val="18"/>
              </w:rPr>
              <w:t>Structured REST response</w:t>
            </w:r>
          </w:p>
        </w:tc>
        <w:tc>
          <w:tcPr>
            <w:tcW w:type="dxa" w:w="6120"/>
            <w:vAlign w:val="center"/>
            <w:tcMar>
              <w:top w:w="100" w:type="dxa"/>
              <w:start w:w="110" w:type="dxa"/>
              <w:bottom w:w="100" w:type="dxa"/>
              <w:end w:w="110" w:type="dxa"/>
            </w:tcMar>
          </w:tcPr>
          <w:p>
            <w:pPr>
              <w:spacing w:after="0"/>
            </w:pPr>
            <w:r/>
            <w:r>
              <w:rPr>
                <w:rFonts w:ascii="Aptos" w:hAnsi="Aptos"/>
                <w:b w:val="0"/>
                <w:color w:val="252638"/>
                <w:sz w:val="18"/>
              </w:rPr>
              <w:t>Pydantic response models; JSON-only API surface</w:t>
            </w:r>
          </w:p>
        </w:tc>
        <w:tc>
          <w:tcPr>
            <w:tcW w:type="dxa" w:w="2232"/>
            <w:vAlign w:val="center"/>
            <w:tcMar>
              <w:top w:w="100" w:type="dxa"/>
              <w:start w:w="110" w:type="dxa"/>
              <w:bottom w:w="100" w:type="dxa"/>
              <w:end w:w="110" w:type="dxa"/>
            </w:tcMar>
          </w:tcPr>
          <w:p>
            <w:pPr>
              <w:spacing w:after="0"/>
            </w:pPr>
            <w:r/>
            <w:r>
              <w:rPr>
                <w:rFonts w:ascii="Aptos" w:hAnsi="Aptos"/>
                <w:b w:val="0"/>
                <w:color w:val="252638"/>
                <w:sz w:val="18"/>
              </w:rPr>
              <w:t>Implemented</w:t>
            </w:r>
          </w:p>
        </w:tc>
      </w:tr>
      <w:tr>
        <w:trPr>
          <w:cantSplit w:val="true"/>
        </w:trPr>
        <w:tc>
          <w:tcPr>
            <w:tcW w:type="dxa" w:w="2232"/>
            <w:vAlign w:val="center"/>
            <w:tcMar>
              <w:top w:w="100" w:type="dxa"/>
              <w:start w:w="110" w:type="dxa"/>
              <w:bottom w:w="100" w:type="dxa"/>
              <w:end w:w="110" w:type="dxa"/>
            </w:tcMar>
            <w:shd w:fill="FAF9FD"/>
          </w:tcPr>
          <w:p>
            <w:pPr>
              <w:spacing w:after="0"/>
            </w:pPr>
            <w:r/>
            <w:r>
              <w:rPr>
                <w:rFonts w:ascii="Aptos" w:hAnsi="Aptos"/>
                <w:b w:val="0"/>
                <w:color w:val="252638"/>
                <w:sz w:val="18"/>
              </w:rPr>
              <w:t>Query enrichment</w:t>
            </w:r>
          </w:p>
        </w:tc>
        <w:tc>
          <w:tcPr>
            <w:tcW w:type="dxa" w:w="6120"/>
            <w:vAlign w:val="center"/>
            <w:tcMar>
              <w:top w:w="100" w:type="dxa"/>
              <w:start w:w="110" w:type="dxa"/>
              <w:bottom w:w="100" w:type="dxa"/>
              <w:end w:w="110" w:type="dxa"/>
            </w:tcMar>
            <w:shd w:fill="FAF9FD"/>
          </w:tcPr>
          <w:p>
            <w:pPr>
              <w:spacing w:after="0"/>
            </w:pPr>
            <w:r/>
            <w:r>
              <w:rPr>
                <w:rFonts w:ascii="Aptos" w:hAnsi="Aptos"/>
                <w:b w:val="0"/>
                <w:color w:val="252638"/>
                <w:sz w:val="18"/>
              </w:rPr>
              <w:t>Canonical issue plus 8–10 stored paraphrase variations</w:t>
            </w:r>
          </w:p>
        </w:tc>
        <w:tc>
          <w:tcPr>
            <w:tcW w:type="dxa" w:w="2232"/>
            <w:vAlign w:val="center"/>
            <w:tcMar>
              <w:top w:w="100" w:type="dxa"/>
              <w:start w:w="110" w:type="dxa"/>
              <w:bottom w:w="100" w:type="dxa"/>
              <w:end w:w="110" w:type="dxa"/>
            </w:tcMar>
            <w:shd w:fill="FAF9FD"/>
          </w:tcPr>
          <w:p>
            <w:pPr>
              <w:spacing w:after="0"/>
            </w:pPr>
            <w:r/>
            <w:r>
              <w:rPr>
                <w:rFonts w:ascii="Aptos" w:hAnsi="Aptos"/>
                <w:b w:val="0"/>
                <w:color w:val="252638"/>
                <w:sz w:val="18"/>
              </w:rPr>
              <w:t>Implemented for synthetic corpus</w:t>
            </w:r>
          </w:p>
        </w:tc>
      </w:tr>
      <w:tr>
        <w:trPr>
          <w:cantSplit w:val="true"/>
        </w:trPr>
        <w:tc>
          <w:tcPr>
            <w:tcW w:type="dxa" w:w="2232"/>
            <w:vAlign w:val="center"/>
            <w:tcMar>
              <w:top w:w="100" w:type="dxa"/>
              <w:start w:w="110" w:type="dxa"/>
              <w:bottom w:w="100" w:type="dxa"/>
              <w:end w:w="110" w:type="dxa"/>
            </w:tcMar>
          </w:tcPr>
          <w:p>
            <w:pPr>
              <w:spacing w:after="0"/>
            </w:pPr>
            <w:r/>
            <w:r>
              <w:rPr>
                <w:rFonts w:ascii="Aptos" w:hAnsi="Aptos"/>
                <w:b w:val="0"/>
                <w:color w:val="252638"/>
                <w:sz w:val="18"/>
              </w:rPr>
              <w:t>Two-stage LLM engine</w:t>
            </w:r>
          </w:p>
        </w:tc>
        <w:tc>
          <w:tcPr>
            <w:tcW w:type="dxa" w:w="6120"/>
            <w:vAlign w:val="center"/>
            <w:tcMar>
              <w:top w:w="100" w:type="dxa"/>
              <w:start w:w="110" w:type="dxa"/>
              <w:bottom w:w="100" w:type="dxa"/>
              <w:end w:w="110" w:type="dxa"/>
            </w:tcMar>
          </w:tcPr>
          <w:p>
            <w:pPr>
              <w:spacing w:after="0"/>
            </w:pPr>
            <w:r/>
            <w:r>
              <w:rPr>
                <w:rFonts w:ascii="Aptos" w:hAnsi="Aptos"/>
                <w:b w:val="0"/>
                <w:color w:val="252638"/>
                <w:sz w:val="18"/>
              </w:rPr>
              <w:t>Separate issue structuring and evidence-constrained plan generation</w:t>
            </w:r>
          </w:p>
        </w:tc>
        <w:tc>
          <w:tcPr>
            <w:tcW w:type="dxa" w:w="2232"/>
            <w:vAlign w:val="center"/>
            <w:tcMar>
              <w:top w:w="100" w:type="dxa"/>
              <w:start w:w="110" w:type="dxa"/>
              <w:bottom w:w="100" w:type="dxa"/>
              <w:end w:w="110" w:type="dxa"/>
            </w:tcMar>
          </w:tcPr>
          <w:p>
            <w:pPr>
              <w:spacing w:after="0"/>
            </w:pPr>
            <w:r/>
            <w:r>
              <w:rPr>
                <w:rFonts w:ascii="Aptos" w:hAnsi="Aptos"/>
                <w:b w:val="0"/>
                <w:color w:val="252638"/>
                <w:sz w:val="18"/>
              </w:rPr>
              <w:t>Implemented; endpoint configuration required</w:t>
            </w:r>
          </w:p>
        </w:tc>
      </w:tr>
      <w:tr>
        <w:trPr>
          <w:cantSplit w:val="true"/>
        </w:trPr>
        <w:tc>
          <w:tcPr>
            <w:tcW w:type="dxa" w:w="2232"/>
            <w:vAlign w:val="center"/>
            <w:tcMar>
              <w:top w:w="100" w:type="dxa"/>
              <w:start w:w="110" w:type="dxa"/>
              <w:bottom w:w="100" w:type="dxa"/>
              <w:end w:w="110" w:type="dxa"/>
            </w:tcMar>
            <w:shd w:fill="FAF9FD"/>
          </w:tcPr>
          <w:p>
            <w:pPr>
              <w:spacing w:after="0"/>
            </w:pPr>
            <w:r/>
            <w:r>
              <w:rPr>
                <w:rFonts w:ascii="Aptos" w:hAnsi="Aptos"/>
                <w:b w:val="0"/>
                <w:color w:val="252638"/>
                <w:sz w:val="18"/>
              </w:rPr>
              <w:t>Exact Settings deeplinks</w:t>
            </w:r>
          </w:p>
        </w:tc>
        <w:tc>
          <w:tcPr>
            <w:tcW w:type="dxa" w:w="6120"/>
            <w:vAlign w:val="center"/>
            <w:tcMar>
              <w:top w:w="100" w:type="dxa"/>
              <w:start w:w="110" w:type="dxa"/>
              <w:bottom w:w="100" w:type="dxa"/>
              <w:end w:w="110" w:type="dxa"/>
            </w:tcMar>
            <w:shd w:fill="FAF9FD"/>
          </w:tcPr>
          <w:p>
            <w:pPr>
              <w:spacing w:after="0"/>
            </w:pPr>
            <w:r/>
            <w:r>
              <w:rPr>
                <w:rFonts w:ascii="Aptos" w:hAnsi="Aptos"/>
                <w:b w:val="0"/>
                <w:color w:val="252638"/>
                <w:sz w:val="18"/>
              </w:rPr>
              <w:t>Catalog resolver plus post-generation membership check</w:t>
            </w:r>
          </w:p>
        </w:tc>
        <w:tc>
          <w:tcPr>
            <w:tcW w:type="dxa" w:w="2232"/>
            <w:vAlign w:val="center"/>
            <w:tcMar>
              <w:top w:w="100" w:type="dxa"/>
              <w:start w:w="110" w:type="dxa"/>
              <w:bottom w:w="100" w:type="dxa"/>
              <w:end w:w="110" w:type="dxa"/>
            </w:tcMar>
            <w:shd w:fill="FAF9FD"/>
          </w:tcPr>
          <w:p>
            <w:pPr>
              <w:spacing w:after="0"/>
            </w:pPr>
            <w:r/>
            <w:r>
              <w:rPr>
                <w:rFonts w:ascii="Aptos" w:hAnsi="Aptos"/>
                <w:b w:val="0"/>
                <w:color w:val="252638"/>
                <w:sz w:val="18"/>
              </w:rPr>
              <w:t>Implemented</w:t>
            </w:r>
          </w:p>
        </w:tc>
      </w:tr>
      <w:tr>
        <w:trPr>
          <w:cantSplit w:val="true"/>
        </w:trPr>
        <w:tc>
          <w:tcPr>
            <w:tcW w:type="dxa" w:w="2232"/>
            <w:vAlign w:val="center"/>
            <w:tcMar>
              <w:top w:w="100" w:type="dxa"/>
              <w:start w:w="110" w:type="dxa"/>
              <w:bottom w:w="100" w:type="dxa"/>
              <w:end w:w="110" w:type="dxa"/>
            </w:tcMar>
          </w:tcPr>
          <w:p>
            <w:pPr>
              <w:spacing w:after="0"/>
            </w:pPr>
            <w:r/>
            <w:r>
              <w:rPr>
                <w:rFonts w:ascii="Aptos" w:hAnsi="Aptos"/>
                <w:b w:val="0"/>
                <w:color w:val="252638"/>
                <w:sz w:val="18"/>
              </w:rPr>
              <w:t>10k+ reusable scenarios</w:t>
            </w:r>
          </w:p>
        </w:tc>
        <w:tc>
          <w:tcPr>
            <w:tcW w:type="dxa" w:w="6120"/>
            <w:vAlign w:val="center"/>
            <w:tcMar>
              <w:top w:w="100" w:type="dxa"/>
              <w:start w:w="110" w:type="dxa"/>
              <w:bottom w:w="100" w:type="dxa"/>
              <w:end w:w="110" w:type="dxa"/>
            </w:tcMar>
          </w:tcPr>
          <w:p>
            <w:pPr>
              <w:spacing w:after="0"/>
            </w:pPr>
            <w:r/>
            <w:r>
              <w:rPr>
                <w:rFonts w:ascii="Aptos" w:hAnsi="Aptos"/>
                <w:b w:val="0"/>
                <w:color w:val="252638"/>
                <w:sz w:val="18"/>
              </w:rPr>
              <w:t>Data-driven knowledge records; no scenario-specific code branches</w:t>
            </w:r>
          </w:p>
        </w:tc>
        <w:tc>
          <w:tcPr>
            <w:tcW w:type="dxa" w:w="2232"/>
            <w:vAlign w:val="center"/>
            <w:tcMar>
              <w:top w:w="100" w:type="dxa"/>
              <w:start w:w="110" w:type="dxa"/>
              <w:bottom w:w="100" w:type="dxa"/>
              <w:end w:w="110" w:type="dxa"/>
            </w:tcMar>
          </w:tcPr>
          <w:p>
            <w:pPr>
              <w:spacing w:after="0"/>
            </w:pPr>
            <w:r/>
            <w:r>
              <w:rPr>
                <w:rFonts w:ascii="Aptos" w:hAnsi="Aptos"/>
                <w:b w:val="0"/>
                <w:color w:val="252638"/>
                <w:sz w:val="18"/>
              </w:rPr>
              <w:t>Architecture ready; starter corpus required</w:t>
            </w:r>
          </w:p>
        </w:tc>
      </w:tr>
      <w:tr>
        <w:trPr>
          <w:cantSplit w:val="true"/>
        </w:trPr>
        <w:tc>
          <w:tcPr>
            <w:tcW w:type="dxa" w:w="2232"/>
            <w:vAlign w:val="center"/>
            <w:tcMar>
              <w:top w:w="100" w:type="dxa"/>
              <w:start w:w="110" w:type="dxa"/>
              <w:bottom w:w="100" w:type="dxa"/>
              <w:end w:w="110" w:type="dxa"/>
            </w:tcMar>
            <w:shd w:fill="FAF9FD"/>
          </w:tcPr>
          <w:p>
            <w:pPr>
              <w:spacing w:after="0"/>
            </w:pPr>
            <w:r/>
            <w:r>
              <w:rPr>
                <w:rFonts w:ascii="Aptos" w:hAnsi="Aptos"/>
                <w:b w:val="0"/>
                <w:color w:val="252638"/>
                <w:sz w:val="18"/>
              </w:rPr>
              <w:t>Validated cache under 300 ms</w:t>
            </w:r>
          </w:p>
        </w:tc>
        <w:tc>
          <w:tcPr>
            <w:tcW w:type="dxa" w:w="6120"/>
            <w:vAlign w:val="center"/>
            <w:tcMar>
              <w:top w:w="100" w:type="dxa"/>
              <w:start w:w="110" w:type="dxa"/>
              <w:bottom w:w="100" w:type="dxa"/>
              <w:end w:w="110" w:type="dxa"/>
            </w:tcMar>
            <w:shd w:fill="FAF9FD"/>
          </w:tcPr>
          <w:p>
            <w:pPr>
              <w:spacing w:after="0"/>
            </w:pPr>
            <w:r/>
            <w:r>
              <w:rPr>
                <w:rFonts w:ascii="Aptos" w:hAnsi="Aptos"/>
                <w:b w:val="0"/>
                <w:color w:val="252638"/>
                <w:sz w:val="18"/>
              </w:rPr>
              <w:t>Exact and semantic keys; admission only after validation</w:t>
            </w:r>
          </w:p>
        </w:tc>
        <w:tc>
          <w:tcPr>
            <w:tcW w:type="dxa" w:w="2232"/>
            <w:vAlign w:val="center"/>
            <w:tcMar>
              <w:top w:w="100" w:type="dxa"/>
              <w:start w:w="110" w:type="dxa"/>
              <w:bottom w:w="100" w:type="dxa"/>
              <w:end w:w="110" w:type="dxa"/>
            </w:tcMar>
            <w:shd w:fill="FAF9FD"/>
          </w:tcPr>
          <w:p>
            <w:pPr>
              <w:spacing w:after="0"/>
            </w:pPr>
            <w:r/>
            <w:r>
              <w:rPr>
                <w:rFonts w:ascii="Aptos" w:hAnsi="Aptos"/>
                <w:b w:val="0"/>
                <w:color w:val="252638"/>
                <w:sz w:val="18"/>
              </w:rPr>
              <w:t>Implemented; synthetic local P95 below 1 ms</w:t>
            </w:r>
          </w:p>
        </w:tc>
      </w:tr>
      <w:tr>
        <w:trPr>
          <w:cantSplit w:val="true"/>
        </w:trPr>
        <w:tc>
          <w:tcPr>
            <w:tcW w:type="dxa" w:w="2232"/>
            <w:vAlign w:val="center"/>
            <w:tcMar>
              <w:top w:w="100" w:type="dxa"/>
              <w:start w:w="110" w:type="dxa"/>
              <w:bottom w:w="100" w:type="dxa"/>
              <w:end w:w="110" w:type="dxa"/>
            </w:tcMar>
          </w:tcPr>
          <w:p>
            <w:pPr>
              <w:spacing w:after="0"/>
            </w:pPr>
            <w:r/>
            <w:r>
              <w:rPr>
                <w:rFonts w:ascii="Aptos" w:hAnsi="Aptos"/>
                <w:b w:val="0"/>
                <w:color w:val="252638"/>
                <w:sz w:val="18"/>
              </w:rPr>
              <w:t>Step syntax and ordering</w:t>
            </w:r>
          </w:p>
        </w:tc>
        <w:tc>
          <w:tcPr>
            <w:tcW w:type="dxa" w:w="6120"/>
            <w:vAlign w:val="center"/>
            <w:tcMar>
              <w:top w:w="100" w:type="dxa"/>
              <w:start w:w="110" w:type="dxa"/>
              <w:bottom w:w="100" w:type="dxa"/>
              <w:end w:w="110" w:type="dxa"/>
            </w:tcMar>
          </w:tcPr>
          <w:p>
            <w:pPr>
              <w:spacing w:after="0"/>
            </w:pPr>
            <w:r/>
            <w:r>
              <w:rPr>
                <w:rFonts w:ascii="Aptos" w:hAnsi="Aptos"/>
                <w:b w:val="0"/>
                <w:color w:val="252638"/>
                <w:sz w:val="18"/>
              </w:rPr>
              <w:t>One interaction per step; auto/manual/critical; critical last</w:t>
            </w:r>
          </w:p>
        </w:tc>
        <w:tc>
          <w:tcPr>
            <w:tcW w:type="dxa" w:w="2232"/>
            <w:vAlign w:val="center"/>
            <w:tcMar>
              <w:top w:w="100" w:type="dxa"/>
              <w:start w:w="110" w:type="dxa"/>
              <w:bottom w:w="100" w:type="dxa"/>
              <w:end w:w="110" w:type="dxa"/>
            </w:tcMar>
          </w:tcPr>
          <w:p>
            <w:pPr>
              <w:spacing w:after="0"/>
            </w:pPr>
            <w:r/>
            <w:r>
              <w:rPr>
                <w:rFonts w:ascii="Aptos" w:hAnsi="Aptos"/>
                <w:b w:val="0"/>
                <w:color w:val="252638"/>
                <w:sz w:val="18"/>
              </w:rPr>
              <w:t>Implemented</w:t>
            </w:r>
          </w:p>
        </w:tc>
      </w:tr>
      <w:tr>
        <w:trPr>
          <w:cantSplit w:val="true"/>
        </w:trPr>
        <w:tc>
          <w:tcPr>
            <w:tcW w:type="dxa" w:w="2232"/>
            <w:vAlign w:val="center"/>
            <w:tcMar>
              <w:top w:w="100" w:type="dxa"/>
              <w:start w:w="110" w:type="dxa"/>
              <w:bottom w:w="100" w:type="dxa"/>
              <w:end w:w="110" w:type="dxa"/>
            </w:tcMar>
            <w:shd w:fill="FAF9FD"/>
          </w:tcPr>
          <w:p>
            <w:pPr>
              <w:spacing w:after="0"/>
            </w:pPr>
            <w:r/>
            <w:r>
              <w:rPr>
                <w:rFonts w:ascii="Aptos" w:hAnsi="Aptos"/>
                <w:b w:val="0"/>
                <w:color w:val="252638"/>
                <w:sz w:val="18"/>
              </w:rPr>
              <w:t>Evaluation reporting</w:t>
            </w:r>
          </w:p>
        </w:tc>
        <w:tc>
          <w:tcPr>
            <w:tcW w:type="dxa" w:w="6120"/>
            <w:vAlign w:val="center"/>
            <w:tcMar>
              <w:top w:w="100" w:type="dxa"/>
              <w:start w:w="110" w:type="dxa"/>
              <w:bottom w:w="100" w:type="dxa"/>
              <w:end w:w="110" w:type="dxa"/>
            </w:tcMar>
            <w:shd w:fill="FAF9FD"/>
          </w:tcPr>
          <w:p>
            <w:pPr>
              <w:spacing w:after="0"/>
            </w:pPr>
            <w:r/>
            <w:r>
              <w:rPr>
                <w:rFonts w:ascii="Aptos" w:hAnsi="Aptos"/>
                <w:b w:val="0"/>
                <w:color w:val="252638"/>
                <w:sz w:val="18"/>
              </w:rPr>
              <w:t>Benchmark harness reports top-1, schema, deeplink, and latency</w:t>
            </w:r>
          </w:p>
        </w:tc>
        <w:tc>
          <w:tcPr>
            <w:tcW w:type="dxa" w:w="2232"/>
            <w:vAlign w:val="center"/>
            <w:tcMar>
              <w:top w:w="100" w:type="dxa"/>
              <w:start w:w="110" w:type="dxa"/>
              <w:bottom w:w="100" w:type="dxa"/>
              <w:end w:w="110" w:type="dxa"/>
            </w:tcMar>
            <w:shd w:fill="FAF9FD"/>
          </w:tcPr>
          <w:p>
            <w:pPr>
              <w:spacing w:after="0"/>
            </w:pPr>
            <w:r/>
            <w:r>
              <w:rPr>
                <w:rFonts w:ascii="Aptos" w:hAnsi="Aptos"/>
                <w:b w:val="0"/>
                <w:color w:val="252638"/>
                <w:sz w:val="18"/>
              </w:rPr>
              <w:t>Implemented on 33 synthetic paraphrases</w:t>
            </w:r>
          </w:p>
        </w:tc>
      </w:tr>
      <w:tr>
        <w:trPr>
          <w:cantSplit w:val="true"/>
        </w:trPr>
        <w:tc>
          <w:tcPr>
            <w:tcW w:type="dxa" w:w="2232"/>
            <w:vAlign w:val="center"/>
            <w:tcMar>
              <w:top w:w="100" w:type="dxa"/>
              <w:start w:w="110" w:type="dxa"/>
              <w:bottom w:w="100" w:type="dxa"/>
              <w:end w:w="110" w:type="dxa"/>
            </w:tcMar>
          </w:tcPr>
          <w:p>
            <w:pPr>
              <w:spacing w:after="0"/>
            </w:pPr>
            <w:r/>
            <w:r>
              <w:rPr>
                <w:rFonts w:ascii="Aptos" w:hAnsi="Aptos"/>
                <w:b w:val="0"/>
                <w:color w:val="252638"/>
                <w:sz w:val="18"/>
              </w:rPr>
              <w:t>Containerized prototype</w:t>
            </w:r>
          </w:p>
        </w:tc>
        <w:tc>
          <w:tcPr>
            <w:tcW w:type="dxa" w:w="6120"/>
            <w:vAlign w:val="center"/>
            <w:tcMar>
              <w:top w:w="100" w:type="dxa"/>
              <w:start w:w="110" w:type="dxa"/>
              <w:bottom w:w="100" w:type="dxa"/>
              <w:end w:w="110" w:type="dxa"/>
            </w:tcMar>
          </w:tcPr>
          <w:p>
            <w:pPr>
              <w:spacing w:after="0"/>
            </w:pPr>
            <w:r/>
            <w:r>
              <w:rPr>
                <w:rFonts w:ascii="Aptos" w:hAnsi="Aptos"/>
                <w:b w:val="0"/>
                <w:color w:val="252638"/>
                <w:sz w:val="18"/>
              </w:rPr>
              <w:t>Dockerfile, requirements, health endpoint</w:t>
            </w:r>
          </w:p>
        </w:tc>
        <w:tc>
          <w:tcPr>
            <w:tcW w:type="dxa" w:w="2232"/>
            <w:vAlign w:val="center"/>
            <w:tcMar>
              <w:top w:w="100" w:type="dxa"/>
              <w:start w:w="110" w:type="dxa"/>
              <w:bottom w:w="100" w:type="dxa"/>
              <w:end w:w="110" w:type="dxa"/>
            </w:tcMar>
          </w:tcPr>
          <w:p>
            <w:pPr>
              <w:spacing w:after="0"/>
            </w:pPr>
            <w:r/>
            <w:r>
              <w:rPr>
                <w:rFonts w:ascii="Aptos" w:hAnsi="Aptos"/>
                <w:b w:val="0"/>
                <w:color w:val="252638"/>
                <w:sz w:val="18"/>
              </w:rPr>
              <w:t>Implemented</w:t>
            </w:r>
          </w:p>
        </w:tc>
      </w:tr>
    </w:tbl>
    <w:p>
      <w:pPr>
        <w:spacing w:after="0"/>
      </w:pPr>
    </w:p>
    <w:p>
      <w:pPr>
        <w:pStyle w:val="Heading1"/>
      </w:pPr>
      <w:r>
        <w:t>3. Product experience</w:t>
      </w:r>
    </w:p>
    <w:p>
      <w:r>
        <w:t>The interface follows a repair-center diagnostic worksheet: complaint first, evidence and stage progress second, ordered actions last. Green is reserved for verified deeplinks, while cobalt is reserved for user actions. The UI exposes the exact JSON response so judges can verify that the human-readable plan and API output are the same artifact.</w:t>
      </w:r>
    </w:p>
    <w:p>
      <w:pPr>
        <w:spacing w:after="60"/>
        <w:ind w:left="360" w:hanging="360"/>
      </w:pPr>
      <w:r>
        <w:rPr>
          <w:b/>
        </w:rPr>
        <w:t xml:space="preserve">1.  </w:t>
      </w:r>
      <w:r>
        <w:t>Enter a complaint, optionally including SIIS diagnostic text.</w:t>
      </w:r>
    </w:p>
    <w:p>
      <w:pPr>
        <w:spacing w:after="60"/>
        <w:ind w:left="360" w:hanging="360"/>
      </w:pPr>
      <w:r>
        <w:rPr>
          <w:b/>
        </w:rPr>
        <w:t xml:space="preserve">2.  </w:t>
      </w:r>
      <w:r>
        <w:t>Normalize and enrich the query into canonical issues and paraphrases.</w:t>
      </w:r>
    </w:p>
    <w:p>
      <w:pPr>
        <w:spacing w:after="60"/>
        <w:ind w:left="360" w:hanging="360"/>
      </w:pPr>
      <w:r>
        <w:rPr>
          <w:b/>
        </w:rPr>
        <w:t xml:space="preserve">3.  </w:t>
      </w:r>
      <w:r>
        <w:t>Retrieve approved troubleshooting evidence and Settings catalog candidates.</w:t>
      </w:r>
    </w:p>
    <w:p>
      <w:pPr>
        <w:spacing w:after="60"/>
        <w:ind w:left="360" w:hanging="360"/>
      </w:pPr>
      <w:r>
        <w:rPr>
          <w:b/>
        </w:rPr>
        <w:t xml:space="preserve">4.  </w:t>
      </w:r>
      <w:r>
        <w:t>Structure one or more goals with ordered actions and atomic steps.</w:t>
      </w:r>
    </w:p>
    <w:p>
      <w:pPr>
        <w:spacing w:after="60"/>
        <w:ind w:left="360" w:hanging="360"/>
      </w:pPr>
      <w:r>
        <w:rPr>
          <w:b/>
        </w:rPr>
        <w:t xml:space="preserve">5.  </w:t>
      </w:r>
      <w:r>
        <w:t>Validate schema, evidence, URLs, catalog membership, category ordering, and language constraints.</w:t>
      </w:r>
    </w:p>
    <w:p>
      <w:pPr>
        <w:spacing w:after="60"/>
        <w:ind w:left="360" w:hanging="360"/>
      </w:pPr>
      <w:r>
        <w:rPr>
          <w:b/>
        </w:rPr>
        <w:t xml:space="preserve">6.  </w:t>
      </w:r>
      <w:r>
        <w:t>Return the plan or a safe fallback; admit successful plans to the cache.</w:t>
      </w:r>
    </w:p>
    <w:p>
      <w:pPr>
        <w:pStyle w:val="Heading1"/>
      </w:pPr>
      <w:r>
        <w:t>4. Technical architecture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376"/>
            <w:vAlign w:val="center"/>
            <w:tcMar>
              <w:top w:w="100" w:type="dxa"/>
              <w:start w:w="110" w:type="dxa"/>
              <w:bottom w:w="100" w:type="dxa"/>
              <w:end w:w="110" w:type="dxa"/>
            </w:tcMar>
            <w:shd w:fill="6B48B7"/>
          </w:tcPr>
          <w:p>
            <w:pPr>
              <w:spacing w:after="0"/>
            </w:pPr>
            <w:r/>
            <w:r>
              <w:rPr>
                <w:rFonts w:ascii="Aptos" w:hAnsi="Aptos"/>
                <w:b/>
                <w:color w:val="FFFFFF"/>
                <w:sz w:val="18"/>
              </w:rPr>
              <w:t>Layer</w:t>
            </w:r>
          </w:p>
        </w:tc>
        <w:tc>
          <w:tcPr>
            <w:tcW w:type="dxa" w:w="8208"/>
            <w:vAlign w:val="center"/>
            <w:tcMar>
              <w:top w:w="100" w:type="dxa"/>
              <w:start w:w="110" w:type="dxa"/>
              <w:bottom w:w="100" w:type="dxa"/>
              <w:end w:w="110" w:type="dxa"/>
            </w:tcMar>
            <w:shd w:fill="6B48B7"/>
          </w:tcPr>
          <w:p>
            <w:pPr>
              <w:spacing w:after="0"/>
            </w:pPr>
            <w:r/>
            <w:r>
              <w:rPr>
                <w:rFonts w:ascii="Aptos" w:hAnsi="Aptos"/>
                <w:b/>
                <w:color w:val="FFFFFF"/>
                <w:sz w:val="18"/>
              </w:rPr>
              <w:t>Responsibility</w:t>
            </w:r>
          </w:p>
        </w:tc>
      </w:tr>
      <w:tr>
        <w:trPr>
          <w:cantSplit w:val="true"/>
        </w:trPr>
        <w:tc>
          <w:tcPr>
            <w:tcW w:type="dxa" w:w="2376"/>
            <w:vAlign w:val="center"/>
            <w:tcMar>
              <w:top w:w="100" w:type="dxa"/>
              <w:start w:w="110" w:type="dxa"/>
              <w:bottom w:w="100" w:type="dxa"/>
              <w:end w:w="110" w:type="dxa"/>
            </w:tcMar>
          </w:tcPr>
          <w:p>
            <w:pPr>
              <w:spacing w:after="0"/>
            </w:pPr>
            <w:r/>
            <w:r>
              <w:rPr>
                <w:rFonts w:ascii="Aptos" w:hAnsi="Aptos"/>
                <w:b w:val="0"/>
                <w:color w:val="252638"/>
                <w:sz w:val="18"/>
              </w:rPr>
              <w:t>API boundary</w:t>
            </w:r>
          </w:p>
        </w:tc>
        <w:tc>
          <w:tcPr>
            <w:tcW w:type="dxa" w:w="8208"/>
            <w:vAlign w:val="center"/>
            <w:tcMar>
              <w:top w:w="100" w:type="dxa"/>
              <w:start w:w="110" w:type="dxa"/>
              <w:bottom w:w="100" w:type="dxa"/>
              <w:end w:w="110" w:type="dxa"/>
            </w:tcMar>
          </w:tcPr>
          <w:p>
            <w:pPr>
              <w:spacing w:after="0"/>
            </w:pPr>
            <w:r/>
            <w:r>
              <w:rPr>
                <w:rFonts w:ascii="Aptos" w:hAnsi="Aptos"/>
                <w:b w:val="0"/>
                <w:color w:val="252638"/>
                <w:sz w:val="18"/>
              </w:rPr>
              <w:t>Strict request/response models and pure JSON error handling.</w:t>
            </w:r>
          </w:p>
        </w:tc>
      </w:tr>
      <w:tr>
        <w:trPr>
          <w:cantSplit w:val="true"/>
        </w:trPr>
        <w:tc>
          <w:tcPr>
            <w:tcW w:type="dxa" w:w="2376"/>
            <w:vAlign w:val="center"/>
            <w:tcMar>
              <w:top w:w="100" w:type="dxa"/>
              <w:start w:w="110" w:type="dxa"/>
              <w:bottom w:w="100" w:type="dxa"/>
              <w:end w:w="110" w:type="dxa"/>
            </w:tcMar>
            <w:shd w:fill="FAF9FD"/>
          </w:tcPr>
          <w:p>
            <w:pPr>
              <w:spacing w:after="0"/>
            </w:pPr>
            <w:r/>
            <w:r>
              <w:rPr>
                <w:rFonts w:ascii="Aptos" w:hAnsi="Aptos"/>
                <w:b w:val="0"/>
                <w:color w:val="252638"/>
                <w:sz w:val="18"/>
              </w:rPr>
              <w:t>Query enrichment</w:t>
            </w:r>
          </w:p>
        </w:tc>
        <w:tc>
          <w:tcPr>
            <w:tcW w:type="dxa" w:w="8208"/>
            <w:vAlign w:val="center"/>
            <w:tcMar>
              <w:top w:w="100" w:type="dxa"/>
              <w:start w:w="110" w:type="dxa"/>
              <w:bottom w:w="100" w:type="dxa"/>
              <w:end w:w="110" w:type="dxa"/>
            </w:tcMar>
            <w:shd w:fill="FAF9FD"/>
          </w:tcPr>
          <w:p>
            <w:pPr>
              <w:spacing w:after="0"/>
            </w:pPr>
            <w:r/>
            <w:r>
              <w:rPr>
                <w:rFonts w:ascii="Aptos" w:hAnsi="Aptos"/>
                <w:b w:val="0"/>
                <w:color w:val="252638"/>
                <w:sz w:val="18"/>
              </w:rPr>
              <w:t>Normalization plus model-generated issue hypotheses and 8-10 paraphrases when configured.</w:t>
            </w:r>
          </w:p>
        </w:tc>
      </w:tr>
      <w:tr>
        <w:trPr>
          <w:cantSplit w:val="true"/>
        </w:trPr>
        <w:tc>
          <w:tcPr>
            <w:tcW w:type="dxa" w:w="2376"/>
            <w:vAlign w:val="center"/>
            <w:tcMar>
              <w:top w:w="100" w:type="dxa"/>
              <w:start w:w="110" w:type="dxa"/>
              <w:bottom w:w="100" w:type="dxa"/>
              <w:end w:w="110" w:type="dxa"/>
            </w:tcMar>
          </w:tcPr>
          <w:p>
            <w:pPr>
              <w:spacing w:after="0"/>
            </w:pPr>
            <w:r/>
            <w:r>
              <w:rPr>
                <w:rFonts w:ascii="Aptos" w:hAnsi="Aptos"/>
                <w:b w:val="0"/>
                <w:color w:val="252638"/>
                <w:sz w:val="18"/>
              </w:rPr>
              <w:t>Hybrid retrieval</w:t>
            </w:r>
          </w:p>
        </w:tc>
        <w:tc>
          <w:tcPr>
            <w:tcW w:type="dxa" w:w="8208"/>
            <w:vAlign w:val="center"/>
            <w:tcMar>
              <w:top w:w="100" w:type="dxa"/>
              <w:start w:w="110" w:type="dxa"/>
              <w:bottom w:w="100" w:type="dxa"/>
              <w:end w:w="110" w:type="dxa"/>
            </w:tcMar>
          </w:tcPr>
          <w:p>
            <w:pPr>
              <w:spacing w:after="0"/>
            </w:pPr>
            <w:r/>
            <w:r>
              <w:rPr>
                <w:rFonts w:ascii="Aptos" w:hAnsi="Aptos"/>
                <w:b w:val="0"/>
                <w:color w:val="252638"/>
                <w:sz w:val="18"/>
              </w:rPr>
              <w:t>Lexical token overlap and character n-gram similarity, with a clear upgrade path to BM25 + dense retrieval + rank fusion.</w:t>
            </w:r>
          </w:p>
        </w:tc>
      </w:tr>
      <w:tr>
        <w:trPr>
          <w:cantSplit w:val="true"/>
        </w:trPr>
        <w:tc>
          <w:tcPr>
            <w:tcW w:type="dxa" w:w="2376"/>
            <w:vAlign w:val="center"/>
            <w:tcMar>
              <w:top w:w="100" w:type="dxa"/>
              <w:start w:w="110" w:type="dxa"/>
              <w:bottom w:w="100" w:type="dxa"/>
              <w:end w:w="110" w:type="dxa"/>
            </w:tcMar>
            <w:shd w:fill="FAF9FD"/>
          </w:tcPr>
          <w:p>
            <w:pPr>
              <w:spacing w:after="0"/>
            </w:pPr>
            <w:r/>
            <w:r>
              <w:rPr>
                <w:rFonts w:ascii="Aptos" w:hAnsi="Aptos"/>
                <w:b w:val="0"/>
                <w:color w:val="252638"/>
                <w:sz w:val="18"/>
              </w:rPr>
              <w:t>Plan construction</w:t>
            </w:r>
          </w:p>
        </w:tc>
        <w:tc>
          <w:tcPr>
            <w:tcW w:type="dxa" w:w="8208"/>
            <w:vAlign w:val="center"/>
            <w:tcMar>
              <w:top w:w="100" w:type="dxa"/>
              <w:start w:w="110" w:type="dxa"/>
              <w:bottom w:w="100" w:type="dxa"/>
              <w:end w:w="110" w:type="dxa"/>
            </w:tcMar>
            <w:shd w:fill="FAF9FD"/>
          </w:tcPr>
          <w:p>
            <w:pPr>
              <w:spacing w:after="0"/>
            </w:pPr>
            <w:r/>
            <w:r>
              <w:rPr>
                <w:rFonts w:ascii="Aptos" w:hAnsi="Aptos"/>
                <w:b w:val="0"/>
                <w:color w:val="252638"/>
                <w:sz w:val="18"/>
              </w:rPr>
              <w:t>Evidence-backed goals, actions, steps, descriptions, categories, and catalog identifiers.</w:t>
            </w:r>
          </w:p>
        </w:tc>
      </w:tr>
      <w:tr>
        <w:trPr>
          <w:cantSplit w:val="true"/>
        </w:trPr>
        <w:tc>
          <w:tcPr>
            <w:tcW w:type="dxa" w:w="2376"/>
            <w:vAlign w:val="center"/>
            <w:tcMar>
              <w:top w:w="100" w:type="dxa"/>
              <w:start w:w="110" w:type="dxa"/>
              <w:bottom w:w="100" w:type="dxa"/>
              <w:end w:w="110" w:type="dxa"/>
            </w:tcMar>
          </w:tcPr>
          <w:p>
            <w:pPr>
              <w:spacing w:after="0"/>
            </w:pPr>
            <w:r/>
            <w:r>
              <w:rPr>
                <w:rFonts w:ascii="Aptos" w:hAnsi="Aptos"/>
                <w:b w:val="0"/>
                <w:color w:val="252638"/>
                <w:sz w:val="18"/>
              </w:rPr>
              <w:t>Validation gate</w:t>
            </w:r>
          </w:p>
        </w:tc>
        <w:tc>
          <w:tcPr>
            <w:tcW w:type="dxa" w:w="8208"/>
            <w:vAlign w:val="center"/>
            <w:tcMar>
              <w:top w:w="100" w:type="dxa"/>
              <w:start w:w="110" w:type="dxa"/>
              <w:bottom w:w="100" w:type="dxa"/>
              <w:end w:w="110" w:type="dxa"/>
            </w:tcMar>
          </w:tcPr>
          <w:p>
            <w:pPr>
              <w:spacing w:after="0"/>
            </w:pPr>
            <w:r/>
            <w:r>
              <w:rPr>
                <w:rFonts w:ascii="Aptos" w:hAnsi="Aptos"/>
                <w:b w:val="0"/>
                <w:color w:val="252638"/>
                <w:sz w:val="18"/>
              </w:rPr>
              <w:t>Rejects unknown deeplinks, web URLs, invalid ordering, non-atomic steps, missing evidence, and malformed titles/descriptions.</w:t>
            </w:r>
          </w:p>
        </w:tc>
      </w:tr>
      <w:tr>
        <w:trPr>
          <w:cantSplit w:val="true"/>
        </w:trPr>
        <w:tc>
          <w:tcPr>
            <w:tcW w:type="dxa" w:w="2376"/>
            <w:vAlign w:val="center"/>
            <w:tcMar>
              <w:top w:w="100" w:type="dxa"/>
              <w:start w:w="110" w:type="dxa"/>
              <w:bottom w:w="100" w:type="dxa"/>
              <w:end w:w="110" w:type="dxa"/>
            </w:tcMar>
            <w:shd w:fill="FAF9FD"/>
          </w:tcPr>
          <w:p>
            <w:pPr>
              <w:spacing w:after="0"/>
            </w:pPr>
            <w:r/>
            <w:r>
              <w:rPr>
                <w:rFonts w:ascii="Aptos" w:hAnsi="Aptos"/>
                <w:b w:val="0"/>
                <w:color w:val="252638"/>
                <w:sz w:val="18"/>
              </w:rPr>
              <w:t>Fast path</w:t>
            </w:r>
          </w:p>
        </w:tc>
        <w:tc>
          <w:tcPr>
            <w:tcW w:type="dxa" w:w="8208"/>
            <w:vAlign w:val="center"/>
            <w:tcMar>
              <w:top w:w="100" w:type="dxa"/>
              <w:start w:w="110" w:type="dxa"/>
              <w:bottom w:w="100" w:type="dxa"/>
              <w:end w:w="110" w:type="dxa"/>
            </w:tcMar>
            <w:shd w:fill="FAF9FD"/>
          </w:tcPr>
          <w:p>
            <w:pPr>
              <w:spacing w:after="0"/>
            </w:pPr>
            <w:r/>
            <w:r>
              <w:rPr>
                <w:rFonts w:ascii="Aptos" w:hAnsi="Aptos"/>
                <w:b w:val="0"/>
                <w:color w:val="252638"/>
                <w:sz w:val="18"/>
              </w:rPr>
              <w:t>Exact and semantic cache lookup; only validated outputs are stored.</w:t>
            </w:r>
          </w:p>
        </w:tc>
      </w:tr>
      <w:tr>
        <w:trPr>
          <w:cantSplit w:val="true"/>
        </w:trPr>
        <w:tc>
          <w:tcPr>
            <w:tcW w:type="dxa" w:w="2376"/>
            <w:vAlign w:val="center"/>
            <w:tcMar>
              <w:top w:w="100" w:type="dxa"/>
              <w:start w:w="110" w:type="dxa"/>
              <w:bottom w:w="100" w:type="dxa"/>
              <w:end w:w="110" w:type="dxa"/>
            </w:tcMar>
          </w:tcPr>
          <w:p>
            <w:pPr>
              <w:spacing w:after="0"/>
            </w:pPr>
            <w:r/>
            <w:r>
              <w:rPr>
                <w:rFonts w:ascii="Aptos" w:hAnsi="Aptos"/>
                <w:b w:val="0"/>
                <w:color w:val="252638"/>
                <w:sz w:val="18"/>
              </w:rPr>
              <w:t>Observability</w:t>
            </w:r>
          </w:p>
        </w:tc>
        <w:tc>
          <w:tcPr>
            <w:tcW w:type="dxa" w:w="8208"/>
            <w:vAlign w:val="center"/>
            <w:tcMar>
              <w:top w:w="100" w:type="dxa"/>
              <w:start w:w="110" w:type="dxa"/>
              <w:bottom w:w="100" w:type="dxa"/>
              <w:end w:w="110" w:type="dxa"/>
            </w:tcMar>
          </w:tcPr>
          <w:p>
            <w:pPr>
              <w:spacing w:after="0"/>
            </w:pPr>
            <w:r/>
            <w:r>
              <w:rPr>
                <w:rFonts w:ascii="Aptos" w:hAnsi="Aptos"/>
                <w:b w:val="0"/>
                <w:color w:val="252638"/>
                <w:sz w:val="18"/>
              </w:rPr>
              <w:t>Latency, cache hit, retrieval confidence, fallback reason, and validator outcomes.</w:t>
            </w:r>
          </w:p>
        </w:tc>
      </w:tr>
    </w:tbl>
    <w:p>
      <w:pPr>
        <w:spacing w:after="0"/>
      </w:pPr>
    </w:p>
    <w:p>
      <w:pPr>
        <w:pStyle w:val="Heading1"/>
      </w:pPr>
      <w:r>
        <w:t>5. Build phases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376"/>
            <w:vAlign w:val="center"/>
            <w:tcMar>
              <w:top w:w="100" w:type="dxa"/>
              <w:start w:w="110" w:type="dxa"/>
              <w:bottom w:w="100" w:type="dxa"/>
              <w:end w:w="110" w:type="dxa"/>
            </w:tcMar>
            <w:shd w:fill="6B48B7"/>
          </w:tcPr>
          <w:p>
            <w:pPr>
              <w:spacing w:after="0"/>
            </w:pPr>
            <w:r/>
            <w:r>
              <w:rPr>
                <w:rFonts w:ascii="Aptos" w:hAnsi="Aptos"/>
                <w:b/>
                <w:color w:val="FFFFFF"/>
                <w:sz w:val="18"/>
              </w:rPr>
              <w:t>Phase</w:t>
            </w:r>
          </w:p>
        </w:tc>
        <w:tc>
          <w:tcPr>
            <w:tcW w:type="dxa" w:w="6192"/>
            <w:vAlign w:val="center"/>
            <w:tcMar>
              <w:top w:w="100" w:type="dxa"/>
              <w:start w:w="110" w:type="dxa"/>
              <w:bottom w:w="100" w:type="dxa"/>
              <w:end w:w="110" w:type="dxa"/>
            </w:tcMar>
            <w:shd w:fill="6B48B7"/>
          </w:tcPr>
          <w:p>
            <w:pPr>
              <w:spacing w:after="0"/>
            </w:pPr>
            <w:r/>
            <w:r>
              <w:rPr>
                <w:rFonts w:ascii="Aptos" w:hAnsi="Aptos"/>
                <w:b/>
                <w:color w:val="FFFFFF"/>
                <w:sz w:val="18"/>
              </w:rPr>
              <w:t>Exit criterion</w:t>
            </w:r>
          </w:p>
        </w:tc>
        <w:tc>
          <w:tcPr>
            <w:tcW w:type="dxa" w:w="2016"/>
            <w:vAlign w:val="center"/>
            <w:tcMar>
              <w:top w:w="100" w:type="dxa"/>
              <w:start w:w="110" w:type="dxa"/>
              <w:bottom w:w="100" w:type="dxa"/>
              <w:end w:w="110" w:type="dxa"/>
            </w:tcMar>
            <w:shd w:fill="6B48B7"/>
          </w:tcPr>
          <w:p>
            <w:pPr>
              <w:spacing w:after="0"/>
            </w:pPr>
            <w:r/>
            <w:r>
              <w:rPr>
                <w:rFonts w:ascii="Aptos" w:hAnsi="Aptos"/>
                <w:b/>
                <w:color w:val="FFFFFF"/>
                <w:sz w:val="18"/>
              </w:rPr>
              <w:t>Status</w:t>
            </w:r>
          </w:p>
        </w:tc>
      </w:tr>
      <w:tr>
        <w:trPr>
          <w:cantSplit w:val="true"/>
        </w:trPr>
        <w:tc>
          <w:tcPr>
            <w:tcW w:type="dxa" w:w="2376"/>
            <w:vAlign w:val="center"/>
            <w:tcMar>
              <w:top w:w="100" w:type="dxa"/>
              <w:start w:w="110" w:type="dxa"/>
              <w:bottom w:w="100" w:type="dxa"/>
              <w:end w:w="110" w:type="dxa"/>
            </w:tcMar>
          </w:tcPr>
          <w:p>
            <w:pPr>
              <w:spacing w:after="0"/>
            </w:pPr>
            <w:r/>
            <w:r>
              <w:rPr>
                <w:rFonts w:ascii="Aptos" w:hAnsi="Aptos"/>
                <w:b w:val="0"/>
                <w:color w:val="252638"/>
                <w:sz w:val="18"/>
              </w:rPr>
              <w:t>1 — Compliance foundation</w:t>
            </w:r>
          </w:p>
        </w:tc>
        <w:tc>
          <w:tcPr>
            <w:tcW w:type="dxa" w:w="6192"/>
            <w:vAlign w:val="center"/>
            <w:tcMar>
              <w:top w:w="100" w:type="dxa"/>
              <w:start w:w="110" w:type="dxa"/>
              <w:bottom w:w="100" w:type="dxa"/>
              <w:end w:w="110" w:type="dxa"/>
            </w:tcMar>
          </w:tcPr>
          <w:p>
            <w:pPr>
              <w:spacing w:after="0"/>
            </w:pPr>
            <w:r/>
            <w:r>
              <w:rPr>
                <w:rFonts w:ascii="Aptos" w:hAnsi="Aptos"/>
                <w:b w:val="0"/>
                <w:color w:val="252638"/>
                <w:sz w:val="18"/>
              </w:rPr>
              <w:t>Freeze schema and constraints; build exact deeplink registry and validators.</w:t>
            </w:r>
          </w:p>
        </w:tc>
        <w:tc>
          <w:tcPr>
            <w:tcW w:type="dxa" w:w="2016"/>
            <w:vAlign w:val="center"/>
            <w:tcMar>
              <w:top w:w="100" w:type="dxa"/>
              <w:start w:w="110" w:type="dxa"/>
              <w:bottom w:w="100" w:type="dxa"/>
              <w:end w:w="110" w:type="dxa"/>
            </w:tcMar>
          </w:tcPr>
          <w:p>
            <w:pPr>
              <w:spacing w:after="0"/>
            </w:pPr>
            <w:r/>
            <w:r>
              <w:rPr>
                <w:rFonts w:ascii="Aptos" w:hAnsi="Aptos"/>
                <w:b w:val="0"/>
                <w:color w:val="252638"/>
                <w:sz w:val="18"/>
              </w:rPr>
              <w:t>Completed</w:t>
            </w:r>
          </w:p>
        </w:tc>
      </w:tr>
      <w:tr>
        <w:trPr>
          <w:cantSplit w:val="true"/>
        </w:trPr>
        <w:tc>
          <w:tcPr>
            <w:tcW w:type="dxa" w:w="2376"/>
            <w:vAlign w:val="center"/>
            <w:tcMar>
              <w:top w:w="100" w:type="dxa"/>
              <w:start w:w="110" w:type="dxa"/>
              <w:bottom w:w="100" w:type="dxa"/>
              <w:end w:w="110" w:type="dxa"/>
            </w:tcMar>
            <w:shd w:fill="FAF9FD"/>
          </w:tcPr>
          <w:p>
            <w:pPr>
              <w:spacing w:after="0"/>
            </w:pPr>
            <w:r/>
            <w:r>
              <w:rPr>
                <w:rFonts w:ascii="Aptos" w:hAnsi="Aptos"/>
                <w:b w:val="0"/>
                <w:color w:val="252638"/>
                <w:sz w:val="18"/>
              </w:rPr>
              <w:t>2 — Grounded retrieval</w:t>
            </w:r>
          </w:p>
        </w:tc>
        <w:tc>
          <w:tcPr>
            <w:tcW w:type="dxa" w:w="6192"/>
            <w:vAlign w:val="center"/>
            <w:tcMar>
              <w:top w:w="100" w:type="dxa"/>
              <w:start w:w="110" w:type="dxa"/>
              <w:bottom w:w="100" w:type="dxa"/>
              <w:end w:w="110" w:type="dxa"/>
            </w:tcMar>
            <w:shd w:fill="FAF9FD"/>
          </w:tcPr>
          <w:p>
            <w:pPr>
              <w:spacing w:after="0"/>
            </w:pPr>
            <w:r/>
            <w:r>
              <w:rPr>
                <w:rFonts w:ascii="Aptos" w:hAnsi="Aptos"/>
                <w:b w:val="0"/>
                <w:color w:val="252638"/>
                <w:sz w:val="18"/>
              </w:rPr>
              <w:t>Normalize complaints, support multi-issue routing, retrieve approved references, map exact URIs.</w:t>
            </w:r>
          </w:p>
        </w:tc>
        <w:tc>
          <w:tcPr>
            <w:tcW w:type="dxa" w:w="2016"/>
            <w:vAlign w:val="center"/>
            <w:tcMar>
              <w:top w:w="100" w:type="dxa"/>
              <w:start w:w="110" w:type="dxa"/>
              <w:bottom w:w="100" w:type="dxa"/>
              <w:end w:w="110" w:type="dxa"/>
            </w:tcMar>
            <w:shd w:fill="FAF9FD"/>
          </w:tcPr>
          <w:p>
            <w:pPr>
              <w:spacing w:after="0"/>
            </w:pPr>
            <w:r/>
            <w:r>
              <w:rPr>
                <w:rFonts w:ascii="Aptos" w:hAnsi="Aptos"/>
                <w:b w:val="0"/>
                <w:color w:val="252638"/>
                <w:sz w:val="18"/>
              </w:rPr>
              <w:t>Completed on synthetic corpus</w:t>
            </w:r>
          </w:p>
        </w:tc>
      </w:tr>
      <w:tr>
        <w:trPr>
          <w:cantSplit w:val="true"/>
        </w:trPr>
        <w:tc>
          <w:tcPr>
            <w:tcW w:type="dxa" w:w="2376"/>
            <w:vAlign w:val="center"/>
            <w:tcMar>
              <w:top w:w="100" w:type="dxa"/>
              <w:start w:w="110" w:type="dxa"/>
              <w:bottom w:w="100" w:type="dxa"/>
              <w:end w:w="110" w:type="dxa"/>
            </w:tcMar>
          </w:tcPr>
          <w:p>
            <w:pPr>
              <w:spacing w:after="0"/>
            </w:pPr>
            <w:r/>
            <w:r>
              <w:rPr>
                <w:rFonts w:ascii="Aptos" w:hAnsi="Aptos"/>
                <w:b w:val="0"/>
                <w:color w:val="252638"/>
                <w:sz w:val="18"/>
              </w:rPr>
              <w:t>3 — Validated fast path</w:t>
            </w:r>
          </w:p>
        </w:tc>
        <w:tc>
          <w:tcPr>
            <w:tcW w:type="dxa" w:w="6192"/>
            <w:vAlign w:val="center"/>
            <w:tcMar>
              <w:top w:w="100" w:type="dxa"/>
              <w:start w:w="110" w:type="dxa"/>
              <w:bottom w:w="100" w:type="dxa"/>
              <w:end w:w="110" w:type="dxa"/>
            </w:tcMar>
          </w:tcPr>
          <w:p>
            <w:pPr>
              <w:spacing w:after="0"/>
            </w:pPr>
            <w:r/>
            <w:r>
              <w:rPr>
                <w:rFonts w:ascii="Aptos" w:hAnsi="Aptos"/>
                <w:b w:val="0"/>
                <w:color w:val="252638"/>
                <w:sz w:val="18"/>
              </w:rPr>
              <w:t>Cache only validated plans; benchmark schema, deeplink, relevance, hit rate, latency, and cost.</w:t>
            </w:r>
          </w:p>
        </w:tc>
        <w:tc>
          <w:tcPr>
            <w:tcW w:type="dxa" w:w="2016"/>
            <w:vAlign w:val="center"/>
            <w:tcMar>
              <w:top w:w="100" w:type="dxa"/>
              <w:start w:w="110" w:type="dxa"/>
              <w:bottom w:w="100" w:type="dxa"/>
              <w:end w:w="110" w:type="dxa"/>
            </w:tcMar>
          </w:tcPr>
          <w:p>
            <w:pPr>
              <w:spacing w:after="0"/>
            </w:pPr>
            <w:r/>
            <w:r>
              <w:rPr>
                <w:rFonts w:ascii="Aptos" w:hAnsi="Aptos"/>
                <w:b w:val="0"/>
                <w:color w:val="252638"/>
                <w:sz w:val="18"/>
              </w:rPr>
              <w:t>Completed on synthetic corpus</w:t>
            </w:r>
          </w:p>
        </w:tc>
      </w:tr>
      <w:tr>
        <w:trPr>
          <w:cantSplit w:val="true"/>
        </w:trPr>
        <w:tc>
          <w:tcPr>
            <w:tcW w:type="dxa" w:w="2376"/>
            <w:vAlign w:val="center"/>
            <w:tcMar>
              <w:top w:w="100" w:type="dxa"/>
              <w:start w:w="110" w:type="dxa"/>
              <w:bottom w:w="100" w:type="dxa"/>
              <w:end w:w="110" w:type="dxa"/>
            </w:tcMar>
            <w:shd w:fill="FAF9FD"/>
          </w:tcPr>
          <w:p>
            <w:pPr>
              <w:spacing w:after="0"/>
            </w:pPr>
            <w:r/>
            <w:r>
              <w:rPr>
                <w:rFonts w:ascii="Aptos" w:hAnsi="Aptos"/>
                <w:b w:val="0"/>
                <w:color w:val="252638"/>
                <w:sz w:val="18"/>
              </w:rPr>
              <w:t>4 — Full model layer</w:t>
            </w:r>
          </w:p>
        </w:tc>
        <w:tc>
          <w:tcPr>
            <w:tcW w:type="dxa" w:w="6192"/>
            <w:vAlign w:val="center"/>
            <w:tcMar>
              <w:top w:w="100" w:type="dxa"/>
              <w:start w:w="110" w:type="dxa"/>
              <w:bottom w:w="100" w:type="dxa"/>
              <w:end w:w="110" w:type="dxa"/>
            </w:tcMar>
            <w:shd w:fill="FAF9FD"/>
          </w:tcPr>
          <w:p>
            <w:pPr>
              <w:spacing w:after="0"/>
            </w:pPr>
            <w:r/>
            <w:r>
              <w:rPr>
                <w:rFonts w:ascii="Aptos" w:hAnsi="Aptos"/>
                <w:b w:val="0"/>
                <w:color w:val="252638"/>
                <w:sz w:val="18"/>
              </w:rPr>
              <w:t>Two-stage orchestration, provider transport, REST API, metrics, interface, tests, Docker, and documentation.</w:t>
            </w:r>
          </w:p>
        </w:tc>
        <w:tc>
          <w:tcPr>
            <w:tcW w:type="dxa" w:w="2016"/>
            <w:vAlign w:val="center"/>
            <w:tcMar>
              <w:top w:w="100" w:type="dxa"/>
              <w:start w:w="110" w:type="dxa"/>
              <w:bottom w:w="100" w:type="dxa"/>
              <w:end w:w="110" w:type="dxa"/>
            </w:tcMar>
            <w:shd w:fill="FAF9FD"/>
          </w:tcPr>
          <w:p>
            <w:pPr>
              <w:spacing w:after="0"/>
            </w:pPr>
            <w:r/>
            <w:r>
              <w:rPr>
                <w:rFonts w:ascii="Aptos" w:hAnsi="Aptos"/>
                <w:b w:val="0"/>
                <w:color w:val="252638"/>
                <w:sz w:val="18"/>
              </w:rPr>
              <w:t>Completed</w:t>
            </w:r>
          </w:p>
        </w:tc>
      </w:tr>
      <w:tr>
        <w:trPr>
          <w:cantSplit w:val="true"/>
        </w:trPr>
        <w:tc>
          <w:tcPr>
            <w:tcW w:type="dxa" w:w="2376"/>
            <w:vAlign w:val="center"/>
            <w:tcMar>
              <w:top w:w="100" w:type="dxa"/>
              <w:start w:w="110" w:type="dxa"/>
              <w:bottom w:w="100" w:type="dxa"/>
              <w:end w:w="110" w:type="dxa"/>
            </w:tcMar>
          </w:tcPr>
          <w:p>
            <w:pPr>
              <w:spacing w:after="0"/>
            </w:pPr>
            <w:r/>
            <w:r>
              <w:rPr>
                <w:rFonts w:ascii="Aptos" w:hAnsi="Aptos"/>
                <w:b w:val="0"/>
                <w:color w:val="252638"/>
                <w:sz w:val="18"/>
              </w:rPr>
              <w:t>5 — Official-data integration</w:t>
            </w:r>
          </w:p>
        </w:tc>
        <w:tc>
          <w:tcPr>
            <w:tcW w:type="dxa" w:w="6192"/>
            <w:vAlign w:val="center"/>
            <w:tcMar>
              <w:top w:w="100" w:type="dxa"/>
              <w:start w:w="110" w:type="dxa"/>
              <w:bottom w:w="100" w:type="dxa"/>
              <w:end w:w="110" w:type="dxa"/>
            </w:tcMar>
          </w:tcPr>
          <w:p>
            <w:pPr>
              <w:spacing w:after="0"/>
            </w:pPr>
            <w:r/>
            <w:r>
              <w:rPr>
                <w:rFonts w:ascii="Aptos" w:hAnsi="Aptos"/>
                <w:b w:val="0"/>
                <w:color w:val="252638"/>
                <w:sz w:val="18"/>
              </w:rPr>
              <w:t>Load queries.json, siis_responses.json, deeplinks.json, samples, and schema.py; reproduce supplied examples.</w:t>
            </w:r>
          </w:p>
        </w:tc>
        <w:tc>
          <w:tcPr>
            <w:tcW w:type="dxa" w:w="2016"/>
            <w:vAlign w:val="center"/>
            <w:tcMar>
              <w:top w:w="100" w:type="dxa"/>
              <w:start w:w="110" w:type="dxa"/>
              <w:bottom w:w="100" w:type="dxa"/>
              <w:end w:w="110" w:type="dxa"/>
            </w:tcMar>
          </w:tcPr>
          <w:p>
            <w:pPr>
              <w:spacing w:after="0"/>
            </w:pPr>
            <w:r/>
            <w:r>
              <w:rPr>
                <w:rFonts w:ascii="Aptos" w:hAnsi="Aptos"/>
                <w:b w:val="0"/>
                <w:color w:val="252638"/>
                <w:sz w:val="18"/>
              </w:rPr>
              <w:t>Blocked on starter assets</w:t>
            </w:r>
          </w:p>
        </w:tc>
      </w:tr>
      <w:tr>
        <w:trPr>
          <w:cantSplit w:val="true"/>
        </w:trPr>
        <w:tc>
          <w:tcPr>
            <w:tcW w:type="dxa" w:w="2376"/>
            <w:vAlign w:val="center"/>
            <w:tcMar>
              <w:top w:w="100" w:type="dxa"/>
              <w:start w:w="110" w:type="dxa"/>
              <w:bottom w:w="100" w:type="dxa"/>
              <w:end w:w="110" w:type="dxa"/>
            </w:tcMar>
            <w:shd w:fill="FAF9FD"/>
          </w:tcPr>
          <w:p>
            <w:pPr>
              <w:spacing w:after="0"/>
            </w:pPr>
            <w:r/>
            <w:r>
              <w:rPr>
                <w:rFonts w:ascii="Aptos" w:hAnsi="Aptos"/>
                <w:b w:val="0"/>
                <w:color w:val="252638"/>
                <w:sz w:val="18"/>
              </w:rPr>
              <w:t>6 — Submission hardening</w:t>
            </w:r>
          </w:p>
        </w:tc>
        <w:tc>
          <w:tcPr>
            <w:tcW w:type="dxa" w:w="6192"/>
            <w:vAlign w:val="center"/>
            <w:tcMar>
              <w:top w:w="100" w:type="dxa"/>
              <w:start w:w="110" w:type="dxa"/>
              <w:bottom w:w="100" w:type="dxa"/>
              <w:end w:w="110" w:type="dxa"/>
            </w:tcMar>
            <w:shd w:fill="FAF9FD"/>
          </w:tcPr>
          <w:p>
            <w:pPr>
              <w:spacing w:after="0"/>
            </w:pPr>
            <w:r/>
            <w:r>
              <w:rPr>
                <w:rFonts w:ascii="Aptos" w:hAnsi="Aptos"/>
                <w:b w:val="0"/>
                <w:color w:val="252638"/>
                <w:sz w:val="18"/>
              </w:rPr>
              <w:t>Run official holdout, tune thresholds, record demo, publish repo, apply release tag.</w:t>
            </w:r>
          </w:p>
        </w:tc>
        <w:tc>
          <w:tcPr>
            <w:tcW w:type="dxa" w:w="2016"/>
            <w:vAlign w:val="center"/>
            <w:tcMar>
              <w:top w:w="100" w:type="dxa"/>
              <w:start w:w="110" w:type="dxa"/>
              <w:bottom w:w="100" w:type="dxa"/>
              <w:end w:w="110" w:type="dxa"/>
            </w:tcMar>
            <w:shd w:fill="FAF9FD"/>
          </w:tcPr>
          <w:p>
            <w:pPr>
              <w:spacing w:after="0"/>
            </w:pPr>
            <w:r/>
            <w:r>
              <w:rPr>
                <w:rFonts w:ascii="Aptos" w:hAnsi="Aptos"/>
                <w:b w:val="0"/>
                <w:color w:val="252638"/>
                <w:sz w:val="18"/>
              </w:rPr>
              <w:t>Team action required</w:t>
            </w:r>
          </w:p>
        </w:tc>
      </w:tr>
    </w:tbl>
    <w:p>
      <w:pPr>
        <w:spacing w:after="0"/>
      </w:pPr>
    </w:p>
    <w:p>
      <w:pPr>
        <w:pStyle w:val="Heading1"/>
      </w:pPr>
      <w:r>
        <w:t>6. Research basis</w:t>
      </w:r>
    </w:p>
    <w:p>
      <w:r>
        <w:t>The design is grounded in peer-reviewed retrieval and constrained-generation work. The papers justify individual mechanisms; they do not by themselves prove the prototype’s competition performance, which must be established on the official held-out set.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3384"/>
            <w:vAlign w:val="center"/>
            <w:tcMar>
              <w:top w:w="100" w:type="dxa"/>
              <w:start w:w="110" w:type="dxa"/>
              <w:bottom w:w="100" w:type="dxa"/>
              <w:end w:w="110" w:type="dxa"/>
            </w:tcMar>
            <w:shd w:fill="6B48B7"/>
          </w:tcPr>
          <w:p>
            <w:pPr>
              <w:spacing w:after="0"/>
            </w:pPr>
            <w:r/>
            <w:r>
              <w:rPr>
                <w:rFonts w:ascii="Aptos" w:hAnsi="Aptos"/>
                <w:b/>
                <w:color w:val="FFFFFF"/>
                <w:sz w:val="18"/>
              </w:rPr>
              <w:t>Source</w:t>
            </w:r>
          </w:p>
        </w:tc>
        <w:tc>
          <w:tcPr>
            <w:tcW w:type="dxa" w:w="4968"/>
            <w:vAlign w:val="center"/>
            <w:tcMar>
              <w:top w:w="100" w:type="dxa"/>
              <w:start w:w="110" w:type="dxa"/>
              <w:bottom w:w="100" w:type="dxa"/>
              <w:end w:w="110" w:type="dxa"/>
            </w:tcMar>
            <w:shd w:fill="6B48B7"/>
          </w:tcPr>
          <w:p>
            <w:pPr>
              <w:spacing w:after="0"/>
            </w:pPr>
            <w:r/>
            <w:r>
              <w:rPr>
                <w:rFonts w:ascii="Aptos" w:hAnsi="Aptos"/>
                <w:b/>
                <w:color w:val="FFFFFF"/>
                <w:sz w:val="18"/>
              </w:rPr>
              <w:t>Design implication</w:t>
            </w:r>
          </w:p>
        </w:tc>
        <w:tc>
          <w:tcPr>
            <w:tcW w:type="dxa" w:w="2232"/>
            <w:vAlign w:val="center"/>
            <w:tcMar>
              <w:top w:w="100" w:type="dxa"/>
              <w:start w:w="110" w:type="dxa"/>
              <w:bottom w:w="100" w:type="dxa"/>
              <w:end w:w="110" w:type="dxa"/>
            </w:tcMar>
            <w:shd w:fill="6B48B7"/>
          </w:tcPr>
          <w:p>
            <w:pPr>
              <w:spacing w:after="0"/>
            </w:pPr>
            <w:r/>
            <w:r>
              <w:rPr>
                <w:rFonts w:ascii="Aptos" w:hAnsi="Aptos"/>
                <w:b/>
                <w:color w:val="FFFFFF"/>
                <w:sz w:val="18"/>
              </w:rPr>
              <w:t>Link</w:t>
            </w:r>
          </w:p>
        </w:tc>
      </w:tr>
      <w:tr>
        <w:trPr>
          <w:cantSplit w:val="true"/>
        </w:trPr>
        <w:tc>
          <w:tcPr>
            <w:tcW w:type="dxa" w:w="3384"/>
            <w:vAlign w:val="center"/>
            <w:tcMar>
              <w:top w:w="100" w:type="dxa"/>
              <w:start w:w="110" w:type="dxa"/>
              <w:bottom w:w="100" w:type="dxa"/>
              <w:end w:w="110" w:type="dxa"/>
            </w:tcMar>
          </w:tcPr>
          <w:p>
            <w:pPr>
              <w:spacing w:after="0"/>
            </w:pPr>
            <w:r/>
            <w:r>
              <w:rPr>
                <w:rFonts w:ascii="Aptos" w:hAnsi="Aptos"/>
                <w:b w:val="0"/>
                <w:color w:val="252638"/>
                <w:sz w:val="18"/>
              </w:rPr>
              <w:t>Lewis et al., NeurIPS 2020 — Retrieval-Augmented Generation</w:t>
            </w:r>
          </w:p>
        </w:tc>
        <w:tc>
          <w:tcPr>
            <w:tcW w:type="dxa" w:w="4968"/>
            <w:vAlign w:val="center"/>
            <w:tcMar>
              <w:top w:w="100" w:type="dxa"/>
              <w:start w:w="110" w:type="dxa"/>
              <w:bottom w:w="100" w:type="dxa"/>
              <w:end w:w="110" w:type="dxa"/>
            </w:tcMar>
          </w:tcPr>
          <w:p>
            <w:pPr>
              <w:spacing w:after="0"/>
            </w:pPr>
            <w:r/>
            <w:r>
              <w:rPr>
                <w:rFonts w:ascii="Aptos" w:hAnsi="Aptos"/>
                <w:b w:val="0"/>
                <w:color w:val="252638"/>
                <w:sz w:val="18"/>
              </w:rPr>
              <w:t>Supports grounding generation in retrieved non-parametric evidence rather than relying only on model memory.</w:t>
            </w:r>
          </w:p>
        </w:tc>
        <w:tc>
          <w:tcPr>
            <w:tcW w:type="dxa" w:w="2232"/>
            <w:vAlign w:val="center"/>
            <w:tcMar>
              <w:top w:w="100" w:type="dxa"/>
              <w:start w:w="110" w:type="dxa"/>
              <w:bottom w:w="100" w:type="dxa"/>
              <w:end w:w="110" w:type="dxa"/>
            </w:tcMar>
          </w:tcPr>
          <w:p>
            <w:pPr>
              <w:spacing w:after="0"/>
            </w:pPr>
            <w:r/>
            <w:r>
              <w:rPr>
                <w:rFonts w:ascii="Aptos" w:hAnsi="Aptos"/>
                <w:b w:val="0"/>
                <w:color w:val="252638"/>
                <w:sz w:val="18"/>
              </w:rPr>
              <w:t>https://papers.nips.cc/paper/2020/hash/6b493230205f780e1bc26945df7481e5-Abstract.html</w:t>
            </w:r>
          </w:p>
        </w:tc>
      </w:tr>
      <w:tr>
        <w:trPr>
          <w:cantSplit w:val="true"/>
        </w:trPr>
        <w:tc>
          <w:tcPr>
            <w:tcW w:type="dxa" w:w="3384"/>
            <w:vAlign w:val="center"/>
            <w:tcMar>
              <w:top w:w="100" w:type="dxa"/>
              <w:start w:w="110" w:type="dxa"/>
              <w:bottom w:w="100" w:type="dxa"/>
              <w:end w:w="110" w:type="dxa"/>
            </w:tcMar>
            <w:shd w:fill="FAF9FD"/>
          </w:tcPr>
          <w:p>
            <w:pPr>
              <w:spacing w:after="0"/>
            </w:pPr>
            <w:r/>
            <w:r>
              <w:rPr>
                <w:rFonts w:ascii="Aptos" w:hAnsi="Aptos"/>
                <w:b w:val="0"/>
                <w:color w:val="252638"/>
                <w:sz w:val="18"/>
              </w:rPr>
              <w:t>Gao et al., ACL 2023 — HyDE</w:t>
            </w:r>
          </w:p>
        </w:tc>
        <w:tc>
          <w:tcPr>
            <w:tcW w:type="dxa" w:w="4968"/>
            <w:vAlign w:val="center"/>
            <w:tcMar>
              <w:top w:w="100" w:type="dxa"/>
              <w:start w:w="110" w:type="dxa"/>
              <w:bottom w:w="100" w:type="dxa"/>
              <w:end w:w="110" w:type="dxa"/>
            </w:tcMar>
            <w:shd w:fill="FAF9FD"/>
          </w:tcPr>
          <w:p>
            <w:pPr>
              <w:spacing w:after="0"/>
            </w:pPr>
            <w:r/>
            <w:r>
              <w:rPr>
                <w:rFonts w:ascii="Aptos" w:hAnsi="Aptos"/>
                <w:b w:val="0"/>
                <w:color w:val="252638"/>
                <w:sz w:val="18"/>
              </w:rPr>
              <w:t>Motivates query enrichment using a hypothetical evidence-oriented representation for stronger zero-shot retrieval.</w:t>
            </w:r>
          </w:p>
        </w:tc>
        <w:tc>
          <w:tcPr>
            <w:tcW w:type="dxa" w:w="2232"/>
            <w:vAlign w:val="center"/>
            <w:tcMar>
              <w:top w:w="100" w:type="dxa"/>
              <w:start w:w="110" w:type="dxa"/>
              <w:bottom w:w="100" w:type="dxa"/>
              <w:end w:w="110" w:type="dxa"/>
            </w:tcMar>
            <w:shd w:fill="FAF9FD"/>
          </w:tcPr>
          <w:p>
            <w:pPr>
              <w:spacing w:after="0"/>
            </w:pPr>
            <w:r/>
            <w:r>
              <w:rPr>
                <w:rFonts w:ascii="Aptos" w:hAnsi="Aptos"/>
                <w:b w:val="0"/>
                <w:color w:val="252638"/>
                <w:sz w:val="18"/>
              </w:rPr>
              <w:t>https://aclanthology.org/2023.acl-long.99/</w:t>
            </w:r>
          </w:p>
        </w:tc>
      </w:tr>
      <w:tr>
        <w:trPr>
          <w:cantSplit w:val="true"/>
        </w:trPr>
        <w:tc>
          <w:tcPr>
            <w:tcW w:type="dxa" w:w="3384"/>
            <w:vAlign w:val="center"/>
            <w:tcMar>
              <w:top w:w="100" w:type="dxa"/>
              <w:start w:w="110" w:type="dxa"/>
              <w:bottom w:w="100" w:type="dxa"/>
              <w:end w:w="110" w:type="dxa"/>
            </w:tcMar>
          </w:tcPr>
          <w:p>
            <w:pPr>
              <w:spacing w:after="0"/>
            </w:pPr>
            <w:r/>
            <w:r>
              <w:rPr>
                <w:rFonts w:ascii="Aptos" w:hAnsi="Aptos"/>
                <w:b w:val="0"/>
                <w:color w:val="252638"/>
                <w:sz w:val="18"/>
              </w:rPr>
              <w:t>Thakur et al., Findings EMNLP 2023 — Zero-shot dense retrieval</w:t>
            </w:r>
          </w:p>
        </w:tc>
        <w:tc>
          <w:tcPr>
            <w:tcW w:type="dxa" w:w="4968"/>
            <w:vAlign w:val="center"/>
            <w:tcMar>
              <w:top w:w="100" w:type="dxa"/>
              <w:start w:w="110" w:type="dxa"/>
              <w:bottom w:w="100" w:type="dxa"/>
              <w:end w:w="110" w:type="dxa"/>
            </w:tcMar>
          </w:tcPr>
          <w:p>
            <w:pPr>
              <w:spacing w:after="0"/>
            </w:pPr>
            <w:r/>
            <w:r>
              <w:rPr>
                <w:rFonts w:ascii="Aptos" w:hAnsi="Aptos"/>
                <w:b w:val="0"/>
                <w:color w:val="252638"/>
                <w:sz w:val="18"/>
              </w:rPr>
              <w:t>Supports careful evaluation of retrieval generalization instead of assuming an embedding model transfers perfectly.</w:t>
            </w:r>
          </w:p>
        </w:tc>
        <w:tc>
          <w:tcPr>
            <w:tcW w:type="dxa" w:w="2232"/>
            <w:vAlign w:val="center"/>
            <w:tcMar>
              <w:top w:w="100" w:type="dxa"/>
              <w:start w:w="110" w:type="dxa"/>
              <w:bottom w:w="100" w:type="dxa"/>
              <w:end w:w="110" w:type="dxa"/>
            </w:tcMar>
          </w:tcPr>
          <w:p>
            <w:pPr>
              <w:spacing w:after="0"/>
            </w:pPr>
            <w:r/>
            <w:r>
              <w:rPr>
                <w:rFonts w:ascii="Aptos" w:hAnsi="Aptos"/>
                <w:b w:val="0"/>
                <w:color w:val="252638"/>
                <w:sz w:val="18"/>
              </w:rPr>
              <w:t>https://aclanthology.org/2023.findings-emnlp.1057/</w:t>
            </w:r>
          </w:p>
        </w:tc>
      </w:tr>
      <w:tr>
        <w:trPr>
          <w:cantSplit w:val="true"/>
        </w:trPr>
        <w:tc>
          <w:tcPr>
            <w:tcW w:type="dxa" w:w="3384"/>
            <w:vAlign w:val="center"/>
            <w:tcMar>
              <w:top w:w="100" w:type="dxa"/>
              <w:start w:w="110" w:type="dxa"/>
              <w:bottom w:w="100" w:type="dxa"/>
              <w:end w:w="110" w:type="dxa"/>
            </w:tcMar>
            <w:shd w:fill="FAF9FD"/>
          </w:tcPr>
          <w:p>
            <w:pPr>
              <w:spacing w:after="0"/>
            </w:pPr>
            <w:r/>
            <w:r>
              <w:rPr>
                <w:rFonts w:ascii="Aptos" w:hAnsi="Aptos"/>
                <w:b w:val="0"/>
                <w:color w:val="252638"/>
                <w:sz w:val="18"/>
              </w:rPr>
              <w:t>Scholak et al., EMNLP 2021 — PICARD</w:t>
            </w:r>
          </w:p>
        </w:tc>
        <w:tc>
          <w:tcPr>
            <w:tcW w:type="dxa" w:w="4968"/>
            <w:vAlign w:val="center"/>
            <w:tcMar>
              <w:top w:w="100" w:type="dxa"/>
              <w:start w:w="110" w:type="dxa"/>
              <w:bottom w:w="100" w:type="dxa"/>
              <w:end w:w="110" w:type="dxa"/>
            </w:tcMar>
            <w:shd w:fill="FAF9FD"/>
          </w:tcPr>
          <w:p>
            <w:pPr>
              <w:spacing w:after="0"/>
            </w:pPr>
            <w:r/>
            <w:r>
              <w:rPr>
                <w:rFonts w:ascii="Aptos" w:hAnsi="Aptos"/>
                <w:b w:val="0"/>
                <w:color w:val="252638"/>
                <w:sz w:val="18"/>
              </w:rPr>
              <w:t>Demonstrates that constrained decoding can reject inadmissible tokens during structured generation; GuideRail applies the same safety principle through deterministic post-validation.</w:t>
            </w:r>
          </w:p>
        </w:tc>
        <w:tc>
          <w:tcPr>
            <w:tcW w:type="dxa" w:w="2232"/>
            <w:vAlign w:val="center"/>
            <w:tcMar>
              <w:top w:w="100" w:type="dxa"/>
              <w:start w:w="110" w:type="dxa"/>
              <w:bottom w:w="100" w:type="dxa"/>
              <w:end w:w="110" w:type="dxa"/>
            </w:tcMar>
            <w:shd w:fill="FAF9FD"/>
          </w:tcPr>
          <w:p>
            <w:pPr>
              <w:spacing w:after="0"/>
            </w:pPr>
            <w:r/>
            <w:r>
              <w:rPr>
                <w:rFonts w:ascii="Aptos" w:hAnsi="Aptos"/>
                <w:b w:val="0"/>
                <w:color w:val="252638"/>
                <w:sz w:val="18"/>
              </w:rPr>
              <w:t>https://aclanthology.org/2021.emnlp-main.779/</w:t>
            </w:r>
          </w:p>
        </w:tc>
      </w:tr>
      <w:tr>
        <w:trPr>
          <w:cantSplit w:val="true"/>
        </w:trPr>
        <w:tc>
          <w:tcPr>
            <w:tcW w:type="dxa" w:w="3384"/>
            <w:vAlign w:val="center"/>
            <w:tcMar>
              <w:top w:w="100" w:type="dxa"/>
              <w:start w:w="110" w:type="dxa"/>
              <w:bottom w:w="100" w:type="dxa"/>
              <w:end w:w="110" w:type="dxa"/>
            </w:tcMar>
          </w:tcPr>
          <w:p>
            <w:pPr>
              <w:spacing w:after="0"/>
            </w:pPr>
            <w:r/>
            <w:r>
              <w:rPr>
                <w:rFonts w:ascii="Aptos" w:hAnsi="Aptos"/>
                <w:b w:val="0"/>
                <w:color w:val="252638"/>
                <w:sz w:val="18"/>
              </w:rPr>
              <w:t>Cormack et al., SIGIR 2009 — Reciprocal Rank Fusion</w:t>
            </w:r>
          </w:p>
        </w:tc>
        <w:tc>
          <w:tcPr>
            <w:tcW w:type="dxa" w:w="4968"/>
            <w:vAlign w:val="center"/>
            <w:tcMar>
              <w:top w:w="100" w:type="dxa"/>
              <w:start w:w="110" w:type="dxa"/>
              <w:bottom w:w="100" w:type="dxa"/>
              <w:end w:w="110" w:type="dxa"/>
            </w:tcMar>
          </w:tcPr>
          <w:p>
            <w:pPr>
              <w:spacing w:after="0"/>
            </w:pPr>
            <w:r/>
            <w:r>
              <w:rPr>
                <w:rFonts w:ascii="Aptos" w:hAnsi="Aptos"/>
                <w:b w:val="0"/>
                <w:color w:val="252638"/>
                <w:sz w:val="18"/>
              </w:rPr>
              <w:t>Provides a simple, robust method for combining lexical and semantic rankings in the production upgrade path.</w:t>
            </w:r>
          </w:p>
        </w:tc>
        <w:tc>
          <w:tcPr>
            <w:tcW w:type="dxa" w:w="2232"/>
            <w:vAlign w:val="center"/>
            <w:tcMar>
              <w:top w:w="100" w:type="dxa"/>
              <w:start w:w="110" w:type="dxa"/>
              <w:bottom w:w="100" w:type="dxa"/>
              <w:end w:w="110" w:type="dxa"/>
            </w:tcMar>
          </w:tcPr>
          <w:p>
            <w:pPr>
              <w:spacing w:after="0"/>
            </w:pPr>
            <w:r/>
            <w:r>
              <w:rPr>
                <w:rFonts w:ascii="Aptos" w:hAnsi="Aptos"/>
                <w:b w:val="0"/>
                <w:color w:val="252638"/>
                <w:sz w:val="18"/>
              </w:rPr>
              <w:t>https://doi.org/10.1145/1571941.1572114</w:t>
            </w:r>
          </w:p>
        </w:tc>
      </w:tr>
      <w:tr>
        <w:trPr>
          <w:cantSplit w:val="true"/>
        </w:trPr>
        <w:tc>
          <w:tcPr>
            <w:tcW w:type="dxa" w:w="3384"/>
            <w:vAlign w:val="center"/>
            <w:tcMar>
              <w:top w:w="100" w:type="dxa"/>
              <w:start w:w="110" w:type="dxa"/>
              <w:bottom w:w="100" w:type="dxa"/>
              <w:end w:w="110" w:type="dxa"/>
            </w:tcMar>
            <w:shd w:fill="FAF9FD"/>
          </w:tcPr>
          <w:p>
            <w:pPr>
              <w:spacing w:after="0"/>
            </w:pPr>
            <w:r/>
            <w:r>
              <w:rPr>
                <w:rFonts w:ascii="Aptos" w:hAnsi="Aptos"/>
                <w:b w:val="0"/>
                <w:color w:val="252638"/>
                <w:sz w:val="18"/>
              </w:rPr>
              <w:t>Semantic caching study, OpenReview</w:t>
            </w:r>
          </w:p>
        </w:tc>
        <w:tc>
          <w:tcPr>
            <w:tcW w:type="dxa" w:w="4968"/>
            <w:vAlign w:val="center"/>
            <w:tcMar>
              <w:top w:w="100" w:type="dxa"/>
              <w:start w:w="110" w:type="dxa"/>
              <w:bottom w:w="100" w:type="dxa"/>
              <w:end w:w="110" w:type="dxa"/>
            </w:tcMar>
            <w:shd w:fill="FAF9FD"/>
          </w:tcPr>
          <w:p>
            <w:pPr>
              <w:spacing w:after="0"/>
            </w:pPr>
            <w:r/>
            <w:r>
              <w:rPr>
                <w:rFonts w:ascii="Aptos" w:hAnsi="Aptos"/>
                <w:b w:val="0"/>
                <w:color w:val="252638"/>
                <w:sz w:val="18"/>
              </w:rPr>
              <w:t>Motivates meaning-aware cache lookup while highlighting the need for similarity thresholds and safe admission policy.</w:t>
            </w:r>
          </w:p>
        </w:tc>
        <w:tc>
          <w:tcPr>
            <w:tcW w:type="dxa" w:w="2232"/>
            <w:vAlign w:val="center"/>
            <w:tcMar>
              <w:top w:w="100" w:type="dxa"/>
              <w:start w:w="110" w:type="dxa"/>
              <w:bottom w:w="100" w:type="dxa"/>
              <w:end w:w="110" w:type="dxa"/>
            </w:tcMar>
            <w:shd w:fill="FAF9FD"/>
          </w:tcPr>
          <w:p>
            <w:pPr>
              <w:spacing w:after="0"/>
            </w:pPr>
            <w:r/>
            <w:r>
              <w:rPr>
                <w:rFonts w:ascii="Aptos" w:hAnsi="Aptos"/>
                <w:b w:val="0"/>
                <w:color w:val="252638"/>
                <w:sz w:val="18"/>
              </w:rPr>
              <w:t>https://openreview.net/pdf/3b13fe693b16e8f2abb20689166e3d10217afe15.pdf</w:t>
            </w:r>
          </w:p>
        </w:tc>
      </w:tr>
    </w:tbl>
    <w:p>
      <w:pPr>
        <w:spacing w:after="0"/>
      </w:pPr>
    </w:p>
    <w:p>
      <w:pPr>
        <w:pStyle w:val="Heading1"/>
      </w:pPr>
      <w:r>
        <w:t>7. Data strategy</w:t>
      </w:r>
    </w:p>
    <w:p>
      <w:pPr>
        <w:pStyle w:val="ListBullet"/>
        <w:spacing w:after="60"/>
      </w:pPr>
      <w:r>
        <w:t>Treat the official deeplink file as an allow-list and immutable identifier registry.</w:t>
      </w:r>
    </w:p>
    <w:p>
      <w:pPr>
        <w:pStyle w:val="ListBullet"/>
        <w:spacing w:after="60"/>
      </w:pPr>
      <w:r>
        <w:t>Convert approved troubleshooting references into compact records with issue labels, evidence text, ordered actions, and permitted URIs.</w:t>
      </w:r>
    </w:p>
    <w:p>
      <w:pPr>
        <w:pStyle w:val="ListBullet"/>
        <w:spacing w:after="60"/>
      </w:pPr>
      <w:r>
        <w:t>Generate paraphrase candidates offline, then review and de-duplicate them before adding them to retrieval and cache evaluation sets.</w:t>
      </w:r>
    </w:p>
    <w:p>
      <w:pPr>
        <w:pStyle w:val="ListBullet"/>
        <w:spacing w:after="60"/>
      </w:pPr>
      <w:r>
        <w:t>Keep training/tuning queries separate from the held-out evaluation set; report results by issue family and single- versus multi-issue complaints.</w:t>
      </w:r>
    </w:p>
    <w:p>
      <w:pPr>
        <w:pStyle w:val="ListBullet"/>
        <w:spacing w:after="60"/>
      </w:pPr>
      <w:r>
        <w:t>Hash or remove device identifiers and personally identifying SIIS fields before storage; log only the minimum text needed for evaluation.</w:t>
      </w:r>
    </w:p>
    <w:p>
      <w:pPr>
        <w:pStyle w:val="ListBullet"/>
        <w:spacing w:after="60"/>
      </w:pPr>
      <w:r>
        <w:t>Version the dataset, deeplink catalog, schema, prompts, thresholds, and model identifier so every result is reproducible.</w:t>
      </w:r>
    </w:p>
    <w:p>
      <w:pPr>
        <w:pStyle w:val="Heading1"/>
      </w:pPr>
      <w:r>
        <w:t>8. Validation and evaluation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304"/>
            <w:vAlign w:val="center"/>
            <w:tcMar>
              <w:top w:w="100" w:type="dxa"/>
              <w:start w:w="110" w:type="dxa"/>
              <w:bottom w:w="100" w:type="dxa"/>
              <w:end w:w="110" w:type="dxa"/>
            </w:tcMar>
            <w:shd w:fill="6B48B7"/>
          </w:tcPr>
          <w:p>
            <w:pPr>
              <w:spacing w:after="0"/>
            </w:pPr>
            <w:r/>
            <w:r>
              <w:rPr>
                <w:rFonts w:ascii="Aptos" w:hAnsi="Aptos"/>
                <w:b/>
                <w:color w:val="FFFFFF"/>
                <w:sz w:val="18"/>
              </w:rPr>
              <w:t>Metric</w:t>
            </w:r>
          </w:p>
        </w:tc>
        <w:tc>
          <w:tcPr>
            <w:tcW w:type="dxa" w:w="5328"/>
            <w:vAlign w:val="center"/>
            <w:tcMar>
              <w:top w:w="100" w:type="dxa"/>
              <w:start w:w="110" w:type="dxa"/>
              <w:bottom w:w="100" w:type="dxa"/>
              <w:end w:w="110" w:type="dxa"/>
            </w:tcMar>
            <w:shd w:fill="6B48B7"/>
          </w:tcPr>
          <w:p>
            <w:pPr>
              <w:spacing w:after="0"/>
            </w:pPr>
            <w:r/>
            <w:r>
              <w:rPr>
                <w:rFonts w:ascii="Aptos" w:hAnsi="Aptos"/>
                <w:b/>
                <w:color w:val="FFFFFF"/>
                <w:sz w:val="18"/>
              </w:rPr>
              <w:t>Definition</w:t>
            </w:r>
          </w:p>
        </w:tc>
        <w:tc>
          <w:tcPr>
            <w:tcW w:type="dxa" w:w="2952"/>
            <w:vAlign w:val="center"/>
            <w:tcMar>
              <w:top w:w="100" w:type="dxa"/>
              <w:start w:w="110" w:type="dxa"/>
              <w:bottom w:w="100" w:type="dxa"/>
              <w:end w:w="110" w:type="dxa"/>
            </w:tcMar>
            <w:shd w:fill="6B48B7"/>
          </w:tcPr>
          <w:p>
            <w:pPr>
              <w:spacing w:after="0"/>
            </w:pPr>
            <w:r/>
            <w:r>
              <w:rPr>
                <w:rFonts w:ascii="Aptos" w:hAnsi="Aptos"/>
                <w:b/>
                <w:color w:val="FFFFFF"/>
                <w:sz w:val="18"/>
              </w:rPr>
              <w:t>Acceptance/reporting rule</w:t>
            </w:r>
          </w:p>
        </w:tc>
      </w:tr>
      <w:tr>
        <w:trPr>
          <w:cantSplit w:val="true"/>
        </w:trPr>
        <w:tc>
          <w:tcPr>
            <w:tcW w:type="dxa" w:w="2304"/>
            <w:vAlign w:val="center"/>
            <w:tcMar>
              <w:top w:w="100" w:type="dxa"/>
              <w:start w:w="110" w:type="dxa"/>
              <w:bottom w:w="100" w:type="dxa"/>
              <w:end w:w="110" w:type="dxa"/>
            </w:tcMar>
          </w:tcPr>
          <w:p>
            <w:pPr>
              <w:spacing w:after="0"/>
            </w:pPr>
            <w:r/>
            <w:r>
              <w:rPr>
                <w:rFonts w:ascii="Aptos" w:hAnsi="Aptos"/>
                <w:b w:val="0"/>
                <w:color w:val="252638"/>
                <w:sz w:val="18"/>
              </w:rPr>
              <w:t>Schema validity</w:t>
            </w:r>
          </w:p>
        </w:tc>
        <w:tc>
          <w:tcPr>
            <w:tcW w:type="dxa" w:w="5328"/>
            <w:vAlign w:val="center"/>
            <w:tcMar>
              <w:top w:w="100" w:type="dxa"/>
              <w:start w:w="110" w:type="dxa"/>
              <w:bottom w:w="100" w:type="dxa"/>
              <w:end w:w="110" w:type="dxa"/>
            </w:tcMar>
          </w:tcPr>
          <w:p>
            <w:pPr>
              <w:spacing w:after="0"/>
            </w:pPr>
            <w:r/>
            <w:r>
              <w:rPr>
                <w:rFonts w:ascii="Aptos" w:hAnsi="Aptos"/>
                <w:b w:val="0"/>
                <w:color w:val="252638"/>
                <w:sz w:val="18"/>
              </w:rPr>
              <w:t>Valid responses / all non-error responses</w:t>
            </w:r>
          </w:p>
        </w:tc>
        <w:tc>
          <w:tcPr>
            <w:tcW w:type="dxa" w:w="2952"/>
            <w:vAlign w:val="center"/>
            <w:tcMar>
              <w:top w:w="100" w:type="dxa"/>
              <w:start w:w="110" w:type="dxa"/>
              <w:bottom w:w="100" w:type="dxa"/>
              <w:end w:w="110" w:type="dxa"/>
            </w:tcMar>
          </w:tcPr>
          <w:p>
            <w:pPr>
              <w:spacing w:after="0"/>
            </w:pPr>
            <w:r/>
            <w:r>
              <w:rPr>
                <w:rFonts w:ascii="Aptos" w:hAnsi="Aptos"/>
                <w:b w:val="0"/>
                <w:color w:val="252638"/>
                <w:sz w:val="18"/>
              </w:rPr>
              <w:t>&gt;= 99%</w:t>
            </w:r>
          </w:p>
        </w:tc>
      </w:tr>
      <w:tr>
        <w:trPr>
          <w:cantSplit w:val="true"/>
        </w:trPr>
        <w:tc>
          <w:tcPr>
            <w:tcW w:type="dxa" w:w="2304"/>
            <w:vAlign w:val="center"/>
            <w:tcMar>
              <w:top w:w="100" w:type="dxa"/>
              <w:start w:w="110" w:type="dxa"/>
              <w:bottom w:w="100" w:type="dxa"/>
              <w:end w:w="110" w:type="dxa"/>
            </w:tcMar>
            <w:shd w:fill="FAF9FD"/>
          </w:tcPr>
          <w:p>
            <w:pPr>
              <w:spacing w:after="0"/>
            </w:pPr>
            <w:r/>
            <w:r>
              <w:rPr>
                <w:rFonts w:ascii="Aptos" w:hAnsi="Aptos"/>
                <w:b w:val="0"/>
                <w:color w:val="252638"/>
                <w:sz w:val="18"/>
              </w:rPr>
              <w:t>Exact deeplink validity</w:t>
            </w:r>
          </w:p>
        </w:tc>
        <w:tc>
          <w:tcPr>
            <w:tcW w:type="dxa" w:w="5328"/>
            <w:vAlign w:val="center"/>
            <w:tcMar>
              <w:top w:w="100" w:type="dxa"/>
              <w:start w:w="110" w:type="dxa"/>
              <w:bottom w:w="100" w:type="dxa"/>
              <w:end w:w="110" w:type="dxa"/>
            </w:tcMar>
            <w:shd w:fill="FAF9FD"/>
          </w:tcPr>
          <w:p>
            <w:pPr>
              <w:spacing w:after="0"/>
            </w:pPr>
            <w:r/>
            <w:r>
              <w:rPr>
                <w:rFonts w:ascii="Aptos" w:hAnsi="Aptos"/>
                <w:b w:val="0"/>
                <w:color w:val="252638"/>
                <w:sz w:val="18"/>
              </w:rPr>
              <w:t>Returned actionable URIs present in supplied catalog</w:t>
            </w:r>
          </w:p>
        </w:tc>
        <w:tc>
          <w:tcPr>
            <w:tcW w:type="dxa" w:w="2952"/>
            <w:vAlign w:val="center"/>
            <w:tcMar>
              <w:top w:w="100" w:type="dxa"/>
              <w:start w:w="110" w:type="dxa"/>
              <w:bottom w:w="100" w:type="dxa"/>
              <w:end w:w="110" w:type="dxa"/>
            </w:tcMar>
            <w:shd w:fill="FAF9FD"/>
          </w:tcPr>
          <w:p>
            <w:pPr>
              <w:spacing w:after="0"/>
            </w:pPr>
            <w:r/>
            <w:r>
              <w:rPr>
                <w:rFonts w:ascii="Aptos" w:hAnsi="Aptos"/>
                <w:b w:val="0"/>
                <w:color w:val="252638"/>
                <w:sz w:val="18"/>
              </w:rPr>
              <w:t>100%</w:t>
            </w:r>
          </w:p>
        </w:tc>
      </w:tr>
      <w:tr>
        <w:trPr>
          <w:cantSplit w:val="true"/>
        </w:trPr>
        <w:tc>
          <w:tcPr>
            <w:tcW w:type="dxa" w:w="2304"/>
            <w:vAlign w:val="center"/>
            <w:tcMar>
              <w:top w:w="100" w:type="dxa"/>
              <w:start w:w="110" w:type="dxa"/>
              <w:bottom w:w="100" w:type="dxa"/>
              <w:end w:w="110" w:type="dxa"/>
            </w:tcMar>
          </w:tcPr>
          <w:p>
            <w:pPr>
              <w:spacing w:after="0"/>
            </w:pPr>
            <w:r/>
            <w:r>
              <w:rPr>
                <w:rFonts w:ascii="Aptos" w:hAnsi="Aptos"/>
                <w:b w:val="0"/>
                <w:color w:val="252638"/>
                <w:sz w:val="18"/>
              </w:rPr>
              <w:t>Step accuracy</w:t>
            </w:r>
          </w:p>
        </w:tc>
        <w:tc>
          <w:tcPr>
            <w:tcW w:type="dxa" w:w="5328"/>
            <w:vAlign w:val="center"/>
            <w:tcMar>
              <w:top w:w="100" w:type="dxa"/>
              <w:start w:w="110" w:type="dxa"/>
              <w:bottom w:w="100" w:type="dxa"/>
              <w:end w:w="110" w:type="dxa"/>
            </w:tcMar>
          </w:tcPr>
          <w:p>
            <w:pPr>
              <w:spacing w:after="0"/>
            </w:pPr>
            <w:r/>
            <w:r>
              <w:rPr>
                <w:rFonts w:ascii="Aptos" w:hAnsi="Aptos"/>
                <w:b w:val="0"/>
                <w:color w:val="252638"/>
                <w:sz w:val="18"/>
              </w:rPr>
              <w:t>Human- or gold-labeled action/step correctness</w:t>
            </w:r>
          </w:p>
        </w:tc>
        <w:tc>
          <w:tcPr>
            <w:tcW w:type="dxa" w:w="2952"/>
            <w:vAlign w:val="center"/>
            <w:tcMar>
              <w:top w:w="100" w:type="dxa"/>
              <w:start w:w="110" w:type="dxa"/>
              <w:bottom w:w="100" w:type="dxa"/>
              <w:end w:w="110" w:type="dxa"/>
            </w:tcMar>
          </w:tcPr>
          <w:p>
            <w:pPr>
              <w:spacing w:after="0"/>
            </w:pPr>
            <w:r/>
            <w:r>
              <w:rPr>
                <w:rFonts w:ascii="Aptos" w:hAnsi="Aptos"/>
                <w:b w:val="0"/>
                <w:color w:val="252638"/>
                <w:sz w:val="18"/>
              </w:rPr>
              <w:t>Report overall and by issue family</w:t>
            </w:r>
          </w:p>
        </w:tc>
      </w:tr>
      <w:tr>
        <w:trPr>
          <w:cantSplit w:val="true"/>
        </w:trPr>
        <w:tc>
          <w:tcPr>
            <w:tcW w:type="dxa" w:w="2304"/>
            <w:vAlign w:val="center"/>
            <w:tcMar>
              <w:top w:w="100" w:type="dxa"/>
              <w:start w:w="110" w:type="dxa"/>
              <w:bottom w:w="100" w:type="dxa"/>
              <w:end w:w="110" w:type="dxa"/>
            </w:tcMar>
            <w:shd w:fill="FAF9FD"/>
          </w:tcPr>
          <w:p>
            <w:pPr>
              <w:spacing w:after="0"/>
            </w:pPr>
            <w:r/>
            <w:r>
              <w:rPr>
                <w:rFonts w:ascii="Aptos" w:hAnsi="Aptos"/>
                <w:b w:val="0"/>
                <w:color w:val="252638"/>
                <w:sz w:val="18"/>
              </w:rPr>
              <w:t>Critical ordering</w:t>
            </w:r>
          </w:p>
        </w:tc>
        <w:tc>
          <w:tcPr>
            <w:tcW w:type="dxa" w:w="5328"/>
            <w:vAlign w:val="center"/>
            <w:tcMar>
              <w:top w:w="100" w:type="dxa"/>
              <w:start w:w="110" w:type="dxa"/>
              <w:bottom w:w="100" w:type="dxa"/>
              <w:end w:w="110" w:type="dxa"/>
            </w:tcMar>
            <w:shd w:fill="FAF9FD"/>
          </w:tcPr>
          <w:p>
            <w:pPr>
              <w:spacing w:after="0"/>
            </w:pPr>
            <w:r/>
            <w:r>
              <w:rPr>
                <w:rFonts w:ascii="Aptos" w:hAnsi="Aptos"/>
                <w:b w:val="0"/>
                <w:color w:val="252638"/>
                <w:sz w:val="18"/>
              </w:rPr>
              <w:t>Critical actions occur only at the end</w:t>
            </w:r>
          </w:p>
        </w:tc>
        <w:tc>
          <w:tcPr>
            <w:tcW w:type="dxa" w:w="2952"/>
            <w:vAlign w:val="center"/>
            <w:tcMar>
              <w:top w:w="100" w:type="dxa"/>
              <w:start w:w="110" w:type="dxa"/>
              <w:bottom w:w="100" w:type="dxa"/>
              <w:end w:w="110" w:type="dxa"/>
            </w:tcMar>
            <w:shd w:fill="FAF9FD"/>
          </w:tcPr>
          <w:p>
            <w:pPr>
              <w:spacing w:after="0"/>
            </w:pPr>
            <w:r/>
            <w:r>
              <w:rPr>
                <w:rFonts w:ascii="Aptos" w:hAnsi="Aptos"/>
                <w:b w:val="0"/>
                <w:color w:val="252638"/>
                <w:sz w:val="18"/>
              </w:rPr>
              <w:t>100%</w:t>
            </w:r>
          </w:p>
        </w:tc>
      </w:tr>
      <w:tr>
        <w:trPr>
          <w:cantSplit w:val="true"/>
        </w:trPr>
        <w:tc>
          <w:tcPr>
            <w:tcW w:type="dxa" w:w="2304"/>
            <w:vAlign w:val="center"/>
            <w:tcMar>
              <w:top w:w="100" w:type="dxa"/>
              <w:start w:w="110" w:type="dxa"/>
              <w:bottom w:w="100" w:type="dxa"/>
              <w:end w:w="110" w:type="dxa"/>
            </w:tcMar>
          </w:tcPr>
          <w:p>
            <w:pPr>
              <w:spacing w:after="0"/>
            </w:pPr>
            <w:r/>
            <w:r>
              <w:rPr>
                <w:rFonts w:ascii="Aptos" w:hAnsi="Aptos"/>
                <w:b w:val="0"/>
                <w:color w:val="252638"/>
                <w:sz w:val="18"/>
              </w:rPr>
              <w:t>Semantic cache hit rate</w:t>
            </w:r>
          </w:p>
        </w:tc>
        <w:tc>
          <w:tcPr>
            <w:tcW w:type="dxa" w:w="5328"/>
            <w:vAlign w:val="center"/>
            <w:tcMar>
              <w:top w:w="100" w:type="dxa"/>
              <w:start w:w="110" w:type="dxa"/>
              <w:bottom w:w="100" w:type="dxa"/>
              <w:end w:w="110" w:type="dxa"/>
            </w:tcMar>
          </w:tcPr>
          <w:p>
            <w:pPr>
              <w:spacing w:after="0"/>
            </w:pPr>
            <w:r/>
            <w:r>
              <w:rPr>
                <w:rFonts w:ascii="Aptos" w:hAnsi="Aptos"/>
                <w:b w:val="0"/>
                <w:color w:val="252638"/>
                <w:sz w:val="18"/>
              </w:rPr>
              <w:t>Meaning-equivalent repeat complaints served from cache</w:t>
            </w:r>
          </w:p>
        </w:tc>
        <w:tc>
          <w:tcPr>
            <w:tcW w:type="dxa" w:w="2952"/>
            <w:vAlign w:val="center"/>
            <w:tcMar>
              <w:top w:w="100" w:type="dxa"/>
              <w:start w:w="110" w:type="dxa"/>
              <w:bottom w:w="100" w:type="dxa"/>
              <w:end w:w="110" w:type="dxa"/>
            </w:tcMar>
          </w:tcPr>
          <w:p>
            <w:pPr>
              <w:spacing w:after="0"/>
            </w:pPr>
            <w:r/>
            <w:r>
              <w:rPr>
                <w:rFonts w:ascii="Aptos" w:hAnsi="Aptos"/>
                <w:b w:val="0"/>
                <w:color w:val="252638"/>
                <w:sz w:val="18"/>
              </w:rPr>
              <w:t>&gt;= 80%</w:t>
            </w:r>
          </w:p>
        </w:tc>
      </w:tr>
      <w:tr>
        <w:trPr>
          <w:cantSplit w:val="true"/>
        </w:trPr>
        <w:tc>
          <w:tcPr>
            <w:tcW w:type="dxa" w:w="2304"/>
            <w:vAlign w:val="center"/>
            <w:tcMar>
              <w:top w:w="100" w:type="dxa"/>
              <w:start w:w="110" w:type="dxa"/>
              <w:bottom w:w="100" w:type="dxa"/>
              <w:end w:w="110" w:type="dxa"/>
            </w:tcMar>
            <w:shd w:fill="FAF9FD"/>
          </w:tcPr>
          <w:p>
            <w:pPr>
              <w:spacing w:after="0"/>
            </w:pPr>
            <w:r/>
            <w:r>
              <w:rPr>
                <w:rFonts w:ascii="Aptos" w:hAnsi="Aptos"/>
                <w:b w:val="0"/>
                <w:color w:val="252638"/>
                <w:sz w:val="18"/>
              </w:rPr>
              <w:t>Warm P95 latency</w:t>
            </w:r>
          </w:p>
        </w:tc>
        <w:tc>
          <w:tcPr>
            <w:tcW w:type="dxa" w:w="5328"/>
            <w:vAlign w:val="center"/>
            <w:tcMar>
              <w:top w:w="100" w:type="dxa"/>
              <w:start w:w="110" w:type="dxa"/>
              <w:bottom w:w="100" w:type="dxa"/>
              <w:end w:w="110" w:type="dxa"/>
            </w:tcMar>
            <w:shd w:fill="FAF9FD"/>
          </w:tcPr>
          <w:p>
            <w:pPr>
              <w:spacing w:after="0"/>
            </w:pPr>
            <w:r/>
            <w:r>
              <w:rPr>
                <w:rFonts w:ascii="Aptos" w:hAnsi="Aptos"/>
                <w:b w:val="0"/>
                <w:color w:val="252638"/>
                <w:sz w:val="18"/>
              </w:rPr>
              <w:t>Request-to-response for validated cache hits</w:t>
            </w:r>
          </w:p>
        </w:tc>
        <w:tc>
          <w:tcPr>
            <w:tcW w:type="dxa" w:w="2952"/>
            <w:vAlign w:val="center"/>
            <w:tcMar>
              <w:top w:w="100" w:type="dxa"/>
              <w:start w:w="110" w:type="dxa"/>
              <w:bottom w:w="100" w:type="dxa"/>
              <w:end w:w="110" w:type="dxa"/>
            </w:tcMar>
            <w:shd w:fill="FAF9FD"/>
          </w:tcPr>
          <w:p>
            <w:pPr>
              <w:spacing w:after="0"/>
            </w:pPr>
            <w:r/>
            <w:r>
              <w:rPr>
                <w:rFonts w:ascii="Aptos" w:hAnsi="Aptos"/>
                <w:b w:val="0"/>
                <w:color w:val="252638"/>
                <w:sz w:val="18"/>
              </w:rPr>
              <w:t>&lt;= 300 ms</w:t>
            </w:r>
          </w:p>
        </w:tc>
      </w:tr>
      <w:tr>
        <w:trPr>
          <w:cantSplit w:val="true"/>
        </w:trPr>
        <w:tc>
          <w:tcPr>
            <w:tcW w:type="dxa" w:w="2304"/>
            <w:vAlign w:val="center"/>
            <w:tcMar>
              <w:top w:w="100" w:type="dxa"/>
              <w:start w:w="110" w:type="dxa"/>
              <w:bottom w:w="100" w:type="dxa"/>
              <w:end w:w="110" w:type="dxa"/>
            </w:tcMar>
          </w:tcPr>
          <w:p>
            <w:pPr>
              <w:spacing w:after="0"/>
            </w:pPr>
            <w:r/>
            <w:r>
              <w:rPr>
                <w:rFonts w:ascii="Aptos" w:hAnsi="Aptos"/>
                <w:b w:val="0"/>
                <w:color w:val="252638"/>
                <w:sz w:val="18"/>
              </w:rPr>
              <w:t>Cold P95 latency</w:t>
            </w:r>
          </w:p>
        </w:tc>
        <w:tc>
          <w:tcPr>
            <w:tcW w:type="dxa" w:w="5328"/>
            <w:vAlign w:val="center"/>
            <w:tcMar>
              <w:top w:w="100" w:type="dxa"/>
              <w:start w:w="110" w:type="dxa"/>
              <w:bottom w:w="100" w:type="dxa"/>
              <w:end w:w="110" w:type="dxa"/>
            </w:tcMar>
          </w:tcPr>
          <w:p>
            <w:pPr>
              <w:spacing w:after="0"/>
            </w:pPr>
            <w:r/>
            <w:r>
              <w:rPr>
                <w:rFonts w:ascii="Aptos" w:hAnsi="Aptos"/>
                <w:b w:val="0"/>
                <w:color w:val="252638"/>
                <w:sz w:val="18"/>
              </w:rPr>
              <w:t>Uncached end-to-end response</w:t>
            </w:r>
          </w:p>
        </w:tc>
        <w:tc>
          <w:tcPr>
            <w:tcW w:type="dxa" w:w="2952"/>
            <w:vAlign w:val="center"/>
            <w:tcMar>
              <w:top w:w="100" w:type="dxa"/>
              <w:start w:w="110" w:type="dxa"/>
              <w:bottom w:w="100" w:type="dxa"/>
              <w:end w:w="110" w:type="dxa"/>
            </w:tcMar>
          </w:tcPr>
          <w:p>
            <w:pPr>
              <w:spacing w:after="0"/>
            </w:pPr>
            <w:r/>
            <w:r>
              <w:rPr>
                <w:rFonts w:ascii="Aptos" w:hAnsi="Aptos"/>
                <w:b w:val="0"/>
                <w:color w:val="252638"/>
                <w:sz w:val="18"/>
              </w:rPr>
              <w:t>&lt;= 8 s</w:t>
            </w:r>
          </w:p>
        </w:tc>
      </w:tr>
      <w:tr>
        <w:trPr>
          <w:cantSplit w:val="true"/>
        </w:trPr>
        <w:tc>
          <w:tcPr>
            <w:tcW w:type="dxa" w:w="2304"/>
            <w:vAlign w:val="center"/>
            <w:tcMar>
              <w:top w:w="100" w:type="dxa"/>
              <w:start w:w="110" w:type="dxa"/>
              <w:bottom w:w="100" w:type="dxa"/>
              <w:end w:w="110" w:type="dxa"/>
            </w:tcMar>
            <w:shd w:fill="FAF9FD"/>
          </w:tcPr>
          <w:p>
            <w:pPr>
              <w:spacing w:after="0"/>
            </w:pPr>
            <w:r/>
            <w:r>
              <w:rPr>
                <w:rFonts w:ascii="Aptos" w:hAnsi="Aptos"/>
                <w:b w:val="0"/>
                <w:color w:val="252638"/>
                <w:sz w:val="18"/>
              </w:rPr>
              <w:t>Fallback precision</w:t>
            </w:r>
          </w:p>
        </w:tc>
        <w:tc>
          <w:tcPr>
            <w:tcW w:type="dxa" w:w="5328"/>
            <w:vAlign w:val="center"/>
            <w:tcMar>
              <w:top w:w="100" w:type="dxa"/>
              <w:start w:w="110" w:type="dxa"/>
              <w:bottom w:w="100" w:type="dxa"/>
              <w:end w:w="110" w:type="dxa"/>
            </w:tcMar>
            <w:shd w:fill="FAF9FD"/>
          </w:tcPr>
          <w:p>
            <w:pPr>
              <w:spacing w:after="0"/>
            </w:pPr>
            <w:r/>
            <w:r>
              <w:rPr>
                <w:rFonts w:ascii="Aptos" w:hAnsi="Aptos"/>
                <w:b w:val="0"/>
                <w:color w:val="252638"/>
                <w:sz w:val="18"/>
              </w:rPr>
              <w:t>Weak/unsupported requests safely declined</w:t>
            </w:r>
          </w:p>
        </w:tc>
        <w:tc>
          <w:tcPr>
            <w:tcW w:type="dxa" w:w="2952"/>
            <w:vAlign w:val="center"/>
            <w:tcMar>
              <w:top w:w="100" w:type="dxa"/>
              <w:start w:w="110" w:type="dxa"/>
              <w:bottom w:w="100" w:type="dxa"/>
              <w:end w:w="110" w:type="dxa"/>
            </w:tcMar>
            <w:shd w:fill="FAF9FD"/>
          </w:tcPr>
          <w:p>
            <w:pPr>
              <w:spacing w:after="0"/>
            </w:pPr>
            <w:r/>
            <w:r>
              <w:rPr>
                <w:rFonts w:ascii="Aptos" w:hAnsi="Aptos"/>
                <w:b w:val="0"/>
                <w:color w:val="252638"/>
                <w:sz w:val="18"/>
              </w:rPr>
              <w:t>Report false-accept rate</w:t>
            </w:r>
          </w:p>
        </w:tc>
      </w:tr>
      <w:tr>
        <w:trPr>
          <w:cantSplit w:val="true"/>
        </w:trPr>
        <w:tc>
          <w:tcPr>
            <w:tcW w:type="dxa" w:w="2304"/>
            <w:vAlign w:val="center"/>
            <w:tcMar>
              <w:top w:w="100" w:type="dxa"/>
              <w:start w:w="110" w:type="dxa"/>
              <w:bottom w:w="100" w:type="dxa"/>
              <w:end w:w="110" w:type="dxa"/>
            </w:tcMar>
          </w:tcPr>
          <w:p>
            <w:pPr>
              <w:spacing w:after="0"/>
            </w:pPr>
            <w:r/>
            <w:r>
              <w:rPr>
                <w:rFonts w:ascii="Aptos" w:hAnsi="Aptos"/>
                <w:b w:val="0"/>
                <w:color w:val="252638"/>
                <w:sz w:val="18"/>
              </w:rPr>
              <w:t>Cost</w:t>
            </w:r>
          </w:p>
        </w:tc>
        <w:tc>
          <w:tcPr>
            <w:tcW w:type="dxa" w:w="5328"/>
            <w:vAlign w:val="center"/>
            <w:tcMar>
              <w:top w:w="100" w:type="dxa"/>
              <w:start w:w="110" w:type="dxa"/>
              <w:bottom w:w="100" w:type="dxa"/>
              <w:end w:w="110" w:type="dxa"/>
            </w:tcMar>
          </w:tcPr>
          <w:p>
            <w:pPr>
              <w:spacing w:after="0"/>
            </w:pPr>
            <w:r/>
            <w:r>
              <w:rPr>
                <w:rFonts w:ascii="Aptos" w:hAnsi="Aptos"/>
                <w:b w:val="0"/>
                <w:color w:val="252638"/>
                <w:sz w:val="18"/>
              </w:rPr>
              <w:t>Model input/output tokens and estimated spend per resolved complaint</w:t>
            </w:r>
          </w:p>
        </w:tc>
        <w:tc>
          <w:tcPr>
            <w:tcW w:type="dxa" w:w="2952"/>
            <w:vAlign w:val="center"/>
            <w:tcMar>
              <w:top w:w="100" w:type="dxa"/>
              <w:start w:w="110" w:type="dxa"/>
              <w:bottom w:w="100" w:type="dxa"/>
              <w:end w:w="110" w:type="dxa"/>
            </w:tcMar>
          </w:tcPr>
          <w:p>
            <w:pPr>
              <w:spacing w:after="0"/>
            </w:pPr>
            <w:r/>
            <w:r>
              <w:rPr>
                <w:rFonts w:ascii="Aptos" w:hAnsi="Aptos"/>
                <w:b w:val="0"/>
                <w:color w:val="252638"/>
                <w:sz w:val="18"/>
              </w:rPr>
              <w:t>Report by cache state</w:t>
            </w:r>
          </w:p>
        </w:tc>
      </w:tr>
    </w:tbl>
    <w:p>
      <w:pPr>
        <w:spacing w:after="0"/>
      </w:pPr>
    </w:p>
    <w:p>
      <w:pPr>
        <w:pStyle w:val="Heading1"/>
      </w:pPr>
      <w:r>
        <w:t>9. Current prototype evidence</w:t>
      </w:r>
    </w:p>
    <w:p>
      <w:r>
        <w:t>The repository currently contains 11 synthetic reference plans, 15 masked synthetic deeplinks, and 33 synthetic paraphrase cases across battery, display, camera, and performance complaints. All 13 automated tests pass. The suite includes the two-stage path, compatible HTTP transport, official-data normalization, and rejection of an invented model deeplink. The synthetic benchmark reports 100% top-1 retrieval, 100% schema validity, 100% exact-deeplink validity, and a local P95 below 1 ms. These are engineering smoke-test results only; they are not claims about the official Samsung dataset or real-world accuracy.</w:t>
      </w:r>
    </w:p>
    <w:p>
      <w:pPr>
        <w:pStyle w:val="ListBullet"/>
        <w:spacing w:after="60"/>
      </w:pPr>
      <w:r>
        <w:t>Multi-issue requests generate more than one goal when evidence supports multiple issue families.</w:t>
      </w:r>
    </w:p>
    <w:p>
      <w:pPr>
        <w:pStyle w:val="ListBullet"/>
        <w:spacing w:after="60"/>
      </w:pPr>
      <w:r>
        <w:t>Unknown complaints return a low-confidence fallback without fabricated deeplinks.</w:t>
      </w:r>
    </w:p>
    <w:p>
      <w:pPr>
        <w:pStyle w:val="ListBullet"/>
        <w:spacing w:after="60"/>
      </w:pPr>
      <w:r>
        <w:t>The two-stage provider path is implemented and isolated from the authoritative validator; a permitted model endpoint enables it at runtime.</w:t>
      </w:r>
    </w:p>
    <w:p>
      <w:pPr>
        <w:pStyle w:val="ListBullet"/>
        <w:spacing w:after="60"/>
      </w:pPr>
      <w:r>
        <w:t>A browser UI, REST API, Docker configuration, benchmark harness, and submission deck are included in the package.</w:t>
      </w:r>
    </w:p>
    <w:p>
      <w:r>
        <w:br w:type="page"/>
      </w:r>
    </w:p>
    <w:p>
      <w:pPr>
        <w:pStyle w:val="Heading1"/>
      </w:pPr>
      <w:r>
        <w:t>10. Risks and mitigations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232"/>
            <w:vAlign w:val="center"/>
            <w:tcMar>
              <w:top w:w="100" w:type="dxa"/>
              <w:start w:w="110" w:type="dxa"/>
              <w:bottom w:w="100" w:type="dxa"/>
              <w:end w:w="110" w:type="dxa"/>
            </w:tcMar>
            <w:shd w:fill="6B48B7"/>
          </w:tcPr>
          <w:p>
            <w:pPr>
              <w:spacing w:after="0"/>
            </w:pPr>
            <w:r/>
            <w:r>
              <w:rPr>
                <w:rFonts w:ascii="Aptos" w:hAnsi="Aptos"/>
                <w:b/>
                <w:color w:val="FFFFFF"/>
                <w:sz w:val="18"/>
              </w:rPr>
              <w:t>Risk</w:t>
            </w:r>
          </w:p>
        </w:tc>
        <w:tc>
          <w:tcPr>
            <w:tcW w:type="dxa" w:w="4032"/>
            <w:vAlign w:val="center"/>
            <w:tcMar>
              <w:top w:w="100" w:type="dxa"/>
              <w:start w:w="110" w:type="dxa"/>
              <w:bottom w:w="100" w:type="dxa"/>
              <w:end w:w="110" w:type="dxa"/>
            </w:tcMar>
            <w:shd w:fill="6B48B7"/>
          </w:tcPr>
          <w:p>
            <w:pPr>
              <w:spacing w:after="0"/>
            </w:pPr>
            <w:r/>
            <w:r>
              <w:rPr>
                <w:rFonts w:ascii="Aptos" w:hAnsi="Aptos"/>
                <w:b/>
                <w:color w:val="FFFFFF"/>
                <w:sz w:val="18"/>
              </w:rPr>
              <w:t>Why it matters</w:t>
            </w:r>
          </w:p>
        </w:tc>
        <w:tc>
          <w:tcPr>
            <w:tcW w:type="dxa" w:w="4248"/>
            <w:vAlign w:val="center"/>
            <w:tcMar>
              <w:top w:w="100" w:type="dxa"/>
              <w:start w:w="110" w:type="dxa"/>
              <w:bottom w:w="100" w:type="dxa"/>
              <w:end w:w="110" w:type="dxa"/>
            </w:tcMar>
            <w:shd w:fill="6B48B7"/>
          </w:tcPr>
          <w:p>
            <w:pPr>
              <w:spacing w:after="0"/>
            </w:pPr>
            <w:r/>
            <w:r>
              <w:rPr>
                <w:rFonts w:ascii="Aptos" w:hAnsi="Aptos"/>
                <w:b/>
                <w:color w:val="FFFFFF"/>
                <w:sz w:val="18"/>
              </w:rPr>
              <w:t>Mitigation</w:t>
            </w:r>
          </w:p>
        </w:tc>
      </w:tr>
      <w:tr>
        <w:trPr>
          <w:cantSplit w:val="true"/>
        </w:trPr>
        <w:tc>
          <w:tcPr>
            <w:tcW w:type="dxa" w:w="2232"/>
            <w:vAlign w:val="center"/>
            <w:tcMar>
              <w:top w:w="100" w:type="dxa"/>
              <w:start w:w="110" w:type="dxa"/>
              <w:bottom w:w="100" w:type="dxa"/>
              <w:end w:w="110" w:type="dxa"/>
            </w:tcMar>
          </w:tcPr>
          <w:p>
            <w:pPr>
              <w:spacing w:after="0"/>
            </w:pPr>
            <w:r/>
            <w:r>
              <w:rPr>
                <w:rFonts w:ascii="Aptos" w:hAnsi="Aptos"/>
                <w:b w:val="0"/>
                <w:color w:val="252638"/>
                <w:sz w:val="18"/>
              </w:rPr>
              <w:t>Synthetic-only evidence</w:t>
            </w:r>
          </w:p>
        </w:tc>
        <w:tc>
          <w:tcPr>
            <w:tcW w:type="dxa" w:w="4032"/>
            <w:vAlign w:val="center"/>
            <w:tcMar>
              <w:top w:w="100" w:type="dxa"/>
              <w:start w:w="110" w:type="dxa"/>
              <w:bottom w:w="100" w:type="dxa"/>
              <w:end w:w="110" w:type="dxa"/>
            </w:tcMar>
          </w:tcPr>
          <w:p>
            <w:pPr>
              <w:spacing w:after="0"/>
            </w:pPr>
            <w:r/>
            <w:r>
              <w:rPr>
                <w:rFonts w:ascii="Aptos" w:hAnsi="Aptos"/>
                <w:b w:val="0"/>
                <w:color w:val="252638"/>
                <w:sz w:val="18"/>
              </w:rPr>
              <w:t>Official data may have different phrasing and coverage.</w:t>
            </w:r>
          </w:p>
        </w:tc>
        <w:tc>
          <w:tcPr>
            <w:tcW w:type="dxa" w:w="4248"/>
            <w:vAlign w:val="center"/>
            <w:tcMar>
              <w:top w:w="100" w:type="dxa"/>
              <w:start w:w="110" w:type="dxa"/>
              <w:bottom w:w="100" w:type="dxa"/>
              <w:end w:w="110" w:type="dxa"/>
            </w:tcMar>
          </w:tcPr>
          <w:p>
            <w:pPr>
              <w:spacing w:after="0"/>
            </w:pPr>
            <w:r/>
            <w:r>
              <w:rPr>
                <w:rFonts w:ascii="Aptos" w:hAnsi="Aptos"/>
                <w:b w:val="0"/>
                <w:color w:val="252638"/>
                <w:sz w:val="18"/>
              </w:rPr>
              <w:t>Load starter assets first; report a fresh held-out benchmark.</w:t>
            </w:r>
          </w:p>
        </w:tc>
      </w:tr>
      <w:tr>
        <w:trPr>
          <w:cantSplit w:val="true"/>
        </w:trPr>
        <w:tc>
          <w:tcPr>
            <w:tcW w:type="dxa" w:w="2232"/>
            <w:vAlign w:val="center"/>
            <w:tcMar>
              <w:top w:w="100" w:type="dxa"/>
              <w:start w:w="110" w:type="dxa"/>
              <w:bottom w:w="100" w:type="dxa"/>
              <w:end w:w="110" w:type="dxa"/>
            </w:tcMar>
            <w:shd w:fill="FAF9FD"/>
          </w:tcPr>
          <w:p>
            <w:pPr>
              <w:spacing w:after="0"/>
            </w:pPr>
            <w:r/>
            <w:r>
              <w:rPr>
                <w:rFonts w:ascii="Aptos" w:hAnsi="Aptos"/>
                <w:b w:val="0"/>
                <w:color w:val="252638"/>
                <w:sz w:val="18"/>
              </w:rPr>
              <w:t>Semantic false positives</w:t>
            </w:r>
          </w:p>
        </w:tc>
        <w:tc>
          <w:tcPr>
            <w:tcW w:type="dxa" w:w="4032"/>
            <w:vAlign w:val="center"/>
            <w:tcMar>
              <w:top w:w="100" w:type="dxa"/>
              <w:start w:w="110" w:type="dxa"/>
              <w:bottom w:w="100" w:type="dxa"/>
              <w:end w:w="110" w:type="dxa"/>
            </w:tcMar>
            <w:shd w:fill="FAF9FD"/>
          </w:tcPr>
          <w:p>
            <w:pPr>
              <w:spacing w:after="0"/>
            </w:pPr>
            <w:r/>
            <w:r>
              <w:rPr>
                <w:rFonts w:ascii="Aptos" w:hAnsi="Aptos"/>
                <w:b w:val="0"/>
                <w:color w:val="252638"/>
                <w:sz w:val="18"/>
              </w:rPr>
              <w:t>Cache or retrieval may match a nearby but unsafe issue.</w:t>
            </w:r>
          </w:p>
        </w:tc>
        <w:tc>
          <w:tcPr>
            <w:tcW w:type="dxa" w:w="4248"/>
            <w:vAlign w:val="center"/>
            <w:tcMar>
              <w:top w:w="100" w:type="dxa"/>
              <w:start w:w="110" w:type="dxa"/>
              <w:bottom w:w="100" w:type="dxa"/>
              <w:end w:w="110" w:type="dxa"/>
            </w:tcMar>
            <w:shd w:fill="FAF9FD"/>
          </w:tcPr>
          <w:p>
            <w:pPr>
              <w:spacing w:after="0"/>
            </w:pPr>
            <w:r/>
            <w:r>
              <w:rPr>
                <w:rFonts w:ascii="Aptos" w:hAnsi="Aptos"/>
                <w:b w:val="0"/>
                <w:color w:val="252638"/>
                <w:sz w:val="18"/>
              </w:rPr>
              <w:t>Use calibrated thresholds, issue-family gating, and validator-based cache admission.</w:t>
            </w:r>
          </w:p>
        </w:tc>
      </w:tr>
      <w:tr>
        <w:trPr>
          <w:cantSplit w:val="true"/>
        </w:trPr>
        <w:tc>
          <w:tcPr>
            <w:tcW w:type="dxa" w:w="2232"/>
            <w:vAlign w:val="center"/>
            <w:tcMar>
              <w:top w:w="100" w:type="dxa"/>
              <w:start w:w="110" w:type="dxa"/>
              <w:bottom w:w="100" w:type="dxa"/>
              <w:end w:w="110" w:type="dxa"/>
            </w:tcMar>
          </w:tcPr>
          <w:p>
            <w:pPr>
              <w:spacing w:after="0"/>
            </w:pPr>
            <w:r/>
            <w:r>
              <w:rPr>
                <w:rFonts w:ascii="Aptos" w:hAnsi="Aptos"/>
                <w:b w:val="0"/>
                <w:color w:val="252638"/>
                <w:sz w:val="18"/>
              </w:rPr>
              <w:t>Catalog drift</w:t>
            </w:r>
          </w:p>
        </w:tc>
        <w:tc>
          <w:tcPr>
            <w:tcW w:type="dxa" w:w="4032"/>
            <w:vAlign w:val="center"/>
            <w:tcMar>
              <w:top w:w="100" w:type="dxa"/>
              <w:start w:w="110" w:type="dxa"/>
              <w:bottom w:w="100" w:type="dxa"/>
              <w:end w:w="110" w:type="dxa"/>
            </w:tcMar>
          </w:tcPr>
          <w:p>
            <w:pPr>
              <w:spacing w:after="0"/>
            </w:pPr>
            <w:r/>
            <w:r>
              <w:rPr>
                <w:rFonts w:ascii="Aptos" w:hAnsi="Aptos"/>
                <w:b w:val="0"/>
                <w:color w:val="252638"/>
                <w:sz w:val="18"/>
              </w:rPr>
              <w:t>Settings identifiers may change across platform versions.</w:t>
            </w:r>
          </w:p>
        </w:tc>
        <w:tc>
          <w:tcPr>
            <w:tcW w:type="dxa" w:w="4248"/>
            <w:vAlign w:val="center"/>
            <w:tcMar>
              <w:top w:w="100" w:type="dxa"/>
              <w:start w:w="110" w:type="dxa"/>
              <w:bottom w:w="100" w:type="dxa"/>
              <w:end w:w="110" w:type="dxa"/>
            </w:tcMar>
          </w:tcPr>
          <w:p>
            <w:pPr>
              <w:spacing w:after="0"/>
            </w:pPr>
            <w:r/>
            <w:r>
              <w:rPr>
                <w:rFonts w:ascii="Aptos" w:hAnsi="Aptos"/>
                <w:b w:val="0"/>
                <w:color w:val="252638"/>
                <w:sz w:val="18"/>
              </w:rPr>
              <w:t>Version the catalog and reject unknown identifiers at runtime.</w:t>
            </w:r>
          </w:p>
        </w:tc>
      </w:tr>
      <w:tr>
        <w:trPr>
          <w:cantSplit w:val="true"/>
        </w:trPr>
        <w:tc>
          <w:tcPr>
            <w:tcW w:type="dxa" w:w="2232"/>
            <w:vAlign w:val="center"/>
            <w:tcMar>
              <w:top w:w="100" w:type="dxa"/>
              <w:start w:w="110" w:type="dxa"/>
              <w:bottom w:w="100" w:type="dxa"/>
              <w:end w:w="110" w:type="dxa"/>
            </w:tcMar>
            <w:shd w:fill="FAF9FD"/>
          </w:tcPr>
          <w:p>
            <w:pPr>
              <w:spacing w:after="0"/>
            </w:pPr>
            <w:r/>
            <w:r>
              <w:rPr>
                <w:rFonts w:ascii="Aptos" w:hAnsi="Aptos"/>
                <w:b w:val="0"/>
                <w:color w:val="252638"/>
                <w:sz w:val="18"/>
              </w:rPr>
              <w:t>Model non-determinism</w:t>
            </w:r>
          </w:p>
        </w:tc>
        <w:tc>
          <w:tcPr>
            <w:tcW w:type="dxa" w:w="4032"/>
            <w:vAlign w:val="center"/>
            <w:tcMar>
              <w:top w:w="100" w:type="dxa"/>
              <w:start w:w="110" w:type="dxa"/>
              <w:bottom w:w="100" w:type="dxa"/>
              <w:end w:w="110" w:type="dxa"/>
            </w:tcMar>
            <w:shd w:fill="FAF9FD"/>
          </w:tcPr>
          <w:p>
            <w:pPr>
              <w:spacing w:after="0"/>
            </w:pPr>
            <w:r/>
            <w:r>
              <w:rPr>
                <w:rFonts w:ascii="Aptos" w:hAnsi="Aptos"/>
                <w:b w:val="0"/>
                <w:color w:val="252638"/>
                <w:sz w:val="18"/>
              </w:rPr>
              <w:t>Two-stage model output can violate grammar or ordering.</w:t>
            </w:r>
          </w:p>
        </w:tc>
        <w:tc>
          <w:tcPr>
            <w:tcW w:type="dxa" w:w="4248"/>
            <w:vAlign w:val="center"/>
            <w:tcMar>
              <w:top w:w="100" w:type="dxa"/>
              <w:start w:w="110" w:type="dxa"/>
              <w:bottom w:w="100" w:type="dxa"/>
              <w:end w:w="110" w:type="dxa"/>
            </w:tcMar>
            <w:shd w:fill="FAF9FD"/>
          </w:tcPr>
          <w:p>
            <w:pPr>
              <w:spacing w:after="0"/>
            </w:pPr>
            <w:r/>
            <w:r>
              <w:rPr>
                <w:rFonts w:ascii="Aptos" w:hAnsi="Aptos"/>
                <w:b w:val="0"/>
                <w:color w:val="252638"/>
                <w:sz w:val="18"/>
              </w:rPr>
              <w:t>Constrained schema, deterministic validation, bounded repair, and safe fallback.</w:t>
            </w:r>
          </w:p>
        </w:tc>
      </w:tr>
      <w:tr>
        <w:trPr>
          <w:cantSplit w:val="true"/>
        </w:trPr>
        <w:tc>
          <w:tcPr>
            <w:tcW w:type="dxa" w:w="2232"/>
            <w:vAlign w:val="center"/>
            <w:tcMar>
              <w:top w:w="100" w:type="dxa"/>
              <w:start w:w="110" w:type="dxa"/>
              <w:bottom w:w="100" w:type="dxa"/>
              <w:end w:w="110" w:type="dxa"/>
            </w:tcMar>
          </w:tcPr>
          <w:p>
            <w:pPr>
              <w:spacing w:after="0"/>
            </w:pPr>
            <w:r/>
            <w:r>
              <w:rPr>
                <w:rFonts w:ascii="Aptos" w:hAnsi="Aptos"/>
                <w:b w:val="0"/>
                <w:color w:val="252638"/>
                <w:sz w:val="18"/>
              </w:rPr>
              <w:t>Privacy leakage</w:t>
            </w:r>
          </w:p>
        </w:tc>
        <w:tc>
          <w:tcPr>
            <w:tcW w:type="dxa" w:w="4032"/>
            <w:vAlign w:val="center"/>
            <w:tcMar>
              <w:top w:w="100" w:type="dxa"/>
              <w:start w:w="110" w:type="dxa"/>
              <w:bottom w:w="100" w:type="dxa"/>
              <w:end w:w="110" w:type="dxa"/>
            </w:tcMar>
          </w:tcPr>
          <w:p>
            <w:pPr>
              <w:spacing w:after="0"/>
            </w:pPr>
            <w:r/>
            <w:r>
              <w:rPr>
                <w:rFonts w:ascii="Aptos" w:hAnsi="Aptos"/>
                <w:b w:val="0"/>
                <w:color w:val="252638"/>
                <w:sz w:val="18"/>
              </w:rPr>
              <w:t>SIIS text may contain identifying device or user data.</w:t>
            </w:r>
          </w:p>
        </w:tc>
        <w:tc>
          <w:tcPr>
            <w:tcW w:type="dxa" w:w="4248"/>
            <w:vAlign w:val="center"/>
            <w:tcMar>
              <w:top w:w="100" w:type="dxa"/>
              <w:start w:w="110" w:type="dxa"/>
              <w:bottom w:w="100" w:type="dxa"/>
              <w:end w:w="110" w:type="dxa"/>
            </w:tcMar>
          </w:tcPr>
          <w:p>
            <w:pPr>
              <w:spacing w:after="0"/>
            </w:pPr>
            <w:r/>
            <w:r>
              <w:rPr>
                <w:rFonts w:ascii="Aptos" w:hAnsi="Aptos"/>
                <w:b w:val="0"/>
                <w:color w:val="252638"/>
                <w:sz w:val="18"/>
              </w:rPr>
              <w:t>Redact before persistence; minimize and expire logs.</w:t>
            </w:r>
          </w:p>
        </w:tc>
      </w:tr>
      <w:tr>
        <w:trPr>
          <w:cantSplit w:val="true"/>
        </w:trPr>
        <w:tc>
          <w:tcPr>
            <w:tcW w:type="dxa" w:w="2232"/>
            <w:vAlign w:val="center"/>
            <w:tcMar>
              <w:top w:w="100" w:type="dxa"/>
              <w:start w:w="110" w:type="dxa"/>
              <w:bottom w:w="100" w:type="dxa"/>
              <w:end w:w="110" w:type="dxa"/>
            </w:tcMar>
            <w:shd w:fill="FAF9FD"/>
          </w:tcPr>
          <w:p>
            <w:pPr>
              <w:spacing w:after="0"/>
            </w:pPr>
            <w:r/>
            <w:r>
              <w:rPr>
                <w:rFonts w:ascii="Aptos" w:hAnsi="Aptos"/>
                <w:b w:val="0"/>
                <w:color w:val="252638"/>
                <w:sz w:val="18"/>
              </w:rPr>
              <w:t>Demo overclaim</w:t>
            </w:r>
          </w:p>
        </w:tc>
        <w:tc>
          <w:tcPr>
            <w:tcW w:type="dxa" w:w="4032"/>
            <w:vAlign w:val="center"/>
            <w:tcMar>
              <w:top w:w="100" w:type="dxa"/>
              <w:start w:w="110" w:type="dxa"/>
              <w:bottom w:w="100" w:type="dxa"/>
              <w:end w:w="110" w:type="dxa"/>
            </w:tcMar>
            <w:shd w:fill="FAF9FD"/>
          </w:tcPr>
          <w:p>
            <w:pPr>
              <w:spacing w:after="0"/>
            </w:pPr>
            <w:r/>
            <w:r>
              <w:rPr>
                <w:rFonts w:ascii="Aptos" w:hAnsi="Aptos"/>
                <w:b w:val="0"/>
                <w:color w:val="252638"/>
                <w:sz w:val="18"/>
              </w:rPr>
              <w:t>Synthetic metrics can be mistaken for official results.</w:t>
            </w:r>
          </w:p>
        </w:tc>
        <w:tc>
          <w:tcPr>
            <w:tcW w:type="dxa" w:w="4248"/>
            <w:vAlign w:val="center"/>
            <w:tcMar>
              <w:top w:w="100" w:type="dxa"/>
              <w:start w:w="110" w:type="dxa"/>
              <w:bottom w:w="100" w:type="dxa"/>
              <w:end w:w="110" w:type="dxa"/>
            </w:tcMar>
            <w:shd w:fill="FAF9FD"/>
          </w:tcPr>
          <w:p>
            <w:pPr>
              <w:spacing w:after="0"/>
            </w:pPr>
            <w:r/>
            <w:r>
              <w:rPr>
                <w:rFonts w:ascii="Aptos" w:hAnsi="Aptos"/>
                <w:b w:val="0"/>
                <w:color w:val="252638"/>
                <w:sz w:val="18"/>
              </w:rPr>
              <w:t>Label every result by dataset and reserve final claims for the official held-out set.</w:t>
            </w:r>
          </w:p>
        </w:tc>
      </w:tr>
    </w:tbl>
    <w:p>
      <w:pPr>
        <w:spacing w:after="0"/>
      </w:pPr>
    </w:p>
    <w:p>
      <w:pPr>
        <w:pStyle w:val="Heading1"/>
      </w:pPr>
      <w:r>
        <w:t>11. Submission checklist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8352"/>
            <w:vAlign w:val="center"/>
            <w:tcMar>
              <w:top w:w="100" w:type="dxa"/>
              <w:start w:w="110" w:type="dxa"/>
              <w:bottom w:w="100" w:type="dxa"/>
              <w:end w:w="110" w:type="dxa"/>
            </w:tcMar>
            <w:shd w:fill="6B48B7"/>
          </w:tcPr>
          <w:p>
            <w:pPr>
              <w:spacing w:after="0"/>
            </w:pPr>
            <w:r/>
            <w:r>
              <w:rPr>
                <w:rFonts w:ascii="Aptos" w:hAnsi="Aptos"/>
                <w:b/>
                <w:color w:val="FFFFFF"/>
                <w:sz w:val="18"/>
              </w:rPr>
              <w:t>Deliverable</w:t>
            </w:r>
          </w:p>
        </w:tc>
        <w:tc>
          <w:tcPr>
            <w:tcW w:type="dxa" w:w="2160"/>
            <w:vAlign w:val="center"/>
            <w:tcMar>
              <w:top w:w="100" w:type="dxa"/>
              <w:start w:w="110" w:type="dxa"/>
              <w:bottom w:w="100" w:type="dxa"/>
              <w:end w:w="110" w:type="dxa"/>
            </w:tcMar>
            <w:shd w:fill="6B48B7"/>
          </w:tcPr>
          <w:p>
            <w:pPr>
              <w:spacing w:after="0"/>
            </w:pPr>
            <w:r/>
            <w:r>
              <w:rPr>
                <w:rFonts w:ascii="Aptos" w:hAnsi="Aptos"/>
                <w:b/>
                <w:color w:val="FFFFFF"/>
                <w:sz w:val="18"/>
              </w:rPr>
              <w:t>Status</w:t>
            </w:r>
          </w:p>
        </w:tc>
      </w:tr>
      <w:tr>
        <w:trPr>
          <w:cantSplit w:val="true"/>
        </w:trPr>
        <w:tc>
          <w:tcPr>
            <w:tcW w:type="dxa" w:w="8352"/>
            <w:vAlign w:val="center"/>
            <w:tcMar>
              <w:top w:w="100" w:type="dxa"/>
              <w:start w:w="110" w:type="dxa"/>
              <w:bottom w:w="100" w:type="dxa"/>
              <w:end w:w="110" w:type="dxa"/>
            </w:tcMar>
          </w:tcPr>
          <w:p>
            <w:pPr>
              <w:spacing w:after="0"/>
            </w:pPr>
            <w:r/>
            <w:r>
              <w:rPr>
                <w:rFonts w:ascii="Aptos" w:hAnsi="Aptos"/>
                <w:b w:val="0"/>
                <w:color w:val="252638"/>
                <w:sz w:val="18"/>
              </w:rPr>
              <w:t>Working prototype, API, UI, tests, Docker</w:t>
            </w:r>
          </w:p>
        </w:tc>
        <w:tc>
          <w:tcPr>
            <w:tcW w:type="dxa" w:w="2160"/>
            <w:vAlign w:val="center"/>
            <w:tcMar>
              <w:top w:w="100" w:type="dxa"/>
              <w:start w:w="110" w:type="dxa"/>
              <w:bottom w:w="100" w:type="dxa"/>
              <w:end w:w="110" w:type="dxa"/>
            </w:tcMar>
          </w:tcPr>
          <w:p>
            <w:pPr>
              <w:spacing w:after="0"/>
            </w:pPr>
            <w:r/>
            <w:r>
              <w:rPr>
                <w:rFonts w:ascii="Aptos" w:hAnsi="Aptos"/>
                <w:b w:val="0"/>
                <w:color w:val="252638"/>
                <w:sz w:val="18"/>
              </w:rPr>
              <w:t>Ready</w:t>
            </w:r>
          </w:p>
        </w:tc>
      </w:tr>
      <w:tr>
        <w:trPr>
          <w:cantSplit w:val="true"/>
        </w:trPr>
        <w:tc>
          <w:tcPr>
            <w:tcW w:type="dxa" w:w="8352"/>
            <w:vAlign w:val="center"/>
            <w:tcMar>
              <w:top w:w="100" w:type="dxa"/>
              <w:start w:w="110" w:type="dxa"/>
              <w:bottom w:w="100" w:type="dxa"/>
              <w:end w:w="110" w:type="dxa"/>
            </w:tcMar>
            <w:shd w:fill="FAF9FD"/>
          </w:tcPr>
          <w:p>
            <w:pPr>
              <w:spacing w:after="0"/>
            </w:pPr>
            <w:r/>
            <w:r>
              <w:rPr>
                <w:rFonts w:ascii="Aptos" w:hAnsi="Aptos"/>
                <w:b w:val="0"/>
                <w:color w:val="252638"/>
                <w:sz w:val="18"/>
              </w:rPr>
              <w:t>Research and solution report</w:t>
            </w:r>
          </w:p>
        </w:tc>
        <w:tc>
          <w:tcPr>
            <w:tcW w:type="dxa" w:w="2160"/>
            <w:vAlign w:val="center"/>
            <w:tcMar>
              <w:top w:w="100" w:type="dxa"/>
              <w:start w:w="110" w:type="dxa"/>
              <w:bottom w:w="100" w:type="dxa"/>
              <w:end w:w="110" w:type="dxa"/>
            </w:tcMar>
            <w:shd w:fill="FAF9FD"/>
          </w:tcPr>
          <w:p>
            <w:pPr>
              <w:spacing w:after="0"/>
            </w:pPr>
            <w:r/>
            <w:r>
              <w:rPr>
                <w:rFonts w:ascii="Aptos" w:hAnsi="Aptos"/>
                <w:b w:val="0"/>
                <w:color w:val="252638"/>
                <w:sz w:val="18"/>
              </w:rPr>
              <w:t>Ready</w:t>
            </w:r>
          </w:p>
        </w:tc>
      </w:tr>
      <w:tr>
        <w:trPr>
          <w:cantSplit w:val="true"/>
        </w:trPr>
        <w:tc>
          <w:tcPr>
            <w:tcW w:type="dxa" w:w="8352"/>
            <w:vAlign w:val="center"/>
            <w:tcMar>
              <w:top w:w="100" w:type="dxa"/>
              <w:start w:w="110" w:type="dxa"/>
              <w:bottom w:w="100" w:type="dxa"/>
              <w:end w:w="110" w:type="dxa"/>
            </w:tcMar>
          </w:tcPr>
          <w:p>
            <w:pPr>
              <w:spacing w:after="0"/>
            </w:pPr>
            <w:r/>
            <w:r>
              <w:rPr>
                <w:rFonts w:ascii="Aptos" w:hAnsi="Aptos"/>
                <w:b w:val="0"/>
                <w:color w:val="252638"/>
                <w:sz w:val="18"/>
              </w:rPr>
              <w:t>Presentation deck</w:t>
            </w:r>
          </w:p>
        </w:tc>
        <w:tc>
          <w:tcPr>
            <w:tcW w:type="dxa" w:w="2160"/>
            <w:vAlign w:val="center"/>
            <w:tcMar>
              <w:top w:w="100" w:type="dxa"/>
              <w:start w:w="110" w:type="dxa"/>
              <w:bottom w:w="100" w:type="dxa"/>
              <w:end w:w="110" w:type="dxa"/>
            </w:tcMar>
          </w:tcPr>
          <w:p>
            <w:pPr>
              <w:spacing w:after="0"/>
            </w:pPr>
            <w:r/>
            <w:r>
              <w:rPr>
                <w:rFonts w:ascii="Aptos" w:hAnsi="Aptos"/>
                <w:b w:val="0"/>
                <w:color w:val="252638"/>
                <w:sz w:val="18"/>
              </w:rPr>
              <w:t>Ready; replace bracketed placeholders</w:t>
            </w:r>
          </w:p>
        </w:tc>
      </w:tr>
      <w:tr>
        <w:trPr>
          <w:cantSplit w:val="true"/>
        </w:trPr>
        <w:tc>
          <w:tcPr>
            <w:tcW w:type="dxa" w:w="8352"/>
            <w:vAlign w:val="center"/>
            <w:tcMar>
              <w:top w:w="100" w:type="dxa"/>
              <w:start w:w="110" w:type="dxa"/>
              <w:bottom w:w="100" w:type="dxa"/>
              <w:end w:w="110" w:type="dxa"/>
            </w:tcMar>
            <w:shd w:fill="FAF9FD"/>
          </w:tcPr>
          <w:p>
            <w:pPr>
              <w:spacing w:after="0"/>
            </w:pPr>
            <w:r/>
            <w:r>
              <w:rPr>
                <w:rFonts w:ascii="Aptos" w:hAnsi="Aptos"/>
                <w:b w:val="0"/>
                <w:color w:val="252638"/>
                <w:sz w:val="18"/>
              </w:rPr>
              <w:t>AI disclosure</w:t>
            </w:r>
          </w:p>
        </w:tc>
        <w:tc>
          <w:tcPr>
            <w:tcW w:type="dxa" w:w="2160"/>
            <w:vAlign w:val="center"/>
            <w:tcMar>
              <w:top w:w="100" w:type="dxa"/>
              <w:start w:w="110" w:type="dxa"/>
              <w:bottom w:w="100" w:type="dxa"/>
              <w:end w:w="110" w:type="dxa"/>
            </w:tcMar>
            <w:shd w:fill="FAF9FD"/>
          </w:tcPr>
          <w:p>
            <w:pPr>
              <w:spacing w:after="0"/>
            </w:pPr>
            <w:r/>
            <w:r>
              <w:rPr>
                <w:rFonts w:ascii="Aptos" w:hAnsi="Aptos"/>
                <w:b w:val="0"/>
                <w:color w:val="252638"/>
                <w:sz w:val="18"/>
              </w:rPr>
              <w:t>Ready; team must verify and sign</w:t>
            </w:r>
          </w:p>
        </w:tc>
      </w:tr>
      <w:tr>
        <w:trPr>
          <w:cantSplit w:val="true"/>
        </w:trPr>
        <w:tc>
          <w:tcPr>
            <w:tcW w:type="dxa" w:w="8352"/>
            <w:vAlign w:val="center"/>
            <w:tcMar>
              <w:top w:w="100" w:type="dxa"/>
              <w:start w:w="110" w:type="dxa"/>
              <w:bottom w:w="100" w:type="dxa"/>
              <w:end w:w="110" w:type="dxa"/>
            </w:tcMar>
          </w:tcPr>
          <w:p>
            <w:pPr>
              <w:spacing w:after="0"/>
            </w:pPr>
            <w:r/>
            <w:r>
              <w:rPr>
                <w:rFonts w:ascii="Aptos" w:hAnsi="Aptos"/>
                <w:b w:val="0"/>
                <w:color w:val="252638"/>
                <w:sz w:val="18"/>
              </w:rPr>
              <w:t>Official starter data integration</w:t>
            </w:r>
          </w:p>
        </w:tc>
        <w:tc>
          <w:tcPr>
            <w:tcW w:type="dxa" w:w="2160"/>
            <w:vAlign w:val="center"/>
            <w:tcMar>
              <w:top w:w="100" w:type="dxa"/>
              <w:start w:w="110" w:type="dxa"/>
              <w:bottom w:w="100" w:type="dxa"/>
              <w:end w:w="110" w:type="dxa"/>
            </w:tcMar>
          </w:tcPr>
          <w:p>
            <w:pPr>
              <w:spacing w:after="0"/>
            </w:pPr>
            <w:r/>
            <w:r>
              <w:rPr>
                <w:rFonts w:ascii="Aptos" w:hAnsi="Aptos"/>
                <w:b w:val="0"/>
                <w:color w:val="252638"/>
                <w:sz w:val="18"/>
              </w:rPr>
              <w:t>Pending</w:t>
            </w:r>
          </w:p>
        </w:tc>
      </w:tr>
      <w:tr>
        <w:trPr>
          <w:cantSplit w:val="true"/>
        </w:trPr>
        <w:tc>
          <w:tcPr>
            <w:tcW w:type="dxa" w:w="8352"/>
            <w:vAlign w:val="center"/>
            <w:tcMar>
              <w:top w:w="100" w:type="dxa"/>
              <w:start w:w="110" w:type="dxa"/>
              <w:bottom w:w="100" w:type="dxa"/>
              <w:end w:w="110" w:type="dxa"/>
            </w:tcMar>
            <w:shd w:fill="FAF9FD"/>
          </w:tcPr>
          <w:p>
            <w:pPr>
              <w:spacing w:after="0"/>
            </w:pPr>
            <w:r/>
            <w:r>
              <w:rPr>
                <w:rFonts w:ascii="Aptos" w:hAnsi="Aptos"/>
                <w:b w:val="0"/>
                <w:color w:val="252638"/>
                <w:sz w:val="18"/>
              </w:rPr>
              <w:t>Official held-out evaluation</w:t>
            </w:r>
          </w:p>
        </w:tc>
        <w:tc>
          <w:tcPr>
            <w:tcW w:type="dxa" w:w="2160"/>
            <w:vAlign w:val="center"/>
            <w:tcMar>
              <w:top w:w="100" w:type="dxa"/>
              <w:start w:w="110" w:type="dxa"/>
              <w:bottom w:w="100" w:type="dxa"/>
              <w:end w:w="110" w:type="dxa"/>
            </w:tcMar>
            <w:shd w:fill="FAF9FD"/>
          </w:tcPr>
          <w:p>
            <w:pPr>
              <w:spacing w:after="0"/>
            </w:pPr>
            <w:r/>
            <w:r>
              <w:rPr>
                <w:rFonts w:ascii="Aptos" w:hAnsi="Aptos"/>
                <w:b w:val="0"/>
                <w:color w:val="252638"/>
                <w:sz w:val="18"/>
              </w:rPr>
              <w:t>Pending</w:t>
            </w:r>
          </w:p>
        </w:tc>
      </w:tr>
      <w:tr>
        <w:trPr>
          <w:cantSplit w:val="true"/>
        </w:trPr>
        <w:tc>
          <w:tcPr>
            <w:tcW w:type="dxa" w:w="8352"/>
            <w:vAlign w:val="center"/>
            <w:tcMar>
              <w:top w:w="100" w:type="dxa"/>
              <w:start w:w="110" w:type="dxa"/>
              <w:bottom w:w="100" w:type="dxa"/>
              <w:end w:w="110" w:type="dxa"/>
            </w:tcMar>
          </w:tcPr>
          <w:p>
            <w:pPr>
              <w:spacing w:after="0"/>
            </w:pPr>
            <w:r/>
            <w:r>
              <w:rPr>
                <w:rFonts w:ascii="Aptos" w:hAnsi="Aptos"/>
                <w:b w:val="0"/>
                <w:color w:val="252638"/>
                <w:sz w:val="18"/>
              </w:rPr>
              <w:t>Public/shared GitHub URL</w:t>
            </w:r>
          </w:p>
        </w:tc>
        <w:tc>
          <w:tcPr>
            <w:tcW w:type="dxa" w:w="2160"/>
            <w:vAlign w:val="center"/>
            <w:tcMar>
              <w:top w:w="100" w:type="dxa"/>
              <w:start w:w="110" w:type="dxa"/>
              <w:bottom w:w="100" w:type="dxa"/>
              <w:end w:w="110" w:type="dxa"/>
            </w:tcMar>
          </w:tcPr>
          <w:p>
            <w:pPr>
              <w:spacing w:after="0"/>
            </w:pPr>
            <w:r/>
            <w:r>
              <w:rPr>
                <w:rFonts w:ascii="Aptos" w:hAnsi="Aptos"/>
                <w:b w:val="0"/>
                <w:color w:val="252638"/>
                <w:sz w:val="18"/>
              </w:rPr>
              <w:t>Pending</w:t>
            </w:r>
          </w:p>
        </w:tc>
      </w:tr>
      <w:tr>
        <w:trPr>
          <w:cantSplit w:val="true"/>
        </w:trPr>
        <w:tc>
          <w:tcPr>
            <w:tcW w:type="dxa" w:w="8352"/>
            <w:vAlign w:val="center"/>
            <w:tcMar>
              <w:top w:w="100" w:type="dxa"/>
              <w:start w:w="110" w:type="dxa"/>
              <w:bottom w:w="100" w:type="dxa"/>
              <w:end w:w="110" w:type="dxa"/>
            </w:tcMar>
            <w:shd w:fill="FAF9FD"/>
          </w:tcPr>
          <w:p>
            <w:pPr>
              <w:spacing w:after="0"/>
            </w:pPr>
            <w:r/>
            <w:r>
              <w:rPr>
                <w:rFonts w:ascii="Aptos" w:hAnsi="Aptos"/>
                <w:b w:val="0"/>
                <w:color w:val="252638"/>
                <w:sz w:val="18"/>
              </w:rPr>
              <w:t>Unedited demonstration video (&lt;= 5 minutes)</w:t>
            </w:r>
          </w:p>
        </w:tc>
        <w:tc>
          <w:tcPr>
            <w:tcW w:type="dxa" w:w="2160"/>
            <w:vAlign w:val="center"/>
            <w:tcMar>
              <w:top w:w="100" w:type="dxa"/>
              <w:start w:w="110" w:type="dxa"/>
              <w:bottom w:w="100" w:type="dxa"/>
              <w:end w:w="110" w:type="dxa"/>
            </w:tcMar>
            <w:shd w:fill="FAF9FD"/>
          </w:tcPr>
          <w:p>
            <w:pPr>
              <w:spacing w:after="0"/>
            </w:pPr>
            <w:r/>
            <w:r>
              <w:rPr>
                <w:rFonts w:ascii="Aptos" w:hAnsi="Aptos"/>
                <w:b w:val="0"/>
                <w:color w:val="252638"/>
                <w:sz w:val="18"/>
              </w:rPr>
              <w:t>Pending</w:t>
            </w:r>
          </w:p>
        </w:tc>
      </w:tr>
      <w:tr>
        <w:trPr>
          <w:cantSplit w:val="true"/>
        </w:trPr>
        <w:tc>
          <w:tcPr>
            <w:tcW w:type="dxa" w:w="8352"/>
            <w:vAlign w:val="center"/>
            <w:tcMar>
              <w:top w:w="100" w:type="dxa"/>
              <w:start w:w="110" w:type="dxa"/>
              <w:bottom w:w="100" w:type="dxa"/>
              <w:end w:w="110" w:type="dxa"/>
            </w:tcMar>
          </w:tcPr>
          <w:p>
            <w:pPr>
              <w:spacing w:after="0"/>
            </w:pPr>
            <w:r/>
            <w:r>
              <w:rPr>
                <w:rFonts w:ascii="Aptos" w:hAnsi="Aptos"/>
                <w:b w:val="0"/>
                <w:color w:val="252638"/>
                <w:sz w:val="18"/>
              </w:rPr>
              <w:t>Release tag PRISM_GENAI_HACKATHON_Y2026</w:t>
            </w:r>
          </w:p>
        </w:tc>
        <w:tc>
          <w:tcPr>
            <w:tcW w:type="dxa" w:w="2160"/>
            <w:vAlign w:val="center"/>
            <w:tcMar>
              <w:top w:w="100" w:type="dxa"/>
              <w:start w:w="110" w:type="dxa"/>
              <w:bottom w:w="100" w:type="dxa"/>
              <w:end w:w="110" w:type="dxa"/>
            </w:tcMar>
          </w:tcPr>
          <w:p>
            <w:pPr>
              <w:spacing w:after="0"/>
            </w:pPr>
            <w:r/>
            <w:r>
              <w:rPr>
                <w:rFonts w:ascii="Aptos" w:hAnsi="Aptos"/>
                <w:b w:val="0"/>
                <w:color w:val="252638"/>
                <w:sz w:val="18"/>
              </w:rPr>
              <w:t>Pending</w:t>
            </w:r>
          </w:p>
        </w:tc>
      </w:tr>
    </w:tbl>
    <w:p>
      <w:pPr>
        <w:spacing w:after="0"/>
      </w:pPr>
    </w:p>
    <w:p>
      <w:pPr>
        <w:pStyle w:val="Heading1"/>
      </w:pPr>
      <w:r>
        <w:t>12. Recommended final sprint</w:t>
      </w:r>
    </w:p>
    <w:p>
      <w:pPr>
        <w:spacing w:after="0"/>
      </w:pPr>
      <w:r>
        <w:rPr>
          <w:b/>
        </w:rPr>
        <w:t xml:space="preserve">Immediate sequence: </w:t>
      </w:r>
      <w:r>
        <w:t>load and checksum the starter files and reproduce every supplied sample; select, configure, and version the approved model endpoint; run the held-out benchmark and replace synthetic metrics; fill team and link placeholders; then record the unedited demo and create the required release tag.</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077"/>
        <w:sz w:val="16"/>
      </w:rPr>
      <w:t>Samsung PRISM Y2026 — Theme 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C6077"/>
        <w:sz w:val="16"/>
      </w:rPr>
      <w:t>GUIDERAIL SOLUTION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526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ptos" w:hAnsi="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GuideRail — Research-Backed Smart Guided Troubleshooting</dc:title>
  <dc:subject>Samsung PRISM Y2026 GenAI Hackathon, Theme 02</dc:subject>
  <dc:creator>[ADD TEAM NAME]</dc:creator>
  <cp:keywords>guided troubleshooting, RAG, semantic cache, deeplinks, validation</cp:keywords>
  <dc:description>generated by python-docx</dc:description>
  <cp:lastModifiedBy/>
  <cp:revision>1</cp:revision>
  <dcterms:created xsi:type="dcterms:W3CDTF">2013-12-23T23:15:00Z</dcterms:created>
  <dcterms:modified xsi:type="dcterms:W3CDTF">2013-12-23T23:15:00Z</dcterms:modified>
  <cp:category/>
</cp:coreProperties>
</file>